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版本号：ZX2026-06-89.1B220260821001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2026年厅机关干部职工体检项目(三次)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ZX2026-06-89.1B2</w:t>
      </w:r>
      <w:r>
        <w:br/>
      </w:r>
      <w:r>
        <w:br/>
      </w:r>
      <w:r>
        <w:br/>
      </w:r>
    </w:p>
    <w:p>
      <w:pPr>
        <w:pStyle w:val="null3"/>
        <w:jc w:val="center"/>
        <w:outlineLvl w:val="2"/>
      </w:pPr>
      <w:r>
        <w:rPr>
          <w:rFonts w:ascii="仿宋_GB2312" w:hAnsi="仿宋_GB2312" w:cs="仿宋_GB2312" w:eastAsia="仿宋_GB2312"/>
          <w:sz w:val="28"/>
          <w:b/>
        </w:rPr>
        <w:t>陕西省民政厅机关</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陕西省民政厅机关</w:t>
      </w:r>
      <w:r>
        <w:rPr>
          <w:rFonts w:ascii="仿宋_GB2312" w:hAnsi="仿宋_GB2312" w:cs="仿宋_GB2312" w:eastAsia="仿宋_GB2312"/>
        </w:rPr>
        <w:t>委托，拟对</w:t>
      </w:r>
      <w:r>
        <w:rPr>
          <w:rFonts w:ascii="仿宋_GB2312" w:hAnsi="仿宋_GB2312" w:cs="仿宋_GB2312" w:eastAsia="仿宋_GB2312"/>
        </w:rPr>
        <w:t>2026年厅机关干部职工体检项目(三次)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ZX2026-06-89.1B2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2026年厅机关干部职工体检项目(三次)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本项目为陕西省民政厅2026年厅机关干部职工体检项目。具体采购需求详见磋商文件第三章。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1、法定代表人授权委托书：法定代表人参加磋商的，须提供法定代表人身份证；法定代表人授权本单位他人参加磋商的，须提供法定代表人授权委托书。</w:t>
      </w:r>
    </w:p>
    <w:p>
      <w:pPr>
        <w:pStyle w:val="null3"/>
      </w:pPr>
      <w:r>
        <w:rPr>
          <w:rFonts w:ascii="仿宋_GB2312" w:hAnsi="仿宋_GB2312" w:cs="仿宋_GB2312" w:eastAsia="仿宋_GB2312"/>
        </w:rPr>
        <w:t>2、本项目不接受联合体投标，不允许分包：本项目不接受联合体投标，不允许分包。供应商应提供《非联合体不分包投标声明》。</w:t>
      </w:r>
    </w:p>
    <w:p>
      <w:pPr>
        <w:pStyle w:val="null3"/>
      </w:pPr>
      <w:r>
        <w:rPr>
          <w:rFonts w:ascii="仿宋_GB2312" w:hAnsi="仿宋_GB2312" w:cs="仿宋_GB2312" w:eastAsia="仿宋_GB2312"/>
        </w:rPr>
        <w:t>3、特定资质：提供供应商有效的《医疗机构执业许可证》和《放射诊疗许可证》。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陕西省民政厅机关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西安市新城区东新街403号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029-63917511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刘汝樨 张爽 曹婷 王宇轩 马演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代理服务费收费标准：按照定额6000元收取，由成交供应商支付。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陕西省民政厅机关</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陕西省民政厅机关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陕西省民政厅机关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按照合同约定。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按照磋商文件、成交供应商响应文件和合同约定执行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联系人：曹婷、刘汝樨</w:t>
      </w:r>
    </w:p>
    <w:p>
      <w:pPr>
        <w:pStyle w:val="null3"/>
      </w:pPr>
      <w:r>
        <w:rPr>
          <w:rFonts w:ascii="仿宋_GB2312" w:hAnsi="仿宋_GB2312" w:cs="仿宋_GB2312" w:eastAsia="仿宋_GB2312"/>
        </w:rPr>
        <w:t>联系电话：029-88110800转8025</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本项目为陕西省民政厅2026年厅机关干部职工体检项目。具体采购需求详见磋商文件第三章。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体检</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标的名称：体检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一、项目概况</w:t>
            </w:r>
          </w:p>
          <w:p>
            <w:pPr>
              <w:pStyle w:val="null3"/>
            </w:pPr>
            <w:r>
              <w:rPr>
                <w:rFonts w:ascii="仿宋_GB2312" w:hAnsi="仿宋_GB2312" w:cs="仿宋_GB2312" w:eastAsia="仿宋_GB2312"/>
              </w:rPr>
              <w:t>本项目为陕西省民政厅2026年厅机关干部职工体检项目。</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1、服务对象：男性职工142人、已婚女性55人、未婚女性8人，共计205人；</w:t>
            </w:r>
          </w:p>
          <w:p>
            <w:pPr>
              <w:pStyle w:val="null3"/>
            </w:pPr>
            <w:r>
              <w:rPr>
                <w:rFonts w:ascii="仿宋_GB2312" w:hAnsi="仿宋_GB2312" w:cs="仿宋_GB2312" w:eastAsia="仿宋_GB2312"/>
              </w:rPr>
              <w:t>2、体检内容：详见附件</w:t>
            </w:r>
          </w:p>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1、本次体检应在当地进行，在体检期间做好标识标牌，保证参检人员方便快捷进行各项体检。</w:t>
            </w:r>
          </w:p>
          <w:p>
            <w:pPr>
              <w:pStyle w:val="null3"/>
            </w:pPr>
            <w:r>
              <w:rPr>
                <w:rFonts w:ascii="仿宋_GB2312" w:hAnsi="仿宋_GB2312" w:cs="仿宋_GB2312" w:eastAsia="仿宋_GB2312"/>
              </w:rPr>
              <w:t>2、体检机构应对参检人员信息进行核对，确认核对是本人后方可体检。</w:t>
            </w:r>
          </w:p>
          <w:p>
            <w:pPr>
              <w:pStyle w:val="null3"/>
            </w:pPr>
            <w:r>
              <w:rPr>
                <w:rFonts w:ascii="仿宋_GB2312" w:hAnsi="仿宋_GB2312" w:cs="仿宋_GB2312" w:eastAsia="仿宋_GB2312"/>
              </w:rPr>
              <w:t>3、本着科学、严谨的工作态度，严格按医疗规范标准执行，确保向参检人员提供切实可信的体检，涉及到个人隐私应告知本人，不得向第三方传播。</w:t>
            </w:r>
          </w:p>
          <w:p>
            <w:pPr>
              <w:pStyle w:val="null3"/>
            </w:pPr>
            <w:r>
              <w:rPr>
                <w:rFonts w:ascii="仿宋_GB2312" w:hAnsi="仿宋_GB2312" w:cs="仿宋_GB2312" w:eastAsia="仿宋_GB2312"/>
              </w:rPr>
              <w:t>4、按规定的检查项目内容为参检人员提供对应的体检服务和体检器材,保证一人一针一管（器），用于医疗活动的器材需要符合《医疗器械监督管理条例》和相关的国家标准，确保产品的安全性和有效性。</w:t>
            </w:r>
          </w:p>
          <w:p>
            <w:pPr>
              <w:pStyle w:val="null3"/>
            </w:pPr>
            <w:r>
              <w:rPr>
                <w:rFonts w:ascii="仿宋_GB2312" w:hAnsi="仿宋_GB2312" w:cs="仿宋_GB2312" w:eastAsia="仿宋_GB2312"/>
              </w:rPr>
              <w:t>5、在所有人员体检完成后，及时以短信等电子形式将个人检查结论告知本人，并为所有参检人员出具体检报告。</w:t>
            </w:r>
          </w:p>
          <w:p>
            <w:pPr>
              <w:pStyle w:val="null3"/>
            </w:pPr>
            <w:r>
              <w:rPr>
                <w:rFonts w:ascii="仿宋_GB2312" w:hAnsi="仿宋_GB2312" w:cs="仿宋_GB2312" w:eastAsia="仿宋_GB2312"/>
              </w:rPr>
              <w:t>6、绿色通道：为体检人员准备早餐；根据体检人员个人情况进行定制检查服务、专家报告解读、中医辨证论治。</w:t>
            </w:r>
          </w:p>
          <w:p>
            <w:pPr>
              <w:pStyle w:val="null3"/>
            </w:pPr>
            <w:r>
              <w:rPr>
                <w:rFonts w:ascii="仿宋_GB2312" w:hAnsi="仿宋_GB2312" w:cs="仿宋_GB2312" w:eastAsia="仿宋_GB2312"/>
              </w:rPr>
              <w:t>附件：</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男性</w:t>
                  </w:r>
                </w:p>
              </w:tc>
              <w:tc>
                <w:tcPr>
                  <w:tcW w:type="dxa" w:w="426"/>
                </w:tcPr>
                <w:p>
                  <w:pPr>
                    <w:pStyle w:val="null3"/>
                  </w:pPr>
                  <w:r>
                    <w:rPr>
                      <w:rFonts w:ascii="仿宋_GB2312" w:hAnsi="仿宋_GB2312" w:cs="仿宋_GB2312" w:eastAsia="仿宋_GB2312"/>
                    </w:rPr>
                    <w:t>已婚女性</w:t>
                  </w:r>
                </w:p>
              </w:tc>
              <w:tc>
                <w:tcPr>
                  <w:tcW w:type="dxa" w:w="426"/>
                </w:tcPr>
                <w:p>
                  <w:pPr>
                    <w:pStyle w:val="null3"/>
                  </w:pPr>
                  <w:r>
                    <w:rPr>
                      <w:rFonts w:ascii="仿宋_GB2312" w:hAnsi="仿宋_GB2312" w:cs="仿宋_GB2312" w:eastAsia="仿宋_GB2312"/>
                    </w:rPr>
                    <w:t>未婚女性</w:t>
                  </w:r>
                </w:p>
              </w:tc>
            </w:tr>
            <w:tr>
              <w:tc>
                <w:tcPr>
                  <w:tcW w:type="dxa" w:w="426"/>
                  <w:vMerge w:val="restart"/>
                </w:tcPr>
                <w:p>
                  <w:pPr>
                    <w:pStyle w:val="null3"/>
                  </w:pPr>
                  <w:r>
                    <w:rPr>
                      <w:rFonts w:ascii="仿宋_GB2312" w:hAnsi="仿宋_GB2312" w:cs="仿宋_GB2312" w:eastAsia="仿宋_GB2312"/>
                    </w:rPr>
                    <w:t>物理检查</w:t>
                  </w:r>
                </w:p>
              </w:tc>
              <w:tc>
                <w:tcPr>
                  <w:tcW w:type="dxa" w:w="426"/>
                </w:tcPr>
                <w:p>
                  <w:pPr>
                    <w:pStyle w:val="null3"/>
                  </w:pPr>
                  <w:r>
                    <w:rPr>
                      <w:rFonts w:ascii="仿宋_GB2312" w:hAnsi="仿宋_GB2312" w:cs="仿宋_GB2312" w:eastAsia="仿宋_GB2312"/>
                    </w:rPr>
                    <w:t>一般检查</w:t>
                  </w:r>
                </w:p>
              </w:tc>
              <w:tc>
                <w:tcPr>
                  <w:tcW w:type="dxa" w:w="426"/>
                </w:tcPr>
                <w:p>
                  <w:pPr>
                    <w:pStyle w:val="null3"/>
                  </w:pPr>
                  <w:r>
                    <w:rPr>
                      <w:rFonts w:ascii="仿宋_GB2312" w:hAnsi="仿宋_GB2312" w:cs="仿宋_GB2312" w:eastAsia="仿宋_GB2312"/>
                    </w:rPr>
                    <w:t>测身高、体重、心律、腰围、血压</w:t>
                  </w:r>
                </w:p>
              </w:tc>
              <w:tc>
                <w:tcPr>
                  <w:tcW w:type="dxa" w:w="426"/>
                  <w:vMerge w:val="restart"/>
                </w:tcPr>
                <w:p>
                  <w:pPr>
                    <w:pStyle w:val="null3"/>
                  </w:pPr>
                  <w:r>
                    <w:rPr>
                      <w:rFonts w:ascii="仿宋_GB2312" w:hAnsi="仿宋_GB2312" w:cs="仿宋_GB2312" w:eastAsia="仿宋_GB2312"/>
                    </w:rPr>
                    <w:t>√</w:t>
                  </w:r>
                </w:p>
              </w:tc>
              <w:tc>
                <w:tcPr>
                  <w:tcW w:type="dxa" w:w="426"/>
                  <w:vMerge w:val="restart"/>
                </w:tcPr>
                <w:p>
                  <w:pPr>
                    <w:pStyle w:val="null3"/>
                  </w:pPr>
                  <w:r>
                    <w:rPr>
                      <w:rFonts w:ascii="仿宋_GB2312" w:hAnsi="仿宋_GB2312" w:cs="仿宋_GB2312" w:eastAsia="仿宋_GB2312"/>
                    </w:rPr>
                    <w:t>√</w:t>
                  </w:r>
                </w:p>
              </w:tc>
              <w:tc>
                <w:tcPr>
                  <w:tcW w:type="dxa" w:w="426"/>
                  <w:vMerge w:val="restart"/>
                </w:tcPr>
                <w:p>
                  <w:pPr>
                    <w:pStyle w:val="null3"/>
                  </w:pPr>
                  <w:r>
                    <w:rPr>
                      <w:rFonts w:ascii="仿宋_GB2312" w:hAnsi="仿宋_GB2312" w:cs="仿宋_GB2312" w:eastAsia="仿宋_GB2312"/>
                    </w:rPr>
                    <w:t>√</w:t>
                  </w:r>
                </w:p>
              </w:tc>
            </w:tr>
            <w:tr>
              <w:tc>
                <w:tcPr>
                  <w:tcW w:type="dxa" w:w="426"/>
                  <w:vMerge/>
                </w:tcPr>
                <w:p/>
              </w:tc>
              <w:tc>
                <w:tcPr>
                  <w:tcW w:type="dxa" w:w="426"/>
                </w:tcPr>
                <w:p>
                  <w:pPr>
                    <w:pStyle w:val="null3"/>
                  </w:pPr>
                  <w:r>
                    <w:rPr>
                      <w:rFonts w:ascii="仿宋_GB2312" w:hAnsi="仿宋_GB2312" w:cs="仿宋_GB2312" w:eastAsia="仿宋_GB2312"/>
                    </w:rPr>
                    <w:t>内科</w:t>
                  </w:r>
                </w:p>
              </w:tc>
              <w:tc>
                <w:tcPr>
                  <w:tcW w:type="dxa" w:w="426"/>
                </w:tcPr>
                <w:p>
                  <w:pPr>
                    <w:pStyle w:val="null3"/>
                  </w:pPr>
                  <w:r>
                    <w:rPr>
                      <w:rFonts w:ascii="仿宋_GB2312" w:hAnsi="仿宋_GB2312" w:cs="仿宋_GB2312" w:eastAsia="仿宋_GB2312"/>
                    </w:rPr>
                    <w:t>心肺听诊、肝脾触诊、肾区叩诊</w:t>
                  </w:r>
                </w:p>
              </w:tc>
              <w:tc>
                <w:tcPr>
                  <w:tcW w:type="dxa" w:w="426"/>
                  <w:vMerge/>
                </w:tcPr>
                <w:p/>
              </w:tc>
              <w:tc>
                <w:tcPr>
                  <w:tcW w:type="dxa" w:w="426"/>
                  <w:vMerge/>
                </w:tcPr>
                <w:p/>
              </w:tc>
              <w:tc>
                <w:tcPr>
                  <w:tcW w:type="dxa" w:w="426"/>
                  <w:vMerge/>
                </w:tcPr>
                <w:p/>
              </w:tc>
            </w:tr>
            <w:tr>
              <w:tc>
                <w:tcPr>
                  <w:tcW w:type="dxa" w:w="426"/>
                  <w:vMerge/>
                </w:tcPr>
                <w:p/>
              </w:tc>
              <w:tc>
                <w:tcPr>
                  <w:tcW w:type="dxa" w:w="426"/>
                </w:tcPr>
                <w:p>
                  <w:pPr>
                    <w:pStyle w:val="null3"/>
                  </w:pPr>
                  <w:r>
                    <w:rPr>
                      <w:rFonts w:ascii="仿宋_GB2312" w:hAnsi="仿宋_GB2312" w:cs="仿宋_GB2312" w:eastAsia="仿宋_GB2312"/>
                    </w:rPr>
                    <w:t>外科</w:t>
                  </w:r>
                </w:p>
              </w:tc>
              <w:tc>
                <w:tcPr>
                  <w:tcW w:type="dxa" w:w="426"/>
                </w:tcPr>
                <w:p>
                  <w:pPr>
                    <w:pStyle w:val="null3"/>
                  </w:pPr>
                  <w:r>
                    <w:rPr>
                      <w:rFonts w:ascii="仿宋_GB2312" w:hAnsi="仿宋_GB2312" w:cs="仿宋_GB2312" w:eastAsia="仿宋_GB2312"/>
                    </w:rPr>
                    <w:t>淋巴结、甲状腺、脊柱、四肢</w:t>
                  </w:r>
                </w:p>
              </w:tc>
              <w:tc>
                <w:tcPr>
                  <w:tcW w:type="dxa" w:w="426"/>
                  <w:vMerge/>
                </w:tcPr>
                <w:p/>
              </w:tc>
              <w:tc>
                <w:tcPr>
                  <w:tcW w:type="dxa" w:w="426"/>
                  <w:vMerge/>
                </w:tcPr>
                <w:p/>
              </w:tc>
              <w:tc>
                <w:tcPr>
                  <w:tcW w:type="dxa" w:w="426"/>
                  <w:vMerge/>
                </w:tcPr>
                <w:p/>
              </w:tc>
            </w:tr>
            <w:tr>
              <w:tc>
                <w:tcPr>
                  <w:tcW w:type="dxa" w:w="426"/>
                  <w:vMerge/>
                </w:tcPr>
                <w:p/>
              </w:tc>
              <w:tc>
                <w:tcPr>
                  <w:tcW w:type="dxa" w:w="426"/>
                </w:tcPr>
                <w:p>
                  <w:pPr>
                    <w:pStyle w:val="null3"/>
                  </w:pPr>
                  <w:r>
                    <w:rPr>
                      <w:rFonts w:ascii="仿宋_GB2312" w:hAnsi="仿宋_GB2312" w:cs="仿宋_GB2312" w:eastAsia="仿宋_GB2312"/>
                    </w:rPr>
                    <w:t>眼科</w:t>
                  </w:r>
                </w:p>
              </w:tc>
              <w:tc>
                <w:tcPr>
                  <w:tcW w:type="dxa" w:w="426"/>
                </w:tcPr>
                <w:p>
                  <w:pPr>
                    <w:pStyle w:val="null3"/>
                  </w:pPr>
                  <w:r>
                    <w:rPr>
                      <w:rFonts w:ascii="仿宋_GB2312" w:hAnsi="仿宋_GB2312" w:cs="仿宋_GB2312" w:eastAsia="仿宋_GB2312"/>
                    </w:rPr>
                    <w:t>眼科一般检查</w:t>
                  </w:r>
                </w:p>
              </w:tc>
              <w:tc>
                <w:tcPr>
                  <w:tcW w:type="dxa" w:w="426"/>
                  <w:vMerge/>
                </w:tcPr>
                <w:p/>
              </w:tc>
              <w:tc>
                <w:tcPr>
                  <w:tcW w:type="dxa" w:w="426"/>
                  <w:vMerge/>
                </w:tcPr>
                <w:p/>
              </w:tc>
              <w:tc>
                <w:tcPr>
                  <w:tcW w:type="dxa" w:w="426"/>
                  <w:vMerge/>
                </w:tcPr>
                <w:p/>
              </w:tc>
            </w:tr>
            <w:tr>
              <w:tc>
                <w:tcPr>
                  <w:tcW w:type="dxa" w:w="426"/>
                  <w:vMerge/>
                </w:tcPr>
                <w:p/>
              </w:tc>
              <w:tc>
                <w:tcPr>
                  <w:tcW w:type="dxa" w:w="426"/>
                </w:tcPr>
                <w:p>
                  <w:pPr>
                    <w:pStyle w:val="null3"/>
                  </w:pPr>
                  <w:r>
                    <w:rPr>
                      <w:rFonts w:ascii="仿宋_GB2312" w:hAnsi="仿宋_GB2312" w:cs="仿宋_GB2312" w:eastAsia="仿宋_GB2312"/>
                    </w:rPr>
                    <w:t>耳鼻喉科</w:t>
                  </w:r>
                </w:p>
              </w:tc>
              <w:tc>
                <w:tcPr>
                  <w:tcW w:type="dxa" w:w="426"/>
                </w:tcPr>
                <w:p>
                  <w:pPr>
                    <w:pStyle w:val="null3"/>
                  </w:pPr>
                  <w:r>
                    <w:rPr>
                      <w:rFonts w:ascii="仿宋_GB2312" w:hAnsi="仿宋_GB2312" w:cs="仿宋_GB2312" w:eastAsia="仿宋_GB2312"/>
                    </w:rPr>
                    <w:t>鼻窦炎、中耳炎、鼻中隔偏曲、鼻咽喉阻塞等疾病。</w:t>
                  </w:r>
                </w:p>
              </w:tc>
              <w:tc>
                <w:tcPr>
                  <w:tcW w:type="dxa" w:w="426"/>
                  <w:vMerge/>
                </w:tcPr>
                <w:p/>
              </w:tc>
              <w:tc>
                <w:tcPr>
                  <w:tcW w:type="dxa" w:w="426"/>
                  <w:vMerge/>
                </w:tcPr>
                <w:p/>
              </w:tc>
              <w:tc>
                <w:tcPr>
                  <w:tcW w:type="dxa" w:w="426"/>
                  <w:vMerge/>
                </w:tcPr>
                <w:p/>
              </w:tc>
            </w:tr>
            <w:tr>
              <w:tc>
                <w:tcPr>
                  <w:tcW w:type="dxa" w:w="426"/>
                  <w:vMerge/>
                </w:tcPr>
                <w:p/>
              </w:tc>
              <w:tc>
                <w:tcPr>
                  <w:tcW w:type="dxa" w:w="426"/>
                </w:tcPr>
                <w:p>
                  <w:pPr>
                    <w:pStyle w:val="null3"/>
                  </w:pPr>
                  <w:r>
                    <w:rPr>
                      <w:rFonts w:ascii="仿宋_GB2312" w:hAnsi="仿宋_GB2312" w:cs="仿宋_GB2312" w:eastAsia="仿宋_GB2312"/>
                    </w:rPr>
                    <w:t>健康体检</w:t>
                  </w:r>
                </w:p>
              </w:tc>
              <w:tc>
                <w:tcPr>
                  <w:tcW w:type="dxa" w:w="426"/>
                </w:tcPr>
                <w:p>
                  <w:pPr>
                    <w:pStyle w:val="null3"/>
                  </w:pPr>
                  <w:r>
                    <w:rPr>
                      <w:rFonts w:ascii="仿宋_GB2312" w:hAnsi="仿宋_GB2312" w:cs="仿宋_GB2312" w:eastAsia="仿宋_GB2312"/>
                    </w:rPr>
                    <w:t>报告汇总、报告结论、健康建议、电子档案、报告解读</w:t>
                  </w:r>
                </w:p>
              </w:tc>
              <w:tc>
                <w:tcPr>
                  <w:tcW w:type="dxa" w:w="426"/>
                  <w:vMerge/>
                </w:tcPr>
                <w:p/>
              </w:tc>
              <w:tc>
                <w:tcPr>
                  <w:tcW w:type="dxa" w:w="426"/>
                  <w:vMerge/>
                </w:tcPr>
                <w:p/>
              </w:tc>
              <w:tc>
                <w:tcPr>
                  <w:tcW w:type="dxa" w:w="426"/>
                  <w:vMerge/>
                </w:tcPr>
                <w:p/>
              </w:tc>
            </w:tr>
            <w:tr>
              <w:tc>
                <w:tcPr>
                  <w:tcW w:type="dxa" w:w="426"/>
                  <w:vMerge/>
                </w:tcPr>
                <w:p/>
              </w:tc>
              <w:tc>
                <w:tcPr>
                  <w:tcW w:type="dxa" w:w="426"/>
                </w:tcPr>
                <w:p>
                  <w:pPr>
                    <w:pStyle w:val="null3"/>
                  </w:pPr>
                  <w:r>
                    <w:rPr>
                      <w:rFonts w:ascii="仿宋_GB2312" w:hAnsi="仿宋_GB2312" w:cs="仿宋_GB2312" w:eastAsia="仿宋_GB2312"/>
                    </w:rPr>
                    <w:t>口腔科</w:t>
                  </w:r>
                </w:p>
              </w:tc>
              <w:tc>
                <w:tcPr>
                  <w:tcW w:type="dxa" w:w="426"/>
                </w:tcPr>
                <w:p>
                  <w:pPr>
                    <w:pStyle w:val="null3"/>
                  </w:pPr>
                  <w:r>
                    <w:rPr>
                      <w:rFonts w:ascii="仿宋_GB2312" w:hAnsi="仿宋_GB2312" w:cs="仿宋_GB2312" w:eastAsia="仿宋_GB2312"/>
                    </w:rPr>
                    <w:t>颌面部和口内部检查</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r>
            <w:tr>
              <w:tc>
                <w:tcPr>
                  <w:tcW w:type="dxa" w:w="426"/>
                  <w:vMerge/>
                </w:tcPr>
                <w:p/>
              </w:tc>
              <w:tc>
                <w:tcPr>
                  <w:tcW w:type="dxa" w:w="426"/>
                </w:tcPr>
                <w:p>
                  <w:pPr>
                    <w:pStyle w:val="null3"/>
                  </w:pPr>
                  <w:r>
                    <w:rPr>
                      <w:rFonts w:ascii="仿宋_GB2312" w:hAnsi="仿宋_GB2312" w:cs="仿宋_GB2312" w:eastAsia="仿宋_GB2312"/>
                    </w:rPr>
                    <w:t>眼底照相</w:t>
                  </w:r>
                </w:p>
              </w:tc>
              <w:tc>
                <w:tcPr>
                  <w:tcW w:type="dxa" w:w="426"/>
                </w:tcPr>
                <w:p>
                  <w:pPr>
                    <w:pStyle w:val="null3"/>
                  </w:pPr>
                  <w:r>
                    <w:rPr>
                      <w:rFonts w:ascii="仿宋_GB2312" w:hAnsi="仿宋_GB2312" w:cs="仿宋_GB2312" w:eastAsia="仿宋_GB2312"/>
                    </w:rPr>
                    <w:t>筛查视网膜病变</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r>
            <w:tr>
              <w:tc>
                <w:tcPr>
                  <w:tcW w:type="dxa" w:w="426"/>
                  <w:vMerge/>
                </w:tcPr>
                <w:p/>
              </w:tc>
              <w:tc>
                <w:tcPr>
                  <w:tcW w:type="dxa" w:w="426"/>
                </w:tcPr>
                <w:p>
                  <w:pPr>
                    <w:pStyle w:val="null3"/>
                  </w:pPr>
                  <w:r>
                    <w:rPr>
                      <w:rFonts w:ascii="仿宋_GB2312" w:hAnsi="仿宋_GB2312" w:cs="仿宋_GB2312" w:eastAsia="仿宋_GB2312"/>
                    </w:rPr>
                    <w:t>眼压</w:t>
                  </w:r>
                </w:p>
              </w:tc>
              <w:tc>
                <w:tcPr>
                  <w:tcW w:type="dxa" w:w="426"/>
                </w:tcPr>
                <w:p>
                  <w:pPr>
                    <w:pStyle w:val="null3"/>
                  </w:pPr>
                  <w:r>
                    <w:rPr>
                      <w:rFonts w:ascii="仿宋_GB2312" w:hAnsi="仿宋_GB2312" w:cs="仿宋_GB2312" w:eastAsia="仿宋_GB2312"/>
                    </w:rPr>
                    <w:t>检查是否有眼压升高或降低</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r>
            <w:tr>
              <w:tc>
                <w:tcPr>
                  <w:tcW w:type="dxa" w:w="426"/>
                  <w:vMerge/>
                </w:tcPr>
                <w:p/>
              </w:tc>
              <w:tc>
                <w:tcPr>
                  <w:tcW w:type="dxa" w:w="426"/>
                </w:tcPr>
                <w:p>
                  <w:pPr>
                    <w:pStyle w:val="null3"/>
                  </w:pPr>
                  <w:r>
                    <w:rPr>
                      <w:rFonts w:ascii="仿宋_GB2312" w:hAnsi="仿宋_GB2312" w:cs="仿宋_GB2312" w:eastAsia="仿宋_GB2312"/>
                    </w:rPr>
                    <w:t>裂隙灯</w:t>
                  </w:r>
                </w:p>
              </w:tc>
              <w:tc>
                <w:tcPr>
                  <w:tcW w:type="dxa" w:w="426"/>
                </w:tcPr>
                <w:p>
                  <w:pPr>
                    <w:pStyle w:val="null3"/>
                  </w:pPr>
                  <w:r>
                    <w:rPr>
                      <w:rFonts w:ascii="仿宋_GB2312" w:hAnsi="仿宋_GB2312" w:cs="仿宋_GB2312" w:eastAsia="仿宋_GB2312"/>
                    </w:rPr>
                    <w:t>对角膜、虹膜、晶体作全面观察</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r>
            <w:tr>
              <w:tc>
                <w:tcPr>
                  <w:tcW w:type="dxa" w:w="426"/>
                  <w:vMerge/>
                </w:tcPr>
                <w:p/>
              </w:tc>
              <w:tc>
                <w:tcPr>
                  <w:tcW w:type="dxa" w:w="426"/>
                </w:tcPr>
                <w:p>
                  <w:pPr>
                    <w:pStyle w:val="null3"/>
                  </w:pPr>
                  <w:r>
                    <w:rPr>
                      <w:rFonts w:ascii="仿宋_GB2312" w:hAnsi="仿宋_GB2312" w:cs="仿宋_GB2312" w:eastAsia="仿宋_GB2312"/>
                    </w:rPr>
                    <w:t>粪常规+隐血</w:t>
                  </w:r>
                </w:p>
              </w:tc>
              <w:tc>
                <w:tcPr>
                  <w:tcW w:type="dxa" w:w="426"/>
                </w:tcPr>
                <w:p>
                  <w:pPr>
                    <w:pStyle w:val="null3"/>
                  </w:pPr>
                  <w:r>
                    <w:rPr>
                      <w:rFonts w:ascii="仿宋_GB2312" w:hAnsi="仿宋_GB2312" w:cs="仿宋_GB2312" w:eastAsia="仿宋_GB2312"/>
                    </w:rPr>
                    <w:t>有无消化道出血、消化道寄生虫感染等</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r>
            <w:tr>
              <w:tc>
                <w:tcPr>
                  <w:tcW w:type="dxa" w:w="852"/>
                  <w:gridSpan w:val="2"/>
                  <w:vMerge w:val="restart"/>
                </w:tcPr>
                <w:p>
                  <w:pPr>
                    <w:pStyle w:val="null3"/>
                  </w:pPr>
                  <w:r>
                    <w:rPr>
                      <w:rFonts w:ascii="仿宋_GB2312" w:hAnsi="仿宋_GB2312" w:cs="仿宋_GB2312" w:eastAsia="仿宋_GB2312"/>
                    </w:rPr>
                    <w:t>超声检查</w:t>
                  </w:r>
                </w:p>
              </w:tc>
              <w:tc>
                <w:tcPr>
                  <w:tcW w:type="dxa" w:w="426"/>
                </w:tcPr>
                <w:p>
                  <w:pPr>
                    <w:pStyle w:val="null3"/>
                  </w:pPr>
                  <w:r>
                    <w:rPr>
                      <w:rFonts w:ascii="仿宋_GB2312" w:hAnsi="仿宋_GB2312" w:cs="仿宋_GB2312" w:eastAsia="仿宋_GB2312"/>
                    </w:rPr>
                    <w:t>腹部B超</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r>
            <w:tr>
              <w:tc>
                <w:tcPr>
                  <w:tcW w:type="dxa" w:w="852"/>
                  <w:gridSpan w:val="2"/>
                  <w:vMerge/>
                </w:tcPr>
                <w:p/>
              </w:tc>
              <w:tc>
                <w:tcPr>
                  <w:tcW w:type="dxa" w:w="426"/>
                </w:tcPr>
                <w:p>
                  <w:pPr>
                    <w:pStyle w:val="null3"/>
                  </w:pPr>
                  <w:r>
                    <w:rPr>
                      <w:rFonts w:ascii="仿宋_GB2312" w:hAnsi="仿宋_GB2312" w:cs="仿宋_GB2312" w:eastAsia="仿宋_GB2312"/>
                    </w:rPr>
                    <w:t>泌尿B超</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r>
            <w:tr>
              <w:tc>
                <w:tcPr>
                  <w:tcW w:type="dxa" w:w="852"/>
                  <w:gridSpan w:val="2"/>
                  <w:vMerge/>
                </w:tcPr>
                <w:p/>
              </w:tc>
              <w:tc>
                <w:tcPr>
                  <w:tcW w:type="dxa" w:w="426"/>
                </w:tcPr>
                <w:p>
                  <w:pPr>
                    <w:pStyle w:val="null3"/>
                  </w:pPr>
                  <w:r>
                    <w:rPr>
                      <w:rFonts w:ascii="仿宋_GB2312" w:hAnsi="仿宋_GB2312" w:cs="仿宋_GB2312" w:eastAsia="仿宋_GB2312"/>
                    </w:rPr>
                    <w:t>妇科B超</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r>
            <w:tr>
              <w:tc>
                <w:tcPr>
                  <w:tcW w:type="dxa" w:w="852"/>
                  <w:gridSpan w:val="2"/>
                  <w:vMerge/>
                </w:tcPr>
                <w:p/>
              </w:tc>
              <w:tc>
                <w:tcPr>
                  <w:tcW w:type="dxa" w:w="426"/>
                </w:tcPr>
                <w:p>
                  <w:pPr>
                    <w:pStyle w:val="null3"/>
                  </w:pPr>
                  <w:r>
                    <w:rPr>
                      <w:rFonts w:ascii="仿宋_GB2312" w:hAnsi="仿宋_GB2312" w:cs="仿宋_GB2312" w:eastAsia="仿宋_GB2312"/>
                    </w:rPr>
                    <w:t>甲状腺B超</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r>
            <w:tr>
              <w:tc>
                <w:tcPr>
                  <w:tcW w:type="dxa" w:w="852"/>
                  <w:gridSpan w:val="2"/>
                  <w:vMerge/>
                </w:tcPr>
                <w:p/>
              </w:tc>
              <w:tc>
                <w:tcPr>
                  <w:tcW w:type="dxa" w:w="426"/>
                </w:tcPr>
                <w:p>
                  <w:pPr>
                    <w:pStyle w:val="null3"/>
                  </w:pPr>
                  <w:r>
                    <w:rPr>
                      <w:rFonts w:ascii="仿宋_GB2312" w:hAnsi="仿宋_GB2312" w:cs="仿宋_GB2312" w:eastAsia="仿宋_GB2312"/>
                    </w:rPr>
                    <w:t>心脏彩超</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r>
            <w:tr>
              <w:tc>
                <w:tcPr>
                  <w:tcW w:type="dxa" w:w="852"/>
                  <w:gridSpan w:val="2"/>
                  <w:vMerge/>
                </w:tcPr>
                <w:p/>
              </w:tc>
              <w:tc>
                <w:tcPr>
                  <w:tcW w:type="dxa" w:w="426"/>
                </w:tcPr>
                <w:p>
                  <w:pPr>
                    <w:pStyle w:val="null3"/>
                  </w:pPr>
                  <w:r>
                    <w:rPr>
                      <w:rFonts w:ascii="仿宋_GB2312" w:hAnsi="仿宋_GB2312" w:cs="仿宋_GB2312" w:eastAsia="仿宋_GB2312"/>
                    </w:rPr>
                    <w:t>双侧乳腺B超</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r>
            <w:tr>
              <w:tc>
                <w:tcPr>
                  <w:tcW w:type="dxa" w:w="852"/>
                  <w:gridSpan w:val="2"/>
                </w:tcPr>
                <w:p>
                  <w:pPr>
                    <w:pStyle w:val="null3"/>
                  </w:pPr>
                  <w:r>
                    <w:rPr>
                      <w:rFonts w:ascii="仿宋_GB2312" w:hAnsi="仿宋_GB2312" w:cs="仿宋_GB2312" w:eastAsia="仿宋_GB2312"/>
                    </w:rPr>
                    <w:t>影像检查</w:t>
                  </w:r>
                </w:p>
              </w:tc>
              <w:tc>
                <w:tcPr>
                  <w:tcW w:type="dxa" w:w="426"/>
                </w:tcPr>
                <w:p>
                  <w:pPr>
                    <w:pStyle w:val="null3"/>
                  </w:pPr>
                  <w:r>
                    <w:rPr>
                      <w:rFonts w:ascii="仿宋_GB2312" w:hAnsi="仿宋_GB2312" w:cs="仿宋_GB2312" w:eastAsia="仿宋_GB2312"/>
                    </w:rPr>
                    <w:t>胸部CT</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r>
            <w:tr>
              <w:tc>
                <w:tcPr>
                  <w:tcW w:type="dxa" w:w="426"/>
                  <w:vMerge w:val="restart"/>
                </w:tcPr>
                <w:p>
                  <w:pPr>
                    <w:pStyle w:val="null3"/>
                  </w:pPr>
                  <w:r>
                    <w:rPr>
                      <w:rFonts w:ascii="仿宋_GB2312" w:hAnsi="仿宋_GB2312" w:cs="仿宋_GB2312" w:eastAsia="仿宋_GB2312"/>
                    </w:rPr>
                    <w:t>血液检查</w:t>
                  </w:r>
                </w:p>
              </w:tc>
              <w:tc>
                <w:tcPr>
                  <w:tcW w:type="dxa" w:w="426"/>
                  <w:vMerge w:val="restart"/>
                </w:tcPr>
                <w:p>
                  <w:pPr>
                    <w:pStyle w:val="null3"/>
                  </w:pPr>
                  <w:r>
                    <w:rPr>
                      <w:rFonts w:ascii="仿宋_GB2312" w:hAnsi="仿宋_GB2312" w:cs="仿宋_GB2312" w:eastAsia="仿宋_GB2312"/>
                    </w:rPr>
                    <w:t>常规检查</w:t>
                  </w:r>
                </w:p>
              </w:tc>
              <w:tc>
                <w:tcPr>
                  <w:tcW w:type="dxa" w:w="426"/>
                </w:tcPr>
                <w:p>
                  <w:pPr>
                    <w:pStyle w:val="null3"/>
                  </w:pPr>
                  <w:r>
                    <w:rPr>
                      <w:rFonts w:ascii="仿宋_GB2312" w:hAnsi="仿宋_GB2312" w:cs="仿宋_GB2312" w:eastAsia="仿宋_GB2312"/>
                    </w:rPr>
                    <w:t>血常规</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尿液分析</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肝功十项</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肾功四项</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甲功五项</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乙肝系列</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血脂四项</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糖化血红蛋白</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r>
            <w:tr>
              <w:tc>
                <w:tcPr>
                  <w:tcW w:type="dxa" w:w="426"/>
                  <w:vMerge/>
                </w:tcPr>
                <w:p/>
              </w:tc>
              <w:tc>
                <w:tcPr>
                  <w:tcW w:type="dxa" w:w="426"/>
                  <w:vMerge w:val="restart"/>
                </w:tcPr>
                <w:p>
                  <w:pPr>
                    <w:pStyle w:val="null3"/>
                  </w:pPr>
                  <w:r>
                    <w:rPr>
                      <w:rFonts w:ascii="仿宋_GB2312" w:hAnsi="仿宋_GB2312" w:cs="仿宋_GB2312" w:eastAsia="仿宋_GB2312"/>
                    </w:rPr>
                    <w:t>肿瘤检查</w:t>
                  </w:r>
                </w:p>
              </w:tc>
              <w:tc>
                <w:tcPr>
                  <w:tcW w:type="dxa" w:w="426"/>
                </w:tcPr>
                <w:p>
                  <w:pPr>
                    <w:pStyle w:val="null3"/>
                  </w:pPr>
                  <w:r>
                    <w:rPr>
                      <w:rFonts w:ascii="仿宋_GB2312" w:hAnsi="仿宋_GB2312" w:cs="仿宋_GB2312" w:eastAsia="仿宋_GB2312"/>
                    </w:rPr>
                    <w:t>AFP</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CEA</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CA199</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TPSA+FPSA</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CA125</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CA153</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神经元特异性烯醇化酶NSE</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鳞状细胞癌相关抗原SCC</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r>
            <w:tr>
              <w:tc>
                <w:tcPr>
                  <w:tcW w:type="dxa" w:w="852"/>
                  <w:gridSpan w:val="2"/>
                </w:tcPr>
                <w:p>
                  <w:pPr>
                    <w:pStyle w:val="null3"/>
                  </w:pPr>
                  <w:r>
                    <w:rPr>
                      <w:rFonts w:ascii="仿宋_GB2312" w:hAnsi="仿宋_GB2312" w:cs="仿宋_GB2312" w:eastAsia="仿宋_GB2312"/>
                    </w:rPr>
                    <w:t>心电图</w:t>
                  </w:r>
                </w:p>
              </w:tc>
              <w:tc>
                <w:tcPr>
                  <w:tcW w:type="dxa" w:w="426"/>
                </w:tcPr>
                <w:p>
                  <w:pPr>
                    <w:pStyle w:val="null3"/>
                  </w:pPr>
                  <w:r>
                    <w:rPr>
                      <w:rFonts w:ascii="仿宋_GB2312" w:hAnsi="仿宋_GB2312" w:cs="仿宋_GB2312" w:eastAsia="仿宋_GB2312"/>
                    </w:rPr>
                    <w:t>十二导联</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r>
            <w:tr>
              <w:tc>
                <w:tcPr>
                  <w:tcW w:type="dxa" w:w="852"/>
                  <w:gridSpan w:val="2"/>
                  <w:vMerge w:val="restart"/>
                </w:tcPr>
                <w:p>
                  <w:pPr>
                    <w:pStyle w:val="null3"/>
                  </w:pPr>
                  <w:r>
                    <w:rPr>
                      <w:rFonts w:ascii="仿宋_GB2312" w:hAnsi="仿宋_GB2312" w:cs="仿宋_GB2312" w:eastAsia="仿宋_GB2312"/>
                    </w:rPr>
                    <w:t>妇科检查</w:t>
                  </w:r>
                </w:p>
              </w:tc>
              <w:tc>
                <w:tcPr>
                  <w:tcW w:type="dxa" w:w="426"/>
                </w:tcPr>
                <w:p>
                  <w:pPr>
                    <w:pStyle w:val="null3"/>
                  </w:pPr>
                  <w:r>
                    <w:rPr>
                      <w:rFonts w:ascii="仿宋_GB2312" w:hAnsi="仿宋_GB2312" w:cs="仿宋_GB2312" w:eastAsia="仿宋_GB2312"/>
                    </w:rPr>
                    <w:t>妇科检查+液基TCT</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r>
            <w:tr>
              <w:tc>
                <w:tcPr>
                  <w:tcW w:type="dxa" w:w="852"/>
                  <w:gridSpan w:val="2"/>
                  <w:vMerge/>
                </w:tcPr>
                <w:p/>
              </w:tc>
              <w:tc>
                <w:tcPr>
                  <w:tcW w:type="dxa" w:w="426"/>
                </w:tcPr>
                <w:p>
                  <w:pPr>
                    <w:pStyle w:val="null3"/>
                  </w:pPr>
                  <w:r>
                    <w:rPr>
                      <w:rFonts w:ascii="仿宋_GB2312" w:hAnsi="仿宋_GB2312" w:cs="仿宋_GB2312" w:eastAsia="仿宋_GB2312"/>
                    </w:rPr>
                    <w:t>HPV</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r>
            <w:tr>
              <w:tc>
                <w:tcPr>
                  <w:tcW w:type="dxa" w:w="852"/>
                  <w:gridSpan w:val="2"/>
                  <w:vMerge w:val="restart"/>
                </w:tcPr>
                <w:p>
                  <w:pPr>
                    <w:pStyle w:val="null3"/>
                  </w:pPr>
                  <w:r>
                    <w:rPr>
                      <w:rFonts w:ascii="仿宋_GB2312" w:hAnsi="仿宋_GB2312" w:cs="仿宋_GB2312" w:eastAsia="仿宋_GB2312"/>
                    </w:rPr>
                    <w:t>其他检查</w:t>
                  </w:r>
                </w:p>
              </w:tc>
              <w:tc>
                <w:tcPr>
                  <w:tcW w:type="dxa" w:w="426"/>
                </w:tcPr>
                <w:p>
                  <w:pPr>
                    <w:pStyle w:val="null3"/>
                  </w:pPr>
                  <w:r>
                    <w:rPr>
                      <w:rFonts w:ascii="仿宋_GB2312" w:hAnsi="仿宋_GB2312" w:cs="仿宋_GB2312" w:eastAsia="仿宋_GB2312"/>
                    </w:rPr>
                    <w:t>动脉硬化检查</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r>
            <w:tr>
              <w:tc>
                <w:tcPr>
                  <w:tcW w:type="dxa" w:w="852"/>
                  <w:gridSpan w:val="2"/>
                  <w:vMerge/>
                </w:tcPr>
                <w:p/>
              </w:tc>
              <w:tc>
                <w:tcPr>
                  <w:tcW w:type="dxa" w:w="426"/>
                </w:tcPr>
                <w:p>
                  <w:pPr>
                    <w:pStyle w:val="null3"/>
                  </w:pPr>
                  <w:r>
                    <w:rPr>
                      <w:rFonts w:ascii="仿宋_GB2312" w:hAnsi="仿宋_GB2312" w:cs="仿宋_GB2312" w:eastAsia="仿宋_GB2312"/>
                    </w:rPr>
                    <w:t>双能骨密度</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r>
            <w:tr>
              <w:tc>
                <w:tcPr>
                  <w:tcW w:type="dxa" w:w="852"/>
                  <w:gridSpan w:val="2"/>
                  <w:vMerge/>
                </w:tcPr>
                <w:p/>
              </w:tc>
              <w:tc>
                <w:tcPr>
                  <w:tcW w:type="dxa" w:w="426"/>
                </w:tcPr>
                <w:p>
                  <w:pPr>
                    <w:pStyle w:val="null3"/>
                  </w:pPr>
                  <w:r>
                    <w:rPr>
                      <w:rFonts w:ascii="仿宋_GB2312" w:hAnsi="仿宋_GB2312" w:cs="仿宋_GB2312" w:eastAsia="仿宋_GB2312"/>
                    </w:rPr>
                    <w:t>碳13呼气试验</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w:t>
                  </w:r>
                </w:p>
              </w:tc>
            </w:tr>
          </w:tbl>
          <w:p>
            <w:pPr>
              <w:pStyle w:val="null3"/>
            </w:pPr>
            <w:r>
              <w:rPr>
                <w:rFonts w:ascii="仿宋_GB2312" w:hAnsi="仿宋_GB2312" w:cs="仿宋_GB2312" w:eastAsia="仿宋_GB2312"/>
              </w:rPr>
              <w:t xml:space="preserve"> </w:t>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满足本采购项目服务需求的人员配置。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满足本采购项目服务需求的设施设备。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成交供应商服务地点。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甲乙双方按照合同约定服务要求验收。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进度款，完成年度体检任务并验收合格后，按实际体检人数据实结算，达到付款条件起15个工作日内，支付合同总金额的100.0%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根据合同文本执行。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7月（含7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7月（含7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2026年1月1日以来银行出具的资信证明（以上两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响应函 3资格证明文件.docx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提供供应商有效的《医疗机构执业许可证》和《放射诊疗许可证》。</w:t>
            </w:r>
          </w:p>
        </w:tc>
        <w:tc>
          <w:tcPr>
            <w:tcW w:type="dxa" w:w="1661"/>
          </w:tcPr>
          <w:p>
            <w:pPr>
              <w:pStyle w:val="null3"/>
            </w:pPr>
            <w:r>
              <w:rPr>
                <w:rFonts w:ascii="仿宋_GB2312" w:hAnsi="仿宋_GB2312" w:cs="仿宋_GB2312" w:eastAsia="仿宋_GB2312"/>
              </w:rPr>
              <w:t>3资格证明文件.docx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总报价未超过磋商文件中规定的最高限价的</w:t>
            </w:r>
          </w:p>
        </w:tc>
        <w:tc>
          <w:tcPr>
            <w:tcW w:type="dxa" w:w="1661"/>
          </w:tcPr>
          <w:p>
            <w:pPr>
              <w:pStyle w:val="null3"/>
            </w:pPr>
            <w:r>
              <w:rPr>
                <w:rFonts w:ascii="仿宋_GB2312" w:hAnsi="仿宋_GB2312" w:cs="仿宋_GB2312" w:eastAsia="仿宋_GB2312"/>
              </w:rPr>
              <w:t>标的清单 1分项价格表.docx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满足本磋商文件中3.3商务要求中服务期限、服务地点、支付约定要求的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供应商针对本项目提供整体服务方案，包括但不限于①项目组织管理②现场指引服务③体检流程安排④检验检测与卫生安全、规范操作⑤结果报告⑥信息化服务等方面。 上述6项内容，每提供1项内容计3分，每项内容存在1处瑕疵扣0.5分；本评分点满分18分。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的定义同此处。）</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6整体服务方案.docx</w:t>
            </w:r>
          </w:p>
          <w:p>
            <w:pPr>
              <w:pStyle w:val="null3"/>
            </w:pPr>
            <w:r>
              <w:rPr>
                <w:rFonts w:ascii="仿宋_GB2312" w:hAnsi="仿宋_GB2312" w:cs="仿宋_GB2312" w:eastAsia="仿宋_GB2312"/>
              </w:rPr>
              <w:t>5服务响应偏离表.docx</w:t>
            </w:r>
          </w:p>
        </w:tc>
      </w:tr>
      <w:tr>
        <w:tc>
          <w:tcPr>
            <w:tcW w:type="dxa" w:w="831"/>
            <w:vMerge/>
          </w:tcPr>
          <w:p/>
        </w:tc>
        <w:tc>
          <w:tcPr>
            <w:tcW w:type="dxa" w:w="1661"/>
          </w:tcPr>
          <w:p>
            <w:pPr>
              <w:pStyle w:val="null3"/>
            </w:pPr>
            <w:r>
              <w:rPr>
                <w:rFonts w:ascii="仿宋_GB2312" w:hAnsi="仿宋_GB2312" w:cs="仿宋_GB2312" w:eastAsia="仿宋_GB2312"/>
              </w:rPr>
              <w:t>其他配套服务</w:t>
            </w:r>
          </w:p>
        </w:tc>
        <w:tc>
          <w:tcPr>
            <w:tcW w:type="dxa" w:w="2492"/>
          </w:tcPr>
          <w:p>
            <w:pPr>
              <w:pStyle w:val="null3"/>
            </w:pPr>
            <w:r>
              <w:rPr>
                <w:rFonts w:ascii="仿宋_GB2312" w:hAnsi="仿宋_GB2312" w:cs="仿宋_GB2312" w:eastAsia="仿宋_GB2312"/>
              </w:rPr>
              <w:t>供应商提供针对本项目的配套服务方案，包括但不限于①早餐服务②定制检查服务③专家报告解读④中医辩证论治等。 上述4项内容，每提供1项内容计2.5分，每项内容存在1处瑕疵扣0.5分；本评分点满分10分。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7其他配套服务.docx</w:t>
            </w:r>
          </w:p>
        </w:tc>
      </w:tr>
      <w:tr>
        <w:tc>
          <w:tcPr>
            <w:tcW w:type="dxa" w:w="831"/>
            <w:vMerge/>
          </w:tcPr>
          <w:p/>
        </w:tc>
        <w:tc>
          <w:tcPr>
            <w:tcW w:type="dxa" w:w="1661"/>
          </w:tcPr>
          <w:p>
            <w:pPr>
              <w:pStyle w:val="null3"/>
            </w:pPr>
            <w:r>
              <w:rPr>
                <w:rFonts w:ascii="仿宋_GB2312" w:hAnsi="仿宋_GB2312" w:cs="仿宋_GB2312" w:eastAsia="仿宋_GB2312"/>
              </w:rPr>
              <w:t>仪器设备及耗材</w:t>
            </w:r>
          </w:p>
        </w:tc>
        <w:tc>
          <w:tcPr>
            <w:tcW w:type="dxa" w:w="2492"/>
          </w:tcPr>
          <w:p>
            <w:pPr>
              <w:pStyle w:val="null3"/>
            </w:pPr>
            <w:r>
              <w:rPr>
                <w:rFonts w:ascii="仿宋_GB2312" w:hAnsi="仿宋_GB2312" w:cs="仿宋_GB2312" w:eastAsia="仿宋_GB2312"/>
              </w:rPr>
              <w:t>供应商根据本项目体检内容提供相对应的仪器设备及耗材清单，包括但不限于①设备规格型号②设备使用年限③设备简要功能描述等。 上述3项内容，每提供1项内容计2分，每项内容存在1处瑕疵扣0.5分；本评分点满分6分。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8仪器设备及耗材.docx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供应商针对本项目提供突发情况应急措施方案，内容包括但不限于①体检过程中出现的医疗应急事件②设备故障③人员集中、排队等候时间过长等可能引发的突发、意外事故等。 上述3项内容，每提供1项内容计2分，每项内容存在1处瑕疵扣0.5分；本评分点满分6分。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9应急预案.docx</w:t>
            </w:r>
          </w:p>
        </w:tc>
      </w:tr>
      <w:tr>
        <w:tc>
          <w:tcPr>
            <w:tcW w:type="dxa" w:w="831"/>
            <w:vMerge/>
          </w:tcPr>
          <w:p/>
        </w:tc>
        <w:tc>
          <w:tcPr>
            <w:tcW w:type="dxa" w:w="1661"/>
          </w:tcPr>
          <w:p>
            <w:pPr>
              <w:pStyle w:val="null3"/>
            </w:pPr>
            <w:r>
              <w:rPr>
                <w:rFonts w:ascii="仿宋_GB2312" w:hAnsi="仿宋_GB2312" w:cs="仿宋_GB2312" w:eastAsia="仿宋_GB2312"/>
              </w:rPr>
              <w:t>套餐外体检项目</w:t>
            </w:r>
          </w:p>
        </w:tc>
        <w:tc>
          <w:tcPr>
            <w:tcW w:type="dxa" w:w="2492"/>
          </w:tcPr>
          <w:p>
            <w:pPr>
              <w:pStyle w:val="null3"/>
            </w:pPr>
            <w:r>
              <w:rPr>
                <w:rFonts w:ascii="仿宋_GB2312" w:hAnsi="仿宋_GB2312" w:cs="仿宋_GB2312" w:eastAsia="仿宋_GB2312"/>
              </w:rPr>
              <w:t>1.供应商提供采购需求规定的体检项目套餐外的项目目录，供采购单位职工自选，并给予优惠价格，费用自理。在响应文件中附套餐外的项目目录，并标注相应项目的原价，满足此要求计3分，否则不计分。 2.供应商承诺每项单价均不得高于本市同级三甲公立医疗机构现行公示收费标准。且采购单位职工家属可享受同等优惠服务。提供此承诺并加盖供应商公章计3分。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10套餐外体检项目.docx</w:t>
            </w:r>
          </w:p>
        </w:tc>
      </w:tr>
      <w:tr>
        <w:tc>
          <w:tcPr>
            <w:tcW w:type="dxa" w:w="831"/>
            <w:vMerge/>
          </w:tcPr>
          <w:p/>
        </w:tc>
        <w:tc>
          <w:tcPr>
            <w:tcW w:type="dxa" w:w="1661"/>
          </w:tcPr>
          <w:p>
            <w:pPr>
              <w:pStyle w:val="null3"/>
            </w:pPr>
            <w:r>
              <w:rPr>
                <w:rFonts w:ascii="仿宋_GB2312" w:hAnsi="仿宋_GB2312" w:cs="仿宋_GB2312" w:eastAsia="仿宋_GB2312"/>
              </w:rPr>
              <w:t>套餐外体检项目折扣</w:t>
            </w:r>
          </w:p>
        </w:tc>
        <w:tc>
          <w:tcPr>
            <w:tcW w:type="dxa" w:w="2492"/>
          </w:tcPr>
          <w:p>
            <w:pPr>
              <w:pStyle w:val="null3"/>
            </w:pPr>
            <w:r>
              <w:rPr>
                <w:rFonts w:ascii="仿宋_GB2312" w:hAnsi="仿宋_GB2312" w:cs="仿宋_GB2312" w:eastAsia="仿宋_GB2312"/>
              </w:rPr>
              <w:t>针对“套餐外体检项目”供应商结合自身情况提供综合折扣，各单项体检项目结算金额=响应文件中相应项目的原价*综合折扣。 折扣得分统⼀采⽤低价优先法计算，即最低折扣为评分基准价，此项得分为满分7分。其他供应商的得分统⼀按照下列公式计算：折扣得分=(评标基准价∕折扣)×分值（7分）计算分数时四舍五⼊取⼩数点后两位，未提供的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11套餐外体检项目折扣.docx</w:t>
            </w:r>
          </w:p>
        </w:tc>
      </w:tr>
      <w:tr>
        <w:tc>
          <w:tcPr>
            <w:tcW w:type="dxa" w:w="831"/>
            <w:vMerge/>
          </w:tcPr>
          <w:p/>
        </w:tc>
        <w:tc>
          <w:tcPr>
            <w:tcW w:type="dxa" w:w="1661"/>
          </w:tcPr>
          <w:p>
            <w:pPr>
              <w:pStyle w:val="null3"/>
            </w:pPr>
            <w:r>
              <w:rPr>
                <w:rFonts w:ascii="仿宋_GB2312" w:hAnsi="仿宋_GB2312" w:cs="仿宋_GB2312" w:eastAsia="仿宋_GB2312"/>
              </w:rPr>
              <w:t>体检场地</w:t>
            </w:r>
          </w:p>
        </w:tc>
        <w:tc>
          <w:tcPr>
            <w:tcW w:type="dxa" w:w="2492"/>
          </w:tcPr>
          <w:p>
            <w:pPr>
              <w:pStyle w:val="null3"/>
            </w:pPr>
            <w:r>
              <w:rPr>
                <w:rFonts w:ascii="仿宋_GB2312" w:hAnsi="仿宋_GB2312" w:cs="仿宋_GB2312" w:eastAsia="仿宋_GB2312"/>
              </w:rPr>
              <w:t>供应商针对本项目提供体检场地情况介绍，内容涵盖①体检地点详细地址②各诊室设置③附近交通情况（公交站点及地铁，并说明场所和公交站点及地铁的距离）④场地面积，可满⾜⾼峰接待需求⑤场地环境图。 1.供应商提供的场地介绍包含上述①和②项内容，计2分，否则不得分。 2.体检地点场地交通情况：明确至少1个体检地点场地交通情况，包括附近至少1个地铁和1个公交站点，并提供体检场地距离该地铁口和公交站点的步行距离（附高德地图步行模式导航截图），地铁或者公交站点距离体检地点步行距离≤10分钟计3分，10分钟&lt;步行距离≤15分钟计1.5分，否则不计分。 3.场地面积：须提供至少1个体检地点场地照⽚、及房屋租赁或⾃有证明。 ①所提供的体检地点⾯积≥2000㎡，计4分； ②1500㎡≤所提供的体检地点⾯积＜2000㎡，计3分； ④1000㎡≤所提供的体检地点⾯积＜1500㎡，计2分； ⑤500㎡≤所提供的体检地点⾯积＜1000㎡，计1分； ⑥其余不计分。 4.场地环境图：提供体检地点场地彩色图片至少3张，满足此要求计2分，否则不计分。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12体检场地.docx</w:t>
            </w:r>
          </w:p>
        </w:tc>
      </w:tr>
      <w:tr>
        <w:tc>
          <w:tcPr>
            <w:tcW w:type="dxa" w:w="831"/>
            <w:vMerge/>
          </w:tcPr>
          <w:p/>
        </w:tc>
        <w:tc>
          <w:tcPr>
            <w:tcW w:type="dxa" w:w="1661"/>
          </w:tcPr>
          <w:p>
            <w:pPr>
              <w:pStyle w:val="null3"/>
            </w:pPr>
            <w:r>
              <w:rPr>
                <w:rFonts w:ascii="仿宋_GB2312" w:hAnsi="仿宋_GB2312" w:cs="仿宋_GB2312" w:eastAsia="仿宋_GB2312"/>
              </w:rPr>
              <w:t>团队⼈员</w:t>
            </w:r>
          </w:p>
        </w:tc>
        <w:tc>
          <w:tcPr>
            <w:tcW w:type="dxa" w:w="2492"/>
          </w:tcPr>
          <w:p>
            <w:pPr>
              <w:pStyle w:val="null3"/>
            </w:pPr>
            <w:r>
              <w:rPr>
                <w:rFonts w:ascii="仿宋_GB2312" w:hAnsi="仿宋_GB2312" w:cs="仿宋_GB2312" w:eastAsia="仿宋_GB2312"/>
              </w:rPr>
              <w:t>供应商需提供拟投⼊本项⽬的团队⼈员清单（清单内容至少包含姓名、年龄、职称、⽬前所在科室），在此基础上进⾏评审： 1、团队人员中每有一人具有相关专业副⾼或以上职称，得2分；每有一人具有相关专业中级职称，得1分；否则不得分。最多得6分。 备注：需提供相关⼈员的职称证书，否则不得分。同⼀⼈提供多个证书的，不重复计分，按最高职称计算。 2、拟投⼊本项⽬的医技⼈员情况： （1）医技⼈员数量≥15⼈的，得4分； （2）12⼈≤医技⼈员数量＜15⼈的，得2分； （3）10⼈≤医技⼈员数量＜12⼈的，得1分； （4）其他情况不得分。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13团队⼈员.docx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提供供应商2023年1月1日至今同类项目合同扫描件（以合同签订日期为准），扫描件必须清晰体现签约主体和日期、项目名称及内容等核心要素，否则不计为有效业绩。每提供1个有效业绩得2分，最高得10分。 备注：响应文件中提供合同扫描件加盖供应商公章。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1、投标人应严格遵守全部人员的检测结果及相关信息保密，承诺不得泄漏一切相关检测信息等敏感信息。提供此承诺并加盖供应商公章计3分。 2、按规定的检查项目内容为参检人员提供对应的体检服务和体检器材,保证一人一针一管（器），用于医疗活动的器材需要符合《医疗器械监督管理条例》和相关的国家标准，确保产品的安全性和有效性。提供此承诺并加盖供应商公章计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15服务承诺.docx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即满足磋商文件要求且价格最低的报价为磋商基准价，其价格分为满分。其他响应单位的价格分统一按照下列公式计算： 磋商报价得分=（评标基准价/磋商报价）×价格权值×100。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详见附件：5服务响应偏离表.docx</w:t>
      </w:r>
    </w:p>
    <w:p>
      <w:pPr>
        <w:pStyle w:val="null3"/>
        <w:ind w:firstLine="960"/>
      </w:pPr>
      <w:r>
        <w:rPr>
          <w:rFonts w:ascii="仿宋_GB2312" w:hAnsi="仿宋_GB2312" w:cs="仿宋_GB2312" w:eastAsia="仿宋_GB2312"/>
        </w:rPr>
        <w:t>详见附件：6整体服务方案.docx</w:t>
      </w:r>
    </w:p>
    <w:p>
      <w:pPr>
        <w:pStyle w:val="null3"/>
        <w:ind w:firstLine="960"/>
      </w:pPr>
      <w:r>
        <w:rPr>
          <w:rFonts w:ascii="仿宋_GB2312" w:hAnsi="仿宋_GB2312" w:cs="仿宋_GB2312" w:eastAsia="仿宋_GB2312"/>
        </w:rPr>
        <w:t>详见附件：7其他配套服务.docx</w:t>
      </w:r>
    </w:p>
    <w:p>
      <w:pPr>
        <w:pStyle w:val="null3"/>
        <w:ind w:firstLine="960"/>
      </w:pPr>
      <w:r>
        <w:rPr>
          <w:rFonts w:ascii="仿宋_GB2312" w:hAnsi="仿宋_GB2312" w:cs="仿宋_GB2312" w:eastAsia="仿宋_GB2312"/>
        </w:rPr>
        <w:t>详见附件：8仪器设备及耗材.docx</w:t>
      </w:r>
    </w:p>
    <w:p>
      <w:pPr>
        <w:pStyle w:val="null3"/>
        <w:ind w:firstLine="960"/>
      </w:pPr>
      <w:r>
        <w:rPr>
          <w:rFonts w:ascii="仿宋_GB2312" w:hAnsi="仿宋_GB2312" w:cs="仿宋_GB2312" w:eastAsia="仿宋_GB2312"/>
        </w:rPr>
        <w:t>详见附件：9应急预案.docx</w:t>
      </w:r>
    </w:p>
    <w:p>
      <w:pPr>
        <w:pStyle w:val="null3"/>
        <w:ind w:firstLine="960"/>
      </w:pPr>
      <w:r>
        <w:rPr>
          <w:rFonts w:ascii="仿宋_GB2312" w:hAnsi="仿宋_GB2312" w:cs="仿宋_GB2312" w:eastAsia="仿宋_GB2312"/>
        </w:rPr>
        <w:t>详见附件：10套餐外体检项目.docx</w:t>
      </w:r>
    </w:p>
    <w:p>
      <w:pPr>
        <w:pStyle w:val="null3"/>
        <w:ind w:firstLine="960"/>
      </w:pPr>
      <w:r>
        <w:rPr>
          <w:rFonts w:ascii="仿宋_GB2312" w:hAnsi="仿宋_GB2312" w:cs="仿宋_GB2312" w:eastAsia="仿宋_GB2312"/>
        </w:rPr>
        <w:t>详见附件：11套餐外体检项目折扣.docx</w:t>
      </w:r>
    </w:p>
    <w:p>
      <w:pPr>
        <w:pStyle w:val="null3"/>
        <w:ind w:firstLine="960"/>
      </w:pPr>
      <w:r>
        <w:rPr>
          <w:rFonts w:ascii="仿宋_GB2312" w:hAnsi="仿宋_GB2312" w:cs="仿宋_GB2312" w:eastAsia="仿宋_GB2312"/>
        </w:rPr>
        <w:t>详见附件：12体检场地.docx</w:t>
      </w:r>
    </w:p>
    <w:p>
      <w:pPr>
        <w:pStyle w:val="null3"/>
        <w:ind w:firstLine="960"/>
      </w:pPr>
      <w:r>
        <w:rPr>
          <w:rFonts w:ascii="仿宋_GB2312" w:hAnsi="仿宋_GB2312" w:cs="仿宋_GB2312" w:eastAsia="仿宋_GB2312"/>
        </w:rPr>
        <w:t>详见附件：13团队⼈员.docx</w:t>
      </w:r>
    </w:p>
    <w:p>
      <w:pPr>
        <w:pStyle w:val="null3"/>
        <w:ind w:firstLine="960"/>
      </w:pPr>
      <w:r>
        <w:rPr>
          <w:rFonts w:ascii="仿宋_GB2312" w:hAnsi="仿宋_GB2312" w:cs="仿宋_GB2312" w:eastAsia="仿宋_GB2312"/>
        </w:rPr>
        <w:t>详见附件：14业绩.docx</w:t>
      </w:r>
    </w:p>
    <w:p>
      <w:pPr>
        <w:pStyle w:val="null3"/>
        <w:ind w:firstLine="960"/>
      </w:pPr>
      <w:r>
        <w:rPr>
          <w:rFonts w:ascii="仿宋_GB2312" w:hAnsi="仿宋_GB2312" w:cs="仿宋_GB2312" w:eastAsia="仿宋_GB2312"/>
        </w:rPr>
        <w:t>详见附件：15服务承诺.docx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