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版本号：KY2026-3-191.1B120260729001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智能调研、行为决策教研设备采购项目(二次)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KY2026-3-191.1B1</w:t>
      </w:r>
      <w:r>
        <w:br/>
      </w:r>
      <w:r>
        <w:br/>
      </w:r>
      <w:r>
        <w:br/>
      </w:r>
    </w:p>
    <w:p>
      <w:pPr>
        <w:pStyle w:val="null3"/>
        <w:jc w:val="center"/>
        <w:outlineLvl w:val="2"/>
      </w:pPr>
      <w:r>
        <w:rPr>
          <w:rFonts w:ascii="仿宋_GB2312" w:hAnsi="仿宋_GB2312" w:cs="仿宋_GB2312" w:eastAsia="仿宋_GB2312"/>
          <w:sz w:val="28"/>
          <w:b/>
        </w:rPr>
        <w:t>西安外国语大学</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西安外国语大学</w:t>
      </w:r>
      <w:r>
        <w:rPr>
          <w:rFonts w:ascii="仿宋_GB2312" w:hAnsi="仿宋_GB2312" w:cs="仿宋_GB2312" w:eastAsia="仿宋_GB2312"/>
        </w:rPr>
        <w:t>委托，拟对</w:t>
      </w:r>
      <w:r>
        <w:rPr>
          <w:rFonts w:ascii="仿宋_GB2312" w:hAnsi="仿宋_GB2312" w:cs="仿宋_GB2312" w:eastAsia="仿宋_GB2312"/>
        </w:rPr>
        <w:t>智能调研、行为决策教研设备采购项目(二次)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KY2026-3-191.1B1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智能调研、行为决策教研设备采购项目(二次)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西安外国语大学智能调研、行为决策教研设备采购项目，详见招标文件。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度或2025年度经会计师事务所审计并通过注册会计师行业统一监管平台备案赋码的审计报告（包括审计报告、资产负债表、利润表、现金流量表、所有者权益变动表及其附注，成立时间至提交投标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上一年度至今任意一个月的依法缴纳税收的相关凭据（时间以税款所属日期为准），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4、社会保障资金缴纳证明：提供上一年度至今已缴存的至少一个月的社会保障资金缴存单据或社保机构开具的社会保险参保缴费情况证明，依法不需要缴纳社会保障资金的单位应提供相关证明材料。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7、法定代表人授权书：法定代表人授权书及被授权人身份证复印件。（法定代表人直接投标只须提交其身份证明书）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西安外国语大学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陕西省西安市雁塔区长延堡街办长安南路437号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029-85319529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任萍萍、王琦、戈迪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029-81206622/81206633-842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采购包1：538,000.00元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采购包1保证金金额：8,500.00元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银行账号：86113010750181502001410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说明：（1）中标人中标后凭中标通知书向采购人缴纳中标金额的5%作为履约保证金； （2）履约保证金应在合同签订前以现金或支票、汇票、本票或者金融机构、担保机构出具的保函等非现金形式向采购人提交，提交履约保证金时须注明项目名称、采购编号、包号及用途(履约保证金)； （3）设备到货并由采购人最终验收合格后，经中标人申请，采购人将履约保证金（无息）退还投标人。</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供应商应依据成交金额向采购代理机构交纳成交服务费，交费金额参照国家计委颁布的《招标代理服务收费管理暂行办法》（计价格[2002]1980号）及发改办价格[2003]857号文件的规定标准下浮20%计取。2、本项目中标服务费按货物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西安外国语大学</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西安外国语大学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西安外国语大学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按招标文件、投标文件及合同约定执行。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联系人：任萍萍、王琦、戈迪</w:t>
      </w:r>
    </w:p>
    <w:p>
      <w:pPr>
        <w:pStyle w:val="null3"/>
      </w:pPr>
      <w:r>
        <w:rPr>
          <w:rFonts w:ascii="仿宋_GB2312" w:hAnsi="仿宋_GB2312" w:cs="仿宋_GB2312" w:eastAsia="仿宋_GB2312"/>
        </w:rPr>
        <w:t>联系电话：029-81206633-842</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西安外国语大学智能调研、行为决策教研设备采购项目，详见招标文件。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538,000.00</w:t>
      </w:r>
    </w:p>
    <w:p>
      <w:pPr>
        <w:pStyle w:val="null3"/>
      </w:pPr>
      <w:r>
        <w:rPr>
          <w:rFonts w:ascii="仿宋_GB2312" w:hAnsi="仿宋_GB2312" w:cs="仿宋_GB2312" w:eastAsia="仿宋_GB2312"/>
        </w:rPr>
        <w:t>采购包最高限价（元）: 538,000.00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智能调研、行为决策教研设备采购项目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538,000.00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标的名称：智能调研、行为决策教研设备采购项目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18"/>
                <w:b/>
              </w:rPr>
              <w:t>采购清单</w:t>
            </w:r>
          </w:p>
          <w:tbl>
            <w:tblPr>
              <w:tblBorders>
                <w:top w:val="none" w:color="000000" w:sz="4"/>
                <w:left w:val="none" w:color="000000" w:sz="4"/>
                <w:bottom w:val="none" w:color="000000" w:sz="4"/>
                <w:right w:val="none" w:color="000000" w:sz="4"/>
                <w:insideH w:val="none"/>
                <w:insideV w:val="none"/>
              </w:tblBorders>
            </w:tblPr>
            <w:tblGrid>
              <w:gridCol w:w="235"/>
              <w:gridCol w:w="464"/>
              <w:gridCol w:w="285"/>
              <w:gridCol w:w="458"/>
              <w:gridCol w:w="581"/>
              <w:gridCol w:w="531"/>
            </w:tblGrid>
            <w:tr>
              <w:tc>
                <w:tcPr>
                  <w:tcW w:type="dxa" w:w="2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序号</w:t>
                  </w:r>
                </w:p>
              </w:tc>
              <w:tc>
                <w:tcPr>
                  <w:tcW w:type="dxa" w:w="4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货物名称</w:t>
                  </w:r>
                </w:p>
              </w:tc>
              <w:tc>
                <w:tcPr>
                  <w:tcW w:type="dxa" w:w="2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数量</w:t>
                  </w:r>
                </w:p>
              </w:tc>
              <w:tc>
                <w:tcPr>
                  <w:tcW w:type="dxa" w:w="4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单价</w:t>
                  </w:r>
                </w:p>
              </w:tc>
              <w:tc>
                <w:tcPr>
                  <w:tcW w:type="dxa" w:w="5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预算金额（元）</w:t>
                  </w:r>
                </w:p>
              </w:tc>
              <w:tc>
                <w:tcPr>
                  <w:tcW w:type="dxa" w:w="5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核心产品</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便携式脑电实验单元</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300000</w:t>
                  </w:r>
                </w:p>
              </w:tc>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300000</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眼动轨迹追踪采集单元</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150000</w:t>
                  </w:r>
                </w:p>
              </w:tc>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150000</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智能体征采集单元</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28000</w:t>
                  </w:r>
                </w:p>
              </w:tc>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28000</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在线行为智能调研系统</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60000</w:t>
                  </w:r>
                </w:p>
              </w:tc>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60000</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4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小计</w:t>
                  </w:r>
                </w:p>
              </w:tc>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538000</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18"/>
              </w:rPr>
              <w:t>便携式脑电实验单元</w:t>
            </w:r>
          </w:p>
          <w:p>
            <w:pPr>
              <w:pStyle w:val="null3"/>
              <w:ind w:firstLine="360"/>
            </w:pPr>
            <w:r>
              <w:rPr>
                <w:rFonts w:ascii="仿宋_GB2312" w:hAnsi="仿宋_GB2312" w:cs="仿宋_GB2312" w:eastAsia="仿宋_GB2312"/>
                <w:sz w:val="18"/>
              </w:rPr>
              <w:t>功能描述：脑电及多生理信号同步采集，捕捉决策过程中的大脑活动模式。支持多人同步、多设备同步。可实时分析脑电时频特征，结合眼动、视频等多模态数据，解析消费者注意力分配、决策偏好及认知反应。</w:t>
            </w:r>
          </w:p>
          <w:p>
            <w:pPr>
              <w:pStyle w:val="null3"/>
              <w:ind w:firstLine="360"/>
            </w:pPr>
            <w:r>
              <w:rPr>
                <w:rFonts w:ascii="仿宋_GB2312" w:hAnsi="仿宋_GB2312" w:cs="仿宋_GB2312" w:eastAsia="仿宋_GB2312"/>
                <w:sz w:val="18"/>
              </w:rPr>
              <w:t>1、▲导联数：单级脑电导联≥64导，生理通道数≥8个双极通道；</w:t>
            </w:r>
          </w:p>
          <w:p>
            <w:pPr>
              <w:pStyle w:val="null3"/>
              <w:ind w:firstLine="360"/>
            </w:pPr>
            <w:r>
              <w:rPr>
                <w:rFonts w:ascii="仿宋_GB2312" w:hAnsi="仿宋_GB2312" w:cs="仿宋_GB2312" w:eastAsia="仿宋_GB2312"/>
                <w:sz w:val="18"/>
              </w:rPr>
              <w:t>2、▲可同时采集心电、眼电（VEOG、HEOG）、皮电、血氧、脉搏、心率等生理参数；</w:t>
            </w:r>
          </w:p>
          <w:p>
            <w:pPr>
              <w:pStyle w:val="null3"/>
              <w:ind w:firstLine="360"/>
            </w:pPr>
            <w:r>
              <w:rPr>
                <w:rFonts w:ascii="仿宋_GB2312" w:hAnsi="仿宋_GB2312" w:cs="仿宋_GB2312" w:eastAsia="仿宋_GB2312"/>
                <w:sz w:val="18"/>
              </w:rPr>
              <w:t>3、▲采样率:≥8000 Hz/导，输入阻抗:≥1GOhms；</w:t>
            </w:r>
          </w:p>
          <w:p>
            <w:pPr>
              <w:pStyle w:val="null3"/>
              <w:ind w:firstLine="360"/>
            </w:pPr>
            <w:r>
              <w:rPr>
                <w:rFonts w:ascii="仿宋_GB2312" w:hAnsi="仿宋_GB2312" w:cs="仿宋_GB2312" w:eastAsia="仿宋_GB2312"/>
                <w:sz w:val="18"/>
              </w:rPr>
              <w:t>4、带宽:DC～2000 Hz,</w:t>
            </w:r>
          </w:p>
          <w:p>
            <w:pPr>
              <w:pStyle w:val="null3"/>
              <w:ind w:firstLine="360"/>
            </w:pPr>
            <w:r>
              <w:rPr>
                <w:rFonts w:ascii="仿宋_GB2312" w:hAnsi="仿宋_GB2312" w:cs="仿宋_GB2312" w:eastAsia="仿宋_GB2312"/>
                <w:sz w:val="18"/>
              </w:rPr>
              <w:t>5、A/D 转换分辨率≥24Bit；</w:t>
            </w:r>
          </w:p>
          <w:p>
            <w:pPr>
              <w:pStyle w:val="null3"/>
              <w:ind w:firstLine="360"/>
            </w:pPr>
            <w:r>
              <w:rPr>
                <w:rFonts w:ascii="仿宋_GB2312" w:hAnsi="仿宋_GB2312" w:cs="仿宋_GB2312" w:eastAsia="仿宋_GB2312"/>
                <w:sz w:val="18"/>
              </w:rPr>
              <w:t>6、共模抑制比:≥110dB；</w:t>
            </w:r>
          </w:p>
          <w:p>
            <w:pPr>
              <w:pStyle w:val="null3"/>
              <w:ind w:firstLine="360"/>
            </w:pPr>
            <w:r>
              <w:rPr>
                <w:rFonts w:ascii="仿宋_GB2312" w:hAnsi="仿宋_GB2312" w:cs="仿宋_GB2312" w:eastAsia="仿宋_GB2312"/>
                <w:sz w:val="18"/>
              </w:rPr>
              <w:t>7、输入噪声:≤2,5uVpp；</w:t>
            </w:r>
          </w:p>
          <w:p>
            <w:pPr>
              <w:pStyle w:val="null3"/>
              <w:ind w:firstLine="360"/>
            </w:pPr>
            <w:r>
              <w:rPr>
                <w:rFonts w:ascii="仿宋_GB2312" w:hAnsi="仿宋_GB2312" w:cs="仿宋_GB2312" w:eastAsia="仿宋_GB2312"/>
                <w:sz w:val="18"/>
              </w:rPr>
              <w:t>8、灵敏度: ≤28nV/bit；</w:t>
            </w:r>
          </w:p>
          <w:p>
            <w:pPr>
              <w:pStyle w:val="null3"/>
              <w:ind w:firstLine="360"/>
            </w:pPr>
            <w:r>
              <w:rPr>
                <w:rFonts w:ascii="仿宋_GB2312" w:hAnsi="仿宋_GB2312" w:cs="仿宋_GB2312" w:eastAsia="仿宋_GB2312"/>
                <w:sz w:val="18"/>
              </w:rPr>
              <w:t>9、输入范围: ≥± 370mV；</w:t>
            </w:r>
          </w:p>
          <w:p>
            <w:pPr>
              <w:pStyle w:val="null3"/>
              <w:ind w:firstLine="360"/>
            </w:pPr>
            <w:r>
              <w:rPr>
                <w:rFonts w:ascii="仿宋_GB2312" w:hAnsi="仿宋_GB2312" w:cs="仿宋_GB2312" w:eastAsia="仿宋_GB2312"/>
                <w:sz w:val="18"/>
              </w:rPr>
              <w:t>10、▲支持升级至128通道，升级后单设备可支持2人同步采集64导联电生理信号，并提供2套独立的GND和REF通道；</w:t>
            </w:r>
          </w:p>
          <w:p>
            <w:pPr>
              <w:pStyle w:val="null3"/>
              <w:ind w:firstLine="360"/>
            </w:pPr>
            <w:r>
              <w:rPr>
                <w:rFonts w:ascii="仿宋_GB2312" w:hAnsi="仿宋_GB2312" w:cs="仿宋_GB2312" w:eastAsia="仿宋_GB2312"/>
                <w:sz w:val="18"/>
              </w:rPr>
              <w:t>11、数据同步：放大器和触发盒可实现无线/有线同步，支持串、并口同步输入输出，事件同步精度≤1ms。触发盒支持声、光、电、按键等多种刺激事件同步；</w:t>
            </w:r>
          </w:p>
          <w:p>
            <w:pPr>
              <w:pStyle w:val="null3"/>
              <w:ind w:firstLine="360"/>
            </w:pPr>
            <w:r>
              <w:rPr>
                <w:rFonts w:ascii="仿宋_GB2312" w:hAnsi="仿宋_GB2312" w:cs="仿宋_GB2312" w:eastAsia="仿宋_GB2312"/>
                <w:sz w:val="18"/>
              </w:rPr>
              <w:t>12、数据传输：WIFI/USB有线传输；</w:t>
            </w:r>
          </w:p>
          <w:p>
            <w:pPr>
              <w:pStyle w:val="null3"/>
              <w:ind w:firstLine="360"/>
            </w:pPr>
            <w:r>
              <w:rPr>
                <w:rFonts w:ascii="仿宋_GB2312" w:hAnsi="仿宋_GB2312" w:cs="仿宋_GB2312" w:eastAsia="仿宋_GB2312"/>
                <w:sz w:val="18"/>
              </w:rPr>
              <w:t>13、电源：内置可充电电池供电；电池支持快充，单次充电可连续工作≥6h；</w:t>
            </w:r>
          </w:p>
          <w:p>
            <w:pPr>
              <w:pStyle w:val="null3"/>
              <w:ind w:firstLine="360"/>
            </w:pPr>
            <w:r>
              <w:rPr>
                <w:rFonts w:ascii="仿宋_GB2312" w:hAnsi="仿宋_GB2312" w:cs="仿宋_GB2312" w:eastAsia="仿宋_GB2312"/>
                <w:sz w:val="18"/>
              </w:rPr>
              <w:t>14、设备可直接接入多模态脑电教学实验系统，并实现脑电、眼动、视频、音频等信号同步导入；</w:t>
            </w:r>
          </w:p>
          <w:p>
            <w:pPr>
              <w:pStyle w:val="null3"/>
              <w:ind w:firstLine="360"/>
            </w:pPr>
            <w:r>
              <w:rPr>
                <w:rFonts w:ascii="仿宋_GB2312" w:hAnsi="仿宋_GB2312" w:cs="仿宋_GB2312" w:eastAsia="仿宋_GB2312"/>
                <w:sz w:val="18"/>
              </w:rPr>
              <w:t>15、支持软件平台通过服务端/客户端互联方式；</w:t>
            </w:r>
          </w:p>
          <w:p>
            <w:pPr>
              <w:pStyle w:val="null3"/>
              <w:ind w:firstLine="360"/>
            </w:pPr>
            <w:r>
              <w:rPr>
                <w:rFonts w:ascii="仿宋_GB2312" w:hAnsi="仿宋_GB2312" w:cs="仿宋_GB2312" w:eastAsia="仿宋_GB2312"/>
                <w:sz w:val="18"/>
              </w:rPr>
              <w:t>16、支持实时脑电时频域特征分析，实时展示各频段多色脑电频谱图，支持多色彩编码，确保高分辨率频谱展示，以揭示不同频率范围内的脑电波活动模式；</w:t>
            </w:r>
          </w:p>
          <w:p>
            <w:pPr>
              <w:pStyle w:val="null3"/>
              <w:ind w:firstLine="360"/>
            </w:pPr>
            <w:r>
              <w:rPr>
                <w:rFonts w:ascii="仿宋_GB2312" w:hAnsi="仿宋_GB2312" w:cs="仿宋_GB2312" w:eastAsia="仿宋_GB2312"/>
                <w:sz w:val="18"/>
              </w:rPr>
              <w:t>17、实现与本次采购的眼动轨迹追踪采集单元等同步</w:t>
            </w:r>
          </w:p>
          <w:p>
            <w:pPr>
              <w:pStyle w:val="null3"/>
              <w:ind w:firstLine="360"/>
            </w:pPr>
            <w:r>
              <w:rPr>
                <w:rFonts w:ascii="仿宋_GB2312" w:hAnsi="仿宋_GB2312" w:cs="仿宋_GB2312" w:eastAsia="仿宋_GB2312"/>
                <w:sz w:val="18"/>
              </w:rPr>
              <w:t>18、支持眼动注视轨迹实时展示，支持实时眼动注视轨迹叠加刺激屏幕展示与注视点坐标波形展示；</w:t>
            </w:r>
          </w:p>
          <w:p>
            <w:pPr>
              <w:pStyle w:val="null3"/>
              <w:ind w:firstLine="360"/>
            </w:pPr>
            <w:r>
              <w:rPr>
                <w:rFonts w:ascii="仿宋_GB2312" w:hAnsi="仿宋_GB2312" w:cs="仿宋_GB2312" w:eastAsia="仿宋_GB2312"/>
                <w:sz w:val="18"/>
              </w:rPr>
              <w:t>19、支持通过系统平台进行头部3D位置实时展示（实时的头部位置3D 坐标与位置波形展示）。</w:t>
            </w:r>
          </w:p>
          <w:p>
            <w:pPr>
              <w:pStyle w:val="null3"/>
              <w:ind w:firstLine="360"/>
            </w:pPr>
            <w:r>
              <w:rPr>
                <w:rFonts w:ascii="仿宋_GB2312" w:hAnsi="仿宋_GB2312" w:cs="仿宋_GB2312" w:eastAsia="仿宋_GB2312"/>
                <w:sz w:val="18"/>
              </w:rPr>
              <w:t>20、支持通过系统平台进行眼动瞳孔直径实时展示（实时双眼瞳孔直径波形展示）；</w:t>
            </w:r>
          </w:p>
          <w:p>
            <w:pPr>
              <w:pStyle w:val="null3"/>
            </w:pPr>
            <w:r>
              <w:rPr>
                <w:rFonts w:ascii="仿宋_GB2312" w:hAnsi="仿宋_GB2312" w:cs="仿宋_GB2312" w:eastAsia="仿宋_GB2312"/>
                <w:sz w:val="18"/>
              </w:rPr>
              <w:t>21、★支持通过配套的128导电极帽，将两台64导便携式脑电实验单元组合使用，合并后系统整体识别并采集为128导数据。</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18"/>
              </w:rPr>
              <w:t>眼动轨迹追踪采集单元</w:t>
            </w:r>
          </w:p>
          <w:p>
            <w:pPr>
              <w:pStyle w:val="null3"/>
            </w:pPr>
            <w:r>
              <w:rPr>
                <w:rFonts w:ascii="仿宋_GB2312" w:hAnsi="仿宋_GB2312" w:cs="仿宋_GB2312" w:eastAsia="仿宋_GB2312"/>
                <w:sz w:val="18"/>
              </w:rPr>
              <w:t>功能描述：采用遥测暗瞳技术实现双眼追踪。软件支持多范式设计与全流程分析，可提取注视轨迹、瞳孔变化等关键参数，生成热力图与动态分析结果。</w:t>
            </w:r>
          </w:p>
          <w:p>
            <w:pPr>
              <w:pStyle w:val="null3"/>
            </w:pPr>
            <w:r>
              <w:rPr>
                <w:rFonts w:ascii="仿宋_GB2312" w:hAnsi="仿宋_GB2312" w:cs="仿宋_GB2312" w:eastAsia="仿宋_GB2312"/>
                <w:sz w:val="18"/>
              </w:rPr>
              <w:t>1.遥测式；</w:t>
            </w:r>
          </w:p>
          <w:p>
            <w:pPr>
              <w:pStyle w:val="null3"/>
            </w:pPr>
            <w:r>
              <w:rPr>
                <w:rFonts w:ascii="仿宋_GB2312" w:hAnsi="仿宋_GB2312" w:cs="仿宋_GB2312" w:eastAsia="仿宋_GB2312"/>
                <w:sz w:val="18"/>
              </w:rPr>
              <w:t>2.▲采集方式：双眼采集，全视域追踪；</w:t>
            </w:r>
          </w:p>
          <w:p>
            <w:pPr>
              <w:pStyle w:val="null3"/>
            </w:pPr>
            <w:r>
              <w:rPr>
                <w:rFonts w:ascii="仿宋_GB2312" w:hAnsi="仿宋_GB2312" w:cs="仿宋_GB2312" w:eastAsia="仿宋_GB2312"/>
                <w:sz w:val="18"/>
              </w:rPr>
              <w:t>3.▲采样率：≥250Hz（双眼同时采集）；</w:t>
            </w:r>
          </w:p>
          <w:p>
            <w:pPr>
              <w:pStyle w:val="null3"/>
            </w:pPr>
            <w:r>
              <w:rPr>
                <w:rFonts w:ascii="仿宋_GB2312" w:hAnsi="仿宋_GB2312" w:cs="仿宋_GB2312" w:eastAsia="仿宋_GB2312"/>
                <w:sz w:val="18"/>
              </w:rPr>
              <w:t>4.平均精准度：≤0.5°；</w:t>
            </w:r>
          </w:p>
          <w:p>
            <w:pPr>
              <w:pStyle w:val="null3"/>
            </w:pPr>
            <w:r>
              <w:rPr>
                <w:rFonts w:ascii="仿宋_GB2312" w:hAnsi="仿宋_GB2312" w:cs="仿宋_GB2312" w:eastAsia="仿宋_GB2312"/>
                <w:sz w:val="18"/>
              </w:rPr>
              <w:t>5.空间分辨率：≤0.3°；</w:t>
            </w:r>
          </w:p>
          <w:p>
            <w:pPr>
              <w:pStyle w:val="null3"/>
            </w:pPr>
            <w:r>
              <w:rPr>
                <w:rFonts w:ascii="仿宋_GB2312" w:hAnsi="仿宋_GB2312" w:cs="仿宋_GB2312" w:eastAsia="仿宋_GB2312"/>
                <w:sz w:val="18"/>
              </w:rPr>
              <w:t>6.▲3D眼动跟踪算法，自由头动范围：≥25cmx15cm @65cm；</w:t>
            </w:r>
          </w:p>
          <w:p>
            <w:pPr>
              <w:pStyle w:val="null3"/>
            </w:pPr>
            <w:r>
              <w:rPr>
                <w:rFonts w:ascii="仿宋_GB2312" w:hAnsi="仿宋_GB2312" w:cs="仿宋_GB2312" w:eastAsia="仿宋_GB2312"/>
                <w:sz w:val="18"/>
              </w:rPr>
              <w:t>7.屏幕分辨率：≥1920（水平）*1080（垂直）ppi；</w:t>
            </w:r>
          </w:p>
          <w:p>
            <w:pPr>
              <w:pStyle w:val="null3"/>
            </w:pPr>
            <w:r>
              <w:rPr>
                <w:rFonts w:ascii="仿宋_GB2312" w:hAnsi="仿宋_GB2312" w:cs="仿宋_GB2312" w:eastAsia="仿宋_GB2312"/>
                <w:sz w:val="18"/>
              </w:rPr>
              <w:t>8.操作距离：适配50-80cm；</w:t>
            </w:r>
          </w:p>
          <w:p>
            <w:pPr>
              <w:pStyle w:val="null3"/>
            </w:pPr>
            <w:r>
              <w:rPr>
                <w:rFonts w:ascii="仿宋_GB2312" w:hAnsi="仿宋_GB2312" w:cs="仿宋_GB2312" w:eastAsia="仿宋_GB2312"/>
                <w:sz w:val="18"/>
              </w:rPr>
              <w:t>9.刺激呈现设备：可连接笔记本或其他显示设备；</w:t>
            </w:r>
          </w:p>
          <w:p>
            <w:pPr>
              <w:pStyle w:val="null3"/>
            </w:pPr>
            <w:r>
              <w:rPr>
                <w:rFonts w:ascii="仿宋_GB2312" w:hAnsi="仿宋_GB2312" w:cs="仿宋_GB2312" w:eastAsia="仿宋_GB2312"/>
                <w:sz w:val="18"/>
              </w:rPr>
              <w:t>10.摄像头像素：≥200万，≥120Hz；</w:t>
            </w:r>
          </w:p>
          <w:p>
            <w:pPr>
              <w:pStyle w:val="null3"/>
            </w:pPr>
            <w:r>
              <w:rPr>
                <w:rFonts w:ascii="仿宋_GB2312" w:hAnsi="仿宋_GB2312" w:cs="仿宋_GB2312" w:eastAsia="仿宋_GB2312"/>
                <w:sz w:val="18"/>
              </w:rPr>
              <w:t>11.支持室内自然光下进行检测；</w:t>
            </w:r>
          </w:p>
          <w:p>
            <w:pPr>
              <w:pStyle w:val="null3"/>
            </w:pPr>
            <w:r>
              <w:rPr>
                <w:rFonts w:ascii="仿宋_GB2312" w:hAnsi="仿宋_GB2312" w:cs="仿宋_GB2312" w:eastAsia="仿宋_GB2312"/>
                <w:sz w:val="18"/>
              </w:rPr>
              <w:t>12.软件集实验设计、数据采集和数据分析功能于一体；</w:t>
            </w:r>
          </w:p>
          <w:p>
            <w:pPr>
              <w:pStyle w:val="null3"/>
            </w:pPr>
            <w:r>
              <w:rPr>
                <w:rFonts w:ascii="仿宋_GB2312" w:hAnsi="仿宋_GB2312" w:cs="仿宋_GB2312" w:eastAsia="仿宋_GB2312"/>
                <w:sz w:val="18"/>
              </w:rPr>
              <w:t>13.软件可跟随眼动对瞳孔进行追踪；软件可通过相机采集人眼基于特定眼动范式下的运动图像数据，进行实时分析处理，</w:t>
            </w:r>
            <w:r>
              <w:rPr>
                <w:rFonts w:ascii="仿宋_GB2312" w:hAnsi="仿宋_GB2312" w:cs="仿宋_GB2312" w:eastAsia="仿宋_GB2312"/>
                <w:sz w:val="18"/>
              </w:rPr>
              <w:t>提取出丰富的眼动参数，如：靶点方向、眼跳、第一步眼跳幅度、主眼跳幅度增益、眼跳步数、眼跳峰值速度、潜伏期、空间误差、眨眼、落点误差等参数；</w:t>
            </w:r>
          </w:p>
          <w:p>
            <w:pPr>
              <w:pStyle w:val="null3"/>
            </w:pPr>
            <w:r>
              <w:rPr>
                <w:rFonts w:ascii="仿宋_GB2312" w:hAnsi="仿宋_GB2312" w:cs="仿宋_GB2312" w:eastAsia="仿宋_GB2312"/>
                <w:sz w:val="18"/>
              </w:rPr>
              <w:t>14.软件支持多种多点自动校准模式；</w:t>
            </w:r>
          </w:p>
          <w:p>
            <w:pPr>
              <w:pStyle w:val="null3"/>
            </w:pPr>
            <w:r>
              <w:rPr>
                <w:rFonts w:ascii="仿宋_GB2312" w:hAnsi="仿宋_GB2312" w:cs="仿宋_GB2312" w:eastAsia="仿宋_GB2312"/>
                <w:sz w:val="18"/>
              </w:rPr>
              <w:t>15.软件支持单左眼、单右眼、双眼追踪等多种眼动追踪方式；</w:t>
            </w:r>
          </w:p>
          <w:p>
            <w:pPr>
              <w:pStyle w:val="null3"/>
            </w:pPr>
            <w:r>
              <w:rPr>
                <w:rFonts w:ascii="仿宋_GB2312" w:hAnsi="仿宋_GB2312" w:cs="仿宋_GB2312" w:eastAsia="仿宋_GB2312"/>
                <w:sz w:val="18"/>
              </w:rPr>
              <w:t>16.语言切换，至少支持中英文切换；</w:t>
            </w:r>
          </w:p>
          <w:p>
            <w:pPr>
              <w:pStyle w:val="null3"/>
            </w:pPr>
            <w:r>
              <w:rPr>
                <w:rFonts w:ascii="仿宋_GB2312" w:hAnsi="仿宋_GB2312" w:cs="仿宋_GB2312" w:eastAsia="仿宋_GB2312"/>
                <w:sz w:val="18"/>
              </w:rPr>
              <w:t>17.软件支持多种眼动行为范式；</w:t>
            </w:r>
          </w:p>
          <w:p>
            <w:pPr>
              <w:pStyle w:val="null3"/>
            </w:pPr>
            <w:r>
              <w:rPr>
                <w:rFonts w:ascii="仿宋_GB2312" w:hAnsi="仿宋_GB2312" w:cs="仿宋_GB2312" w:eastAsia="仿宋_GB2312"/>
                <w:sz w:val="18"/>
              </w:rPr>
              <w:t>18.▲软件支持通过D/A转换模块传输眼位置信号，能与Monkey- Logic 等平台交互；支持通过网络传输眼位置数字信号，与 Matlab或第三方软件交互；支持通过串口或并口的方式与第三方脑电进行数据交互与同步。同步时差≤5毫秒；</w:t>
            </w:r>
          </w:p>
          <w:p>
            <w:pPr>
              <w:pStyle w:val="null3"/>
            </w:pPr>
            <w:r>
              <w:rPr>
                <w:rFonts w:ascii="仿宋_GB2312" w:hAnsi="仿宋_GB2312" w:cs="仿宋_GB2312" w:eastAsia="仿宋_GB2312"/>
                <w:sz w:val="18"/>
              </w:rPr>
              <w:t>19.支持眼动数据分析软件，覆盖从基础数据处理到高级可视化的全流程分析需求，适用于心理学实验、临床评估等眼动研究场景，核心功能包含眼动轨迹解析、注视点检测、热力图生成及多维度参数提取。</w:t>
            </w:r>
            <w:r>
              <w:rPr>
                <w:rFonts w:ascii="仿宋_GB2312" w:hAnsi="仿宋_GB2312" w:cs="仿宋_GB2312" w:eastAsia="仿宋_GB2312"/>
                <w:sz w:val="18"/>
              </w:rPr>
              <w:t>其核心模块与技术功能主要有三方面：一是多范式数据处理系统，支持正向眼动、反向眼动、记忆眼动、双步眼动等传统扫视类眼动任务的数据可视化分析；支持</w:t>
            </w:r>
            <w:r>
              <w:rPr>
                <w:rFonts w:ascii="仿宋_GB2312" w:hAnsi="仿宋_GB2312" w:cs="仿宋_GB2312" w:eastAsia="仿宋_GB2312"/>
                <w:sz w:val="18"/>
              </w:rPr>
              <w:t>Exploration Eye Movement(EEM)任务可视化分析,可视化呈现注视点轨迹图、注视人力图，支持眼动轨迹动态回放，可提供注视相关的参数（包含：凝视点数量、反应探索评分、注视热力图、眼跳总幅度、眼跳平均幅度、D值等多种注视、扫视眼动参数，以及复合参数）；支持视频类眼动任务可视化分析，支持基于视频的动态注视热力图；支持批量处理与数据管理，支持正向、反向、记忆、双步等经典眼动任务的数据批量处理与导出，包括多个受试者数据批量处理，处理后的数据包括眼动轨迹图、以及相应的眼动参数表。</w:t>
            </w:r>
            <w:r>
              <w:rPr>
                <w:rFonts w:ascii="仿宋_GB2312" w:hAnsi="仿宋_GB2312" w:cs="仿宋_GB2312" w:eastAsia="仿宋_GB2312"/>
                <w:sz w:val="18"/>
              </w:rPr>
              <w:t>提供开发工具。</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18"/>
              </w:rPr>
              <w:t>智能体征采集单元</w:t>
            </w:r>
          </w:p>
          <w:p>
            <w:pPr>
              <w:pStyle w:val="null3"/>
            </w:pPr>
            <w:r>
              <w:rPr>
                <w:rFonts w:ascii="仿宋_GB2312" w:hAnsi="仿宋_GB2312" w:cs="仿宋_GB2312" w:eastAsia="仿宋_GB2312"/>
                <w:sz w:val="18"/>
              </w:rPr>
              <w:t>功能描述：用于生理应激与情绪反应的多维度采集监测。同步采集心电、眼电（</w:t>
            </w:r>
            <w:r>
              <w:rPr>
                <w:rFonts w:ascii="仿宋_GB2312" w:hAnsi="仿宋_GB2312" w:cs="仿宋_GB2312" w:eastAsia="仿宋_GB2312"/>
                <w:sz w:val="18"/>
              </w:rPr>
              <w:t>VEOG、HEOG）、皮电、血氧、脉搏、心率等多项体征，实时记录并存储数据，自动分离事件标记。支持多人同步采集，兼容主流刺激呈现系统。</w:t>
            </w:r>
          </w:p>
          <w:p>
            <w:pPr>
              <w:pStyle w:val="null3"/>
            </w:pPr>
            <w:r>
              <w:rPr>
                <w:rFonts w:ascii="仿宋_GB2312" w:hAnsi="仿宋_GB2312" w:cs="仿宋_GB2312" w:eastAsia="仿宋_GB2312"/>
                <w:sz w:val="18"/>
              </w:rPr>
              <w:t>1.配置多导生理模块，可同时采集心电、眼电（VEOG、HEOG）、皮电、血氧、脉搏、心率等生理参数；</w:t>
            </w:r>
          </w:p>
          <w:p>
            <w:pPr>
              <w:pStyle w:val="null3"/>
            </w:pPr>
            <w:r>
              <w:rPr>
                <w:rFonts w:ascii="仿宋_GB2312" w:hAnsi="仿宋_GB2312" w:cs="仿宋_GB2312" w:eastAsia="仿宋_GB2312"/>
                <w:sz w:val="18"/>
              </w:rPr>
              <w:t>2.支持实时连续或分段采集；</w:t>
            </w:r>
          </w:p>
          <w:p>
            <w:pPr>
              <w:pStyle w:val="null3"/>
            </w:pPr>
            <w:r>
              <w:rPr>
                <w:rFonts w:ascii="仿宋_GB2312" w:hAnsi="仿宋_GB2312" w:cs="仿宋_GB2312" w:eastAsia="仿宋_GB2312"/>
                <w:sz w:val="18"/>
              </w:rPr>
              <w:t>3.被试数据可以实时在线观察并同时存储，支持离线分析；</w:t>
            </w:r>
          </w:p>
          <w:p>
            <w:pPr>
              <w:pStyle w:val="null3"/>
            </w:pPr>
            <w:r>
              <w:rPr>
                <w:rFonts w:ascii="仿宋_GB2312" w:hAnsi="仿宋_GB2312" w:cs="仿宋_GB2312" w:eastAsia="仿宋_GB2312"/>
                <w:sz w:val="18"/>
              </w:rPr>
              <w:t>4.在数据采集过程中所有事件均支持在线和离线自动检测并记录，反应代码和刺激代码可以分离并导出；</w:t>
            </w:r>
          </w:p>
          <w:p>
            <w:pPr>
              <w:pStyle w:val="null3"/>
            </w:pPr>
            <w:r>
              <w:rPr>
                <w:rFonts w:ascii="仿宋_GB2312" w:hAnsi="仿宋_GB2312" w:cs="仿宋_GB2312" w:eastAsia="仿宋_GB2312"/>
                <w:sz w:val="18"/>
              </w:rPr>
              <w:t>5.记录电极和参考电极可根据实验要求任意选择记录位置；</w:t>
            </w:r>
          </w:p>
          <w:p>
            <w:pPr>
              <w:pStyle w:val="null3"/>
            </w:pPr>
            <w:r>
              <w:rPr>
                <w:rFonts w:ascii="仿宋_GB2312" w:hAnsi="仿宋_GB2312" w:cs="仿宋_GB2312" w:eastAsia="仿宋_GB2312"/>
                <w:sz w:val="18"/>
              </w:rPr>
              <w:t>6.通过触发盒可实现≥10人同步数据采集；</w:t>
            </w:r>
          </w:p>
          <w:p>
            <w:pPr>
              <w:pStyle w:val="null3"/>
            </w:pPr>
            <w:r>
              <w:rPr>
                <w:rFonts w:ascii="仿宋_GB2312" w:hAnsi="仿宋_GB2312" w:cs="仿宋_GB2312" w:eastAsia="仿宋_GB2312"/>
                <w:sz w:val="18"/>
              </w:rPr>
              <w:t>7.可提供实时原始数据API接口和LSL接口GUI软件，支持MATLAB、python、c++环境下的开发工具进行二次开发；开放API接口，支持LSL推流；</w:t>
            </w:r>
          </w:p>
          <w:p>
            <w:pPr>
              <w:pStyle w:val="null3"/>
            </w:pPr>
            <w:r>
              <w:rPr>
                <w:rFonts w:ascii="仿宋_GB2312" w:hAnsi="仿宋_GB2312" w:cs="仿宋_GB2312" w:eastAsia="仿宋_GB2312"/>
                <w:sz w:val="18"/>
              </w:rPr>
              <w:t>8.数据采集软件独立，保证数据可视化的同时记录原始数据，软件兼容E-prime、Presentation、Psychtoolbox等刺激呈现系统；</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18"/>
              </w:rPr>
              <w:t>在线行为智能调研单元</w:t>
            </w:r>
          </w:p>
          <w:p>
            <w:pPr>
              <w:pStyle w:val="null3"/>
              <w:spacing w:before="135" w:after="165"/>
            </w:pPr>
            <w:r>
              <w:rPr>
                <w:rFonts w:ascii="仿宋_GB2312" w:hAnsi="仿宋_GB2312" w:cs="仿宋_GB2312" w:eastAsia="仿宋_GB2312"/>
                <w:sz w:val="18"/>
              </w:rPr>
              <w:t>功能描述：支持试次一致性分析、</w:t>
            </w:r>
            <w:r>
              <w:rPr>
                <w:rFonts w:ascii="仿宋_GB2312" w:hAnsi="仿宋_GB2312" w:cs="仿宋_GB2312" w:eastAsia="仿宋_GB2312"/>
                <w:sz w:val="18"/>
              </w:rPr>
              <w:t>ERP叠加平均等算法，实现数据预处理与可视化。可同步采集与回放多被试体征及行为视频，研究神经与行为数据间的关联。</w:t>
            </w:r>
          </w:p>
          <w:p>
            <w:pPr>
              <w:pStyle w:val="null3"/>
              <w:spacing w:before="135" w:after="165"/>
            </w:pPr>
            <w:r>
              <w:rPr>
                <w:rFonts w:ascii="仿宋_GB2312" w:hAnsi="仿宋_GB2312" w:cs="仿宋_GB2312" w:eastAsia="仿宋_GB2312"/>
                <w:sz w:val="18"/>
              </w:rPr>
              <w:t>1.支持试次相干性分析，可评估试次数据的一致性及可信度；</w:t>
            </w:r>
          </w:p>
          <w:p>
            <w:pPr>
              <w:pStyle w:val="null3"/>
              <w:spacing w:before="135" w:after="165"/>
            </w:pPr>
            <w:r>
              <w:rPr>
                <w:rFonts w:ascii="仿宋_GB2312" w:hAnsi="仿宋_GB2312" w:cs="仿宋_GB2312" w:eastAsia="仿宋_GB2312"/>
                <w:sz w:val="18"/>
              </w:rPr>
              <w:t>2.支持ERP叠加平均、被试间总平均、时域特征提取（波幅，潜伏期，峰值），可绘制2D、3D地形图；</w:t>
            </w:r>
          </w:p>
          <w:p>
            <w:pPr>
              <w:pStyle w:val="null3"/>
              <w:spacing w:before="135" w:after="165"/>
            </w:pPr>
            <w:r>
              <w:rPr>
                <w:rFonts w:ascii="仿宋_GB2312" w:hAnsi="仿宋_GB2312" w:cs="仿宋_GB2312" w:eastAsia="仿宋_GB2312"/>
                <w:sz w:val="18"/>
              </w:rPr>
              <w:t>3.具有常用数据预处理功能，如：滤波、插值坏导、基线矫正、叠加平均、ICA等伪迹去除算法；</w:t>
            </w:r>
          </w:p>
          <w:p>
            <w:pPr>
              <w:pStyle w:val="null3"/>
              <w:spacing w:before="135" w:after="165"/>
            </w:pPr>
            <w:r>
              <w:rPr>
                <w:rFonts w:ascii="仿宋_GB2312" w:hAnsi="仿宋_GB2312" w:cs="仿宋_GB2312" w:eastAsia="仿宋_GB2312"/>
                <w:sz w:val="18"/>
              </w:rPr>
              <w:t>4.支持单套软件实时采集和实时显示多名受试者的体征信号数据，支持≥</w:t>
            </w:r>
            <w:r>
              <w:rPr>
                <w:rFonts w:ascii="仿宋_GB2312" w:hAnsi="仿宋_GB2312" w:cs="仿宋_GB2312" w:eastAsia="仿宋_GB2312"/>
                <w:sz w:val="18"/>
              </w:rPr>
              <w:t>2</w:t>
            </w:r>
            <w:r>
              <w:rPr>
                <w:rFonts w:ascii="仿宋_GB2312" w:hAnsi="仿宋_GB2312" w:cs="仿宋_GB2312" w:eastAsia="仿宋_GB2312"/>
                <w:sz w:val="18"/>
              </w:rPr>
              <w:t>人多人采集界面分屏显示，支持按照数据名称进行数据回放；</w:t>
            </w:r>
          </w:p>
          <w:p>
            <w:pPr>
              <w:pStyle w:val="null3"/>
              <w:spacing w:before="135" w:after="165"/>
            </w:pPr>
            <w:r>
              <w:rPr>
                <w:rFonts w:ascii="仿宋_GB2312" w:hAnsi="仿宋_GB2312" w:cs="仿宋_GB2312" w:eastAsia="仿宋_GB2312"/>
                <w:sz w:val="18"/>
              </w:rPr>
              <w:t>5.支持在线体征（如脑电）信号-视频信号同步记录，可实现行为视频数据和脑电数据同步回放；</w:t>
            </w:r>
          </w:p>
          <w:p>
            <w:pPr>
              <w:pStyle w:val="null3"/>
            </w:pPr>
            <w:r>
              <w:rPr>
                <w:rFonts w:ascii="仿宋_GB2312" w:hAnsi="仿宋_GB2312" w:cs="仿宋_GB2312" w:eastAsia="仿宋_GB2312"/>
                <w:sz w:val="18"/>
              </w:rPr>
              <w:t>6.问卷发布渠道支持自有样本库、匿名作答、连接二维码发布等，支持对被试进行质量控制设置，包括作答次数、历史采纳率、信用分、IP地址限定等，支持对被试进行样本特征限定，如国家、性别、年龄、职业、收入等；</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交货期：自合同签订之日起30日历天内完成交付、安装及调试。 中标人未按合同约定的交货日期交货的，每逾期一日，向采购人支付逾期交付货物价款的0.1%的违约金，但不超过合同总金额的10%。中标人支付逾期交货违约金并不免除其交货的责任。如中标人在政府采购合同规定的交货日期后15个工作日内仍未能交货，则视为中标人不能交货，采购人有权解除政府采购合同，中标人除退还已收取的货款外，还应向采购人偿付政府采购合同总金额10%的违约金。如中标人存在恶意违约情形（如交付假冒伪劣产品、擅自转包、故意拖延履行、伪造履约证据等），采购人有权要求中标人支付合同总金额20%的违约金。</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西安外国语大学长安校区商学院</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预付款，合同签订后，达到付款条件起22个工作日内，支付合同总金额的40.0%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其他，产品安装调试完成，学校最终验收合格后，达到付款条件起22个工作日内，支付合同总金额的60.0%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采购包1：验收分初次开箱验收、采购人使用单位初步验收和采购人最终验收三个阶段，以最终验收为准。 1.初次开箱验收 设备到货后，采购人、中标人双方共同开箱验收。如属于检验检疫法检目录内货物，由采购人、中标人双方会同海关共同开箱验收。在检查货物原产地、型号、规格、配置符合合同要求后，由中标人负责安装调试、采购人负责技术验收（中标人协助），验收以国内行业标准或合同文本货物供货配置清单中描述的有关技术要求为准。 2.采购人使用单位初步验收 在设备安装调试运行正常后，进行试运行测试，通过试运行测试后进入试运行，试运行不少于7个工作日。试运行期间由中标人向采购人提供详细的试运行报告，报告中至少应详细记录各种实测、运行数据。项目试运行正常后，中标人向采购人使用单位申请初步验收。初步验收由采购人使用单位按试运行报告及合同约定，现场查看货物使用情况。初验完成后，中标人填写初验验收报告并经采购人使用单位确认。 设备整机自安装之日起1个月内，如果设备不能正常工作或不能达到设备性能指标，在中标人尽快、尽力排除故障的前提下，仍不能解决问题，采购人有权要求中标人更换部件或全部新品以解决问题。中标人应在接到采购人书面申请（传真、电子邮件有效）后，在1个月内从原厂运出更换部件或更换新品，费用由中标人承担。新品或新部件到货安装后1个月内，仍不能正常工作或不能满足设备验收指标要求，采购人有权利要求再次换货。设备首次安装之日起4个月内，如果设备仍不能正常工作或不能满足设备验收指标要求的，采购人有权单方解除合同，中标人应无条件退还已收取的全部货款，并按合同总价20%向采购人支付违约金。履约保证金不予退还。履约保证金及违约金不足弥补采购人损失的，由中标人负责赔偿。 3.采购人最终验收 采购人使用单位根据初验结果，向学校提交最终验收申请，由学校组织校内相关部门及有关专家进行项目的最终验收。验收依据为合同文本、招投标文件和国内相应的标准、规范，合同内所列功能参数逐条验收，并符合采购人稳定安全正常使用的需求。验收合格后，采购人填写终验验收单，并由中标人向采购人提交设备所包含的所有资料，以便采购人使用单位日后管理和维护。验收不合格的，限期整改，整改过程中产生的费用和设备发生的一切损失由中标人承担；整改超过二次的，采购人有权单方解除合同，中标人应无条件退还已收取的全部货款，并按合同总价20%向采购人支付违约金。履约保证金不予退还。履约保证金及违约金不足弥补采购人损失的，由中标人负责赔偿。</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为产品最终验收合格之日起5年。质保期内，非人为因素引起的产品质量问题，中标人负责维修或更换产品或原厂配件，采购人不负担任何维修费用（含人工费）。质保期内，项目责任工程师每年提供不小于2次上门保养服务，提供保养用的全部零部件（原厂）。质保期满前1个月，中标人提供一次全面的检查、维护，并出具正式检查报告，如发现潜在问题，应负责完全排除，所产生的任何费用已包含在合同总价中。 2.售后服务响应时间（质保期内）：7*24即时响应（包括电话响应）；电话响应无法解决时，24小时内到达现场。采购人反映的问题应在48小时内解决，如在48小时内无法解决或修复，则由中标人提供部件冗余服务或采取应急措施，提供相同产品或不低于故障产品规格档次的备用产品供采购人使用，以确保货物的正常使用。48小时后，未解决之问题每超过24小时，中标人应按合同价的千分之一支付违约金。 3.中标人应在合同生效后的1个月内向采购人提供详细的软硬件使用说明并提供技术咨询。设备、系统安装调试完成后，中标人应按照采购人指定时间、指定地点、指定频次开展培训。培训内容包括设备的技术原理、操作方法、数据处理、基本维护等。 4.与使用设备相配套的软件5年内由中标人负责更新升级。 5.培训要求： ①供应商须在设备安装调试验收期间，提供不少于2天的现场免费培训，培训内容包括但不限于设备工作原理、操作步骤、数据采集与分析、日常维护及常见故障排除等，确保采购方操作人员能独立、熟练使用设备。培训人数不限，所有费用由供应商承担。至少保证大于等于两名教职工或学生学会使用。 ②供应商须提供详细的操作指南及仪器维护资料。 ③供应商须能长期提供产品使用、维护等方面的技术咨询。</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采购包1： （一）按《中华人民共和国民法典》中的相关条款执行。（二）未按合同要求的提供服务或质量不能满足技术要求，采购人有权终止合同，甚至对供方违约行为进行追究。（三）如有纠纷，双方友好协商解决，协商不成时可诉讼到甲方所在地人民法院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1、供货安装要求（商务要求） 中标人应按照合同约定、采购文件及投标（响应）文件的承诺，向采购人提供完整的货物、技术资料（包括但不限于产品说明书、合格证、保修卡、安装图纸、操作手册等）、专用工具及备品备件。 （1）现场条件确认 供应商应对本次采购的所有产品进行安装、调试、集成，并提供符合标准的使用环境，环境改善费用包含在本项目投标报价中。中标人项目实施前，应进行现场条件确认，确认水、电、场地等基础条件满足安装要求。 （2）安装人员资质 中标人应派具备相应技术能力的人员进行安装。如设备属于国家规定的特种设备，安装人员须持有国家规定从业资格。 安装人员在施工期间应遵守采购人现场管理规定，佩戴工作证件，做到文明施工、安全施工。 （3）安装标准 安装质量应符合国家现行有效的技术标准、行业规范以及制造商规定的安装要求。安装过程中，中标人应采取必要的安全防护措施，设置警示标志。因中标人原因造成的人员伤亡或财产损失，由中标人承担全部责任。 （4）调试与试运行 安装完成后，中标人应进行系统调试，确保各项功能、性能指标符合合同约定及投标承诺。需提供不少于7个工作日的试运行期。试运行期间，中标人应派技术人员现场跟班保障，及时处理运行中出现的问题。试运行正常后，方可进入正式验收程序。 2、本项目需要落实的政府采购政策: （1）《政府采购促进中小企业发展管理办法》的通知--财库〔2020〕46号； （2）财政部司法部关于政府采购支持监狱企业发展有关问题的通知--财库[2014]68号； （3）《财政部 发展改革委 生态环境部 市场监管总局关于调整优化节能产品 环境标志产品政府采购执行机制的通知》（财库〔2019〕9号）； （4）《关于促进残疾人就业政府采购政策的通知》（财库[2017]141号）； （5）《陕西省财政厅关于加快推进我省中小企业政府采购信用融资工作的通知》（陕财办采〔2020〕15 号）； （6）《陕西省中小企业政府采购信用融资办法》陕财办采〔2018〕23号； （7）《关于进一步加大政府采购支持中小企业力度的通知》（财库〔2022〕19号）； （8）《陕西省财政厅关于进一步落实政府采购支持中小企业相关政策的通知》（陕财办采〔2023〕3号）； （9）《国务院办公厅关于在政府采购中实施本国产品标准及相关政策的通知》（国办发〔2025〕34号）； （10）《关于推动解决政府采购异常低价问题的通知》（财库〔2026〕2号）； （11）若享受以上政策优惠的企业，提供相应声明函或品目范围内产品有效认证证书。如有最新颁布的政府采购政策，按最新的文件执行。 3、保证金的退还：自中标通知书发出之日起5个工作日内退还未中标人的投标保证金,自采购合同签订之日起5个工作日内退还中吗，标人的投标保证金。 4、为顺利推进政府采购电子化交易平台应用工作，投标人需要在线提交所有通过电子化交易平台实施的政府采购项目的投标文件，同时，线下提交纸质投标文件正本壹份、副本壹份。纸质投标文件正、副本分别胶装，标明投标人名称密封递交，递交截止时间同在线递交投标电子文件截止时间一致，递交地址：西安市雁展路1111号莱安中心T6-15层。（纸质投标文件可邮寄，仅接受顺丰速运，邮件签收时间应在递交电子投标文件截止时间之前，邮寄地址：西安市雁展路1111号莱安中心T6-15层，联系人：任萍萍，联系电话029-81206622/81206633-842）。 若电子投标文件与纸质投标文件不一致的，以电子投标文件为准。 5、招标文件中所有的商务要求均为实质性要求，投标人必须响应并满足。</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投标人资格条件证明文件.docx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投标人资格条件证明文件.docx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会计师事务所审计并通过注册会计师行业统一监管平台备案赋码的审计报告（包括审计报告、资产负债表、利润表、现金流量表、所有者权益变动表及其附注，成立时间至提交投标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提供上一年度至今任意一个月的依法缴纳税收的相关凭据（时间以税款所属日期为准），凭据应有税务机关或代收机关的公章或业务专用章。依法免税或无须缴纳税收的投标人，应提供相应证明文件。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提供上一年度至今已缴存的至少一个月的社会保障资金缴存单据或社保机构开具的社会保险参保缴费情况证明，依法不需要缴纳社会保障资金的单位应提供相关证明材料。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法定代表人授权书及被授权人身份证复印件。（法定代表人直接投标只须提交其身份证明书）</w:t>
            </w:r>
          </w:p>
        </w:tc>
        <w:tc>
          <w:tcPr>
            <w:tcW w:type="dxa" w:w="1661"/>
          </w:tcPr>
          <w:p>
            <w:pPr>
              <w:pStyle w:val="null3"/>
            </w:pPr>
            <w:r>
              <w:rPr>
                <w:rFonts w:ascii="仿宋_GB2312" w:hAnsi="仿宋_GB2312" w:cs="仿宋_GB2312" w:eastAsia="仿宋_GB2312"/>
              </w:rPr>
              <w:t>投标人资格条件证明文件.docx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投标人名称与营业执照一致</w:t>
            </w:r>
          </w:p>
        </w:tc>
        <w:tc>
          <w:tcPr>
            <w:tcW w:type="dxa" w:w="3322"/>
          </w:tcPr>
          <w:p>
            <w:pPr>
              <w:pStyle w:val="null3"/>
            </w:pPr>
            <w:r>
              <w:rPr>
                <w:rFonts w:ascii="仿宋_GB2312" w:hAnsi="仿宋_GB2312" w:cs="仿宋_GB2312" w:eastAsia="仿宋_GB2312"/>
              </w:rPr>
              <w:t>投标人名称与营业执照一致。</w:t>
            </w:r>
          </w:p>
        </w:tc>
        <w:tc>
          <w:tcPr>
            <w:tcW w:type="dxa" w:w="1661"/>
          </w:tcPr>
          <w:p>
            <w:pPr>
              <w:pStyle w:val="null3"/>
            </w:pPr>
            <w:r>
              <w:rPr>
                <w:rFonts w:ascii="仿宋_GB2312" w:hAnsi="仿宋_GB2312" w:cs="仿宋_GB2312" w:eastAsia="仿宋_GB2312"/>
              </w:rPr>
              <w:t>投标人资格条件证明文件.docx 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投标报价是否超过采购预算或者最高限价</w:t>
            </w:r>
          </w:p>
        </w:tc>
        <w:tc>
          <w:tcPr>
            <w:tcW w:type="dxa" w:w="3322"/>
          </w:tcPr>
          <w:p>
            <w:pPr>
              <w:pStyle w:val="null3"/>
            </w:pPr>
            <w:r>
              <w:rPr>
                <w:rFonts w:ascii="仿宋_GB2312" w:hAnsi="仿宋_GB2312" w:cs="仿宋_GB2312" w:eastAsia="仿宋_GB2312"/>
              </w:rPr>
              <w:t>投标报价未超过采购预算或最高限价。</w:t>
            </w:r>
          </w:p>
        </w:tc>
        <w:tc>
          <w:tcPr>
            <w:tcW w:type="dxa" w:w="1661"/>
          </w:tcPr>
          <w:p>
            <w:pPr>
              <w:pStyle w:val="null3"/>
            </w:pPr>
            <w:r>
              <w:rPr>
                <w:rFonts w:ascii="仿宋_GB2312" w:hAnsi="仿宋_GB2312" w:cs="仿宋_GB2312" w:eastAsia="仿宋_GB2312"/>
              </w:rPr>
              <w:t>分项报价表.docx 投标函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标的数量满足招标要求。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投标文件按招标文件要求的数量、计量单位、报价货币及签字盖章</w:t>
            </w:r>
          </w:p>
        </w:tc>
        <w:tc>
          <w:tcPr>
            <w:tcW w:type="dxa" w:w="3322"/>
          </w:tcPr>
          <w:p>
            <w:pPr>
              <w:pStyle w:val="null3"/>
            </w:pPr>
            <w:r>
              <w:rPr>
                <w:rFonts w:ascii="仿宋_GB2312" w:hAnsi="仿宋_GB2312" w:cs="仿宋_GB2312" w:eastAsia="仿宋_GB2312"/>
              </w:rPr>
              <w:t>投标文件按招标文件要求的数量、计量单位、报价货币及签字盖章。</w:t>
            </w:r>
          </w:p>
        </w:tc>
        <w:tc>
          <w:tcPr>
            <w:tcW w:type="dxa" w:w="1661"/>
          </w:tcPr>
          <w:p>
            <w:pPr>
              <w:pStyle w:val="null3"/>
            </w:pPr>
            <w:r>
              <w:rPr>
                <w:rFonts w:ascii="仿宋_GB2312" w:hAnsi="仿宋_GB2312" w:cs="仿宋_GB2312" w:eastAsia="仿宋_GB2312"/>
              </w:rPr>
              <w:t>分项报价表.docx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商务要求实质性响应</w:t>
            </w:r>
          </w:p>
        </w:tc>
        <w:tc>
          <w:tcPr>
            <w:tcW w:type="dxa" w:w="3322"/>
          </w:tcPr>
          <w:p>
            <w:pPr>
              <w:pStyle w:val="null3"/>
            </w:pPr>
            <w:r>
              <w:rPr>
                <w:rFonts w:ascii="仿宋_GB2312" w:hAnsi="仿宋_GB2312" w:cs="仿宋_GB2312" w:eastAsia="仿宋_GB2312"/>
              </w:rPr>
              <w:t>投标文件的交货期、交货地点、质保期、付款方式、合同等商务内容符合招标文件要求。</w:t>
            </w:r>
          </w:p>
        </w:tc>
        <w:tc>
          <w:tcPr>
            <w:tcW w:type="dxa" w:w="1661"/>
          </w:tcPr>
          <w:p>
            <w:pPr>
              <w:pStyle w:val="null3"/>
            </w:pPr>
            <w:r>
              <w:rPr>
                <w:rFonts w:ascii="仿宋_GB2312" w:hAnsi="仿宋_GB2312" w:cs="仿宋_GB2312" w:eastAsia="仿宋_GB2312"/>
              </w:rPr>
              <w:t>商务条款响应说明.docx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投标文件未含有采购人不能接受的附加条件的。</w:t>
            </w:r>
          </w:p>
        </w:tc>
        <w:tc>
          <w:tcPr>
            <w:tcW w:type="dxa" w:w="1661"/>
          </w:tcPr>
          <w:p>
            <w:pPr>
              <w:pStyle w:val="null3"/>
            </w:pPr>
            <w:r>
              <w:rPr>
                <w:rFonts w:ascii="仿宋_GB2312" w:hAnsi="仿宋_GB2312" w:cs="仿宋_GB2312" w:eastAsia="仿宋_GB2312"/>
              </w:rPr>
              <w:t>开标一览表 投标人资格条件证明文件.docx 详细评审-售后服务.docx 中小企业声明函 详细评审-实施方案.docx 详细评审-来源渠道.docx 其他说明.docx 商务条款响应说明.docx 技术指标偏差表.docx 分项报价表.docx 详细评审-技术参数.docx 详细评审-业绩.docx 投标函 残疾人福利性单位声明函 详细评审-质量保证.docx 详细评审-节能环保.docx 标的清单 关于符合本国产品标准的声明函 监狱企业的证明文件 详细评审-培训方案.docx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符合法律、法规和采购文件中规定的其他实质性要求</w:t>
            </w:r>
          </w:p>
        </w:tc>
        <w:tc>
          <w:tcPr>
            <w:tcW w:type="dxa" w:w="3322"/>
          </w:tcPr>
          <w:p>
            <w:pPr>
              <w:pStyle w:val="null3"/>
            </w:pPr>
            <w:r>
              <w:rPr>
                <w:rFonts w:ascii="仿宋_GB2312" w:hAnsi="仿宋_GB2312" w:cs="仿宋_GB2312" w:eastAsia="仿宋_GB2312"/>
              </w:rPr>
              <w:t>符合法律、法规和招标文件中规定的其他实质性要求 标“★”项为实质性响应条款，须提供相应佐证材料（不限于产品彩页、检测报告、功能截图等），未提供或虽提供但无法佐证的按无效文件处理。</w:t>
            </w:r>
          </w:p>
        </w:tc>
        <w:tc>
          <w:tcPr>
            <w:tcW w:type="dxa" w:w="1661"/>
          </w:tcPr>
          <w:p>
            <w:pPr>
              <w:pStyle w:val="null3"/>
            </w:pPr>
            <w:r>
              <w:rPr>
                <w:rFonts w:ascii="仿宋_GB2312" w:hAnsi="仿宋_GB2312" w:cs="仿宋_GB2312" w:eastAsia="仿宋_GB2312"/>
              </w:rPr>
              <w:t>开标一览表 投标人资格条件证明文件.docx 分项报价表.docx 投标函 标的清单 关于符合本国产品标准的声明函 投标文件封面 其他说明.docx 商务条款响应说明.docx 技术指标偏差表.docx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招标文件要求认真审核投标文件中技术参数响应和提供的佐证材料。投标产品的基本功能、产品技术参数和配置完全满足或优于招标文件要求的，得满分42分；“▲”参数每负偏离一项扣3分（共计8项），未带标识参数每负偏离一项扣0.4分（共计45项），扣完为止。 备注：标“▲”项参数必须提供佐证材料（不限于产品彩页、检测报告、功能截图等），未提供佐证材料或提供的佐证材料无法证明或低于招标要求时按负偏离处理。</w:t>
            </w:r>
          </w:p>
        </w:tc>
        <w:tc>
          <w:tcPr>
            <w:tcW w:type="dxa" w:w="831"/>
          </w:tcPr>
          <w:p>
            <w:pPr>
              <w:pStyle w:val="null3"/>
              <w:jc w:val="right"/>
            </w:pPr>
            <w:r>
              <w:rPr>
                <w:rFonts w:ascii="仿宋_GB2312" w:hAnsi="仿宋_GB2312" w:cs="仿宋_GB2312" w:eastAsia="仿宋_GB2312"/>
              </w:rPr>
              <w:t>42.0000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详细评审-技术参数.docx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中每有一项为节能产品经国家认证的得0.5分，每有一项为环境标志产品经国家认证的得0.5分，投标人响应产品中每有一项产品同时为节能产品和环境标志产品得1分，最多得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详细评审-节能环保.docx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产品进货渠道正规，确保生产供应的产品无假货、水货、翻新货且无产权纠纷，提供响应产品的合法来源渠道证明文件（不限于原厂授权、供货协议等）,完全响应得2分；未提供或提供不全不得分。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详细评审-来源渠道.docx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提供投标人2023年1月1日至今同类项目合同（以合同签订日期为准），每提供1个得1分，最高得5分。备注：响应文件中提供合同复印件（包含关键页，双方盖章页）。</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详细评审-业绩.docx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有具体的实施方案，包括但不限于：①供货组织安排；②实施计划及进度计划；③安装调试方案；④配合验收方案；⑤人员配备方案。以上方案每有一项缺项扣2分，每有一项内容中有1项缺陷，扣1分，扣完为止。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针对本项目提供详细的质量保证措施，包括但不限于：①所投产品制造厂家具备可靠且完善的管理制度，拥有充足的制造工艺、加工及检验能力；②质量保证措施。以上方案每有一项缺项扣1分，每有一项内容中有1处缺陷，扣0.5分，扣完为止。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详细评审-质量保证.docx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该方案包含：①紧急故障处理预案及解决问题能力；②故障维修响应时间；③定期巡检维护方案等；④提供产品备品备件价目表，并承诺质保期后的维修仍然按照备品备件表内价格收取费用。以上方案每有一项缺项扣1分，每有一项内容中有1项缺陷，扣0.5分，扣完为止。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详细评审-售后服务.docx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在采购人对于技术培训要求的基础上，提供优化后的产品培训方案，保障采购人能更快更顺利的投入使用，包括但不限于：①培训计划，含培训计划表、地点、时间及培训对象人数等；②培训内容，含所提供产品的原理和技术性能、操作维护方法、安装调试、排除故障等。以上方案每有一项缺项扣2分，每有一项内容中有1处缺陷，扣1分，扣完为止。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详细评审-培训方案.docx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详见附件：投标人资格条件证明文件.docx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详见附件：其他说明.docx</w:t>
      </w:r>
    </w:p>
    <w:p>
      <w:pPr>
        <w:pStyle w:val="null3"/>
        <w:ind w:firstLine="960"/>
      </w:pPr>
      <w:r>
        <w:rPr>
          <w:rFonts w:ascii="仿宋_GB2312" w:hAnsi="仿宋_GB2312" w:cs="仿宋_GB2312" w:eastAsia="仿宋_GB2312"/>
        </w:rPr>
        <w:t>详见附件：详细评审-技术参数.docx</w:t>
      </w:r>
    </w:p>
    <w:p>
      <w:pPr>
        <w:pStyle w:val="null3"/>
        <w:ind w:firstLine="960"/>
      </w:pPr>
      <w:r>
        <w:rPr>
          <w:rFonts w:ascii="仿宋_GB2312" w:hAnsi="仿宋_GB2312" w:cs="仿宋_GB2312" w:eastAsia="仿宋_GB2312"/>
        </w:rPr>
        <w:t>详见附件：详细评审-实施方案.docx</w:t>
      </w:r>
    </w:p>
    <w:p>
      <w:pPr>
        <w:pStyle w:val="null3"/>
        <w:ind w:firstLine="960"/>
      </w:pPr>
      <w:r>
        <w:rPr>
          <w:rFonts w:ascii="仿宋_GB2312" w:hAnsi="仿宋_GB2312" w:cs="仿宋_GB2312" w:eastAsia="仿宋_GB2312"/>
        </w:rPr>
        <w:t>详见附件：详细评审-质量保证.docx</w:t>
      </w:r>
    </w:p>
    <w:p>
      <w:pPr>
        <w:pStyle w:val="null3"/>
        <w:ind w:firstLine="960"/>
      </w:pPr>
      <w:r>
        <w:rPr>
          <w:rFonts w:ascii="仿宋_GB2312" w:hAnsi="仿宋_GB2312" w:cs="仿宋_GB2312" w:eastAsia="仿宋_GB2312"/>
        </w:rPr>
        <w:t>详见附件：详细评审-来源渠道.docx</w:t>
      </w:r>
    </w:p>
    <w:p>
      <w:pPr>
        <w:pStyle w:val="null3"/>
        <w:ind w:firstLine="960"/>
      </w:pPr>
      <w:r>
        <w:rPr>
          <w:rFonts w:ascii="仿宋_GB2312" w:hAnsi="仿宋_GB2312" w:cs="仿宋_GB2312" w:eastAsia="仿宋_GB2312"/>
        </w:rPr>
        <w:t>详见附件：详细评审-售后服务.docx</w:t>
      </w:r>
    </w:p>
    <w:p>
      <w:pPr>
        <w:pStyle w:val="null3"/>
        <w:ind w:firstLine="960"/>
      </w:pPr>
      <w:r>
        <w:rPr>
          <w:rFonts w:ascii="仿宋_GB2312" w:hAnsi="仿宋_GB2312" w:cs="仿宋_GB2312" w:eastAsia="仿宋_GB2312"/>
        </w:rPr>
        <w:t>详见附件：详细评审-业绩.docx</w:t>
      </w:r>
    </w:p>
    <w:p>
      <w:pPr>
        <w:pStyle w:val="null3"/>
        <w:ind w:firstLine="960"/>
      </w:pPr>
      <w:r>
        <w:rPr>
          <w:rFonts w:ascii="仿宋_GB2312" w:hAnsi="仿宋_GB2312" w:cs="仿宋_GB2312" w:eastAsia="仿宋_GB2312"/>
        </w:rPr>
        <w:t>详见附件：详细评审-培训方案.docx</w:t>
      </w:r>
    </w:p>
    <w:p>
      <w:pPr>
        <w:pStyle w:val="null3"/>
        <w:ind w:firstLine="960"/>
      </w:pPr>
      <w:r>
        <w:rPr>
          <w:rFonts w:ascii="仿宋_GB2312" w:hAnsi="仿宋_GB2312" w:cs="仿宋_GB2312" w:eastAsia="仿宋_GB2312"/>
        </w:rPr>
        <w:t>详见附件：详细评审-节能环保.docx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详见附件：技术指标偏差表.docx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