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版本号：SCZD2026-CS-1337-00120260602001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变压器增容改造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SCZD2026-CS-1337-001</w:t>
      </w:r>
      <w:r>
        <w:br/>
      </w:r>
      <w:r>
        <w:br/>
      </w:r>
      <w:r>
        <w:br/>
      </w:r>
    </w:p>
    <w:p>
      <w:pPr>
        <w:pStyle w:val="null3"/>
        <w:jc w:val="center"/>
        <w:outlineLvl w:val="2"/>
      </w:pPr>
      <w:r>
        <w:rPr>
          <w:rFonts w:ascii="仿宋_GB2312" w:hAnsi="仿宋_GB2312" w:cs="仿宋_GB2312" w:eastAsia="仿宋_GB2312"/>
          <w:sz w:val="28"/>
          <w:b/>
        </w:rPr>
        <w:t>陕西省荣复军人第二医院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陕西省荣复军人第二医院</w:t>
      </w:r>
      <w:r>
        <w:rPr>
          <w:rFonts w:ascii="仿宋_GB2312" w:hAnsi="仿宋_GB2312" w:cs="仿宋_GB2312" w:eastAsia="仿宋_GB2312"/>
        </w:rPr>
        <w:t>委托，拟对</w:t>
      </w:r>
      <w:r>
        <w:rPr>
          <w:rFonts w:ascii="仿宋_GB2312" w:hAnsi="仿宋_GB2312" w:cs="仿宋_GB2312" w:eastAsia="仿宋_GB2312"/>
        </w:rPr>
        <w:t>变压器增容改造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SCZD2026-CS-1337-001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变压器增容改造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主要工作内容为新装1250kv箱变一台、铺设电力电缆ZC-YJV22-10-3×95 30米等，具体内容及要求详见图纸、工程量清单及竞争性磋商文件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采购包1（变压器增容改造）：属于专门面向中小企业采购。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情况：供应商在磋商响应文件提交截止时间前被“信用中国”网站（www.creditchina.gov.cn）和中国政府采购网（www.ccgp.gov.cn）上列入失信被执行人、重大税收违法失信主体、政府采购严重违法失信行为记录名单的，不得参加磋商。 （以采购代理机构于响应文件递交截止时间当天进行资格审查时在“信用中国”网站（www.creditchina.gov.cn）及中国政府采购网(www.ccgp.gov.cn)查询结果为准）。</w:t>
      </w:r>
    </w:p>
    <w:p>
      <w:pPr>
        <w:pStyle w:val="null3"/>
      </w:pPr>
      <w:r>
        <w:rPr>
          <w:rFonts w:ascii="仿宋_GB2312" w:hAnsi="仿宋_GB2312" w:cs="仿宋_GB2312" w:eastAsia="仿宋_GB2312"/>
        </w:rPr>
        <w:t>2、参与磋商代表：法定代表人参加的，须提供本人身份证复印件加盖公章；法定代表人授权他人参加的，须提供法定代表人委托授权书原件加盖公章，并提供被授权代表的身份证复印件加盖公章，并提供授权代表本单位证明（养老保险缴纳证明）。</w:t>
      </w:r>
    </w:p>
    <w:p>
      <w:pPr>
        <w:pStyle w:val="null3"/>
      </w:pPr>
      <w:r>
        <w:rPr>
          <w:rFonts w:ascii="仿宋_GB2312" w:hAnsi="仿宋_GB2312" w:cs="仿宋_GB2312" w:eastAsia="仿宋_GB2312"/>
        </w:rPr>
        <w:t>3、企业资质：供应商须具备行政主管部门颁发的【电力工程施工总承包三级】及以上资质或【输变电工程专业承包三级】及以上资质，且具备国家能源局（国家电力监管委员会）或其授权机构颁发的【承装（修、试）电力设施许可证】（承装三级、承修三级、承试三级）及以上资质，具有有效的安全生产许可证。</w:t>
      </w:r>
    </w:p>
    <w:p>
      <w:pPr>
        <w:pStyle w:val="null3"/>
      </w:pPr>
      <w:r>
        <w:rPr>
          <w:rFonts w:ascii="仿宋_GB2312" w:hAnsi="仿宋_GB2312" w:cs="仿宋_GB2312" w:eastAsia="仿宋_GB2312"/>
        </w:rPr>
        <w:t>4、拟派项目经理：拟派项目经理须具备【机电工程二级注册建造师】及以上执业资格，具备有效的安全生产考核合格证书（建安B证），且未担任其他在建工程项目的项目经理。</w:t>
      </w:r>
    </w:p>
    <w:p>
      <w:pPr>
        <w:pStyle w:val="null3"/>
      </w:pPr>
      <w:r>
        <w:rPr>
          <w:rFonts w:ascii="仿宋_GB2312" w:hAnsi="仿宋_GB2312" w:cs="仿宋_GB2312" w:eastAsia="仿宋_GB2312"/>
        </w:rPr>
        <w:t>5、陕西省住房和城乡建设厅信息登记：供应商及拟派项目经理的基本信息须在陕西省住房和城乡建设厅网站（https://js.shaanxi.gov.cn）可查询。</w:t>
      </w:r>
    </w:p>
    <w:p>
      <w:pPr>
        <w:pStyle w:val="null3"/>
      </w:pPr>
      <w:r>
        <w:rPr>
          <w:rFonts w:ascii="仿宋_GB2312" w:hAnsi="仿宋_GB2312" w:cs="仿宋_GB2312" w:eastAsia="仿宋_GB2312"/>
        </w:rPr>
        <w:t>6、本项目不接受联合体参与磋商：本项目不接受联合体参与磋商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陕西省荣复军人第二医院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渭南市华阴市华山康复路东段东侧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19991638894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张锐 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陕西省财政厅政府采购管理处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银行账号：102060079839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陕西省荣复军人第二医院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陕西省荣复军人第二医院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陕西省荣复军人第二医院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地址：西安市高新区唐延南路都市之门C座9层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变压器增容改造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标的名称：变压器增容改造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一、工程概况</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、建设单位：陕西省荣复军人第二医院；</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、建设地点：陕西省荣复军人第二医院指定地点；</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、工程概况：主要工作内容为新装</w:t>
            </w:r>
            <w:r>
              <w:rPr>
                <w:rFonts w:ascii="仿宋_GB2312" w:hAnsi="仿宋_GB2312" w:cs="仿宋_GB2312" w:eastAsia="仿宋_GB2312"/>
                <w:sz w:val="21"/>
              </w:rPr>
              <w:t>1250kv</w:t>
            </w:r>
            <w:r>
              <w:rPr>
                <w:rFonts w:ascii="仿宋_GB2312" w:hAnsi="仿宋_GB2312" w:cs="仿宋_GB2312" w:eastAsia="仿宋_GB2312"/>
                <w:sz w:val="21"/>
              </w:rPr>
              <w:t>箱变一台、铺设电力电缆</w:t>
            </w:r>
            <w:r>
              <w:rPr>
                <w:rFonts w:ascii="仿宋_GB2312" w:hAnsi="仿宋_GB2312" w:cs="仿宋_GB2312" w:eastAsia="仿宋_GB2312"/>
                <w:sz w:val="21"/>
              </w:rPr>
              <w:t>ZC-YJV22-10-3</w:t>
            </w:r>
            <w:r>
              <w:rPr>
                <w:rFonts w:ascii="仿宋_GB2312" w:hAnsi="仿宋_GB2312" w:cs="仿宋_GB2312" w:eastAsia="仿宋_GB2312"/>
                <w:sz w:val="21"/>
              </w:rPr>
              <w:t>×</w:t>
            </w:r>
            <w:r>
              <w:rPr>
                <w:rFonts w:ascii="仿宋_GB2312" w:hAnsi="仿宋_GB2312" w:cs="仿宋_GB2312" w:eastAsia="仿宋_GB2312"/>
                <w:sz w:val="21"/>
              </w:rPr>
              <w:t>95 30</w:t>
            </w:r>
            <w:r>
              <w:rPr>
                <w:rFonts w:ascii="仿宋_GB2312" w:hAnsi="仿宋_GB2312" w:cs="仿宋_GB2312" w:eastAsia="仿宋_GB2312"/>
                <w:sz w:val="21"/>
              </w:rPr>
              <w:t>米等，详见图纸、工程量清单。</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、工期：自合同签订之日起</w:t>
            </w:r>
            <w:r>
              <w:rPr>
                <w:rFonts w:ascii="仿宋_GB2312" w:hAnsi="仿宋_GB2312" w:cs="仿宋_GB2312" w:eastAsia="仿宋_GB2312"/>
                <w:sz w:val="21"/>
              </w:rPr>
              <w:t>30</w:t>
            </w:r>
            <w:r>
              <w:rPr>
                <w:rFonts w:ascii="仿宋_GB2312" w:hAnsi="仿宋_GB2312" w:cs="仿宋_GB2312" w:eastAsia="仿宋_GB2312"/>
                <w:sz w:val="21"/>
              </w:rPr>
              <w:t>日历日内完成。</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、工程保修期：自竣工验收合格之日起</w:t>
            </w:r>
            <w:r>
              <w:rPr>
                <w:rFonts w:ascii="仿宋_GB2312" w:hAnsi="仿宋_GB2312" w:cs="仿宋_GB2312" w:eastAsia="仿宋_GB2312"/>
                <w:sz w:val="21"/>
              </w:rPr>
              <w:t>2</w:t>
            </w:r>
            <w:r>
              <w:rPr>
                <w:rFonts w:ascii="仿宋_GB2312" w:hAnsi="仿宋_GB2312" w:cs="仿宋_GB2312" w:eastAsia="仿宋_GB2312"/>
                <w:sz w:val="21"/>
              </w:rPr>
              <w:t>年。</w:t>
            </w:r>
          </w:p>
          <w:p>
            <w:pPr>
              <w:pStyle w:val="null3"/>
              <w:jc w:val="both"/>
            </w:pPr>
            <w:r>
              <w:rPr>
                <w:rFonts w:ascii="仿宋_GB2312" w:hAnsi="仿宋_GB2312" w:cs="仿宋_GB2312" w:eastAsia="仿宋_GB2312"/>
                <w:sz w:val="21"/>
              </w:rPr>
              <w:t>二、质量标准</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、工程质量：必须达到国家现行施工验收规范“合格”标准。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、变压器要求：终身免维护，型号</w:t>
            </w:r>
            <w:r>
              <w:rPr>
                <w:rFonts w:ascii="仿宋_GB2312" w:hAnsi="仿宋_GB2312" w:cs="仿宋_GB2312" w:eastAsia="仿宋_GB2312"/>
                <w:sz w:val="21"/>
              </w:rPr>
              <w:t>S22-M</w:t>
            </w:r>
            <w:r>
              <w:rPr>
                <w:rFonts w:ascii="仿宋_GB2312" w:hAnsi="仿宋_GB2312" w:cs="仿宋_GB2312" w:eastAsia="仿宋_GB2312"/>
                <w:sz w:val="21"/>
              </w:rPr>
              <w:t>一级能效、抗短路大于等于</w:t>
            </w:r>
            <w:r>
              <w:rPr>
                <w:rFonts w:ascii="仿宋_GB2312" w:hAnsi="仿宋_GB2312" w:cs="仿宋_GB2312" w:eastAsia="仿宋_GB2312"/>
                <w:sz w:val="21"/>
              </w:rPr>
              <w:t>25KA</w:t>
            </w:r>
            <w:r>
              <w:rPr>
                <w:rFonts w:ascii="仿宋_GB2312" w:hAnsi="仿宋_GB2312" w:cs="仿宋_GB2312" w:eastAsia="仿宋_GB2312"/>
                <w:sz w:val="21"/>
              </w:rPr>
              <w:t>，户外噪音小于等于</w:t>
            </w:r>
            <w:r>
              <w:rPr>
                <w:rFonts w:ascii="仿宋_GB2312" w:hAnsi="仿宋_GB2312" w:cs="仿宋_GB2312" w:eastAsia="仿宋_GB2312"/>
                <w:sz w:val="21"/>
              </w:rPr>
              <w:t>55dB</w:t>
            </w:r>
            <w:r>
              <w:rPr>
                <w:rFonts w:ascii="仿宋_GB2312" w:hAnsi="仿宋_GB2312" w:cs="仿宋_GB2312" w:eastAsia="仿宋_GB2312"/>
                <w:sz w:val="21"/>
              </w:rPr>
              <w:t>，符合医院一级负荷要求</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如工程质量达不到约定条件的部分，一经发现。可要求成交供应商返工，直至达到合同约定条件，并由成交供应商承担返工费用。经两次以上返工后仍达不到约定标准，采购人有权终止成交供应商继续施工资格。</w:t>
            </w:r>
          </w:p>
          <w:p>
            <w:pPr>
              <w:pStyle w:val="null3"/>
              <w:jc w:val="both"/>
            </w:pPr>
            <w:r>
              <w:rPr>
                <w:rFonts w:ascii="仿宋_GB2312" w:hAnsi="仿宋_GB2312" w:cs="仿宋_GB2312" w:eastAsia="仿宋_GB2312"/>
                <w:sz w:val="21"/>
              </w:rPr>
              <w:t>三、施工技术规范</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、本项目施工应符合国家有关建设标准强制性条文和国家或有关部门对建筑施工等方面现行的标准、规范、规程、定额、办法、示例。</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、成交供应商在施工过程中使用或参考上述标准、规范以外的技术标准、规范时，应征得采购人的同意。</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、在施工过程中，如果国家或有关部门颁布了新的技术标准或规范，则成交供应商应采用新的标准或规范进行施工。</w:t>
            </w:r>
          </w:p>
          <w:p>
            <w:pPr>
              <w:pStyle w:val="null3"/>
              <w:jc w:val="both"/>
            </w:pPr>
            <w:r>
              <w:rPr>
                <w:rFonts w:ascii="仿宋_GB2312" w:hAnsi="仿宋_GB2312" w:cs="仿宋_GB2312" w:eastAsia="仿宋_GB2312"/>
                <w:sz w:val="21"/>
              </w:rPr>
              <w:t>四、对成交供应商建设工程施工安全生产、环境保护要求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成交供应商应当具备《中华人民共和国安全生产法》和有关法律、法规和国家标准或行业标准规定的安全生产条件。安全操作规程、生产安全制度和具体的安全措施。努力实现“零职业病、零事故、零污染”的安全环保生产业绩目标。</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、遵照预防为主的原则，做到建设工程施工和环境保护并举，推行清洁生产，实现环境污染全过程控制。</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、预防、控制和消除职业危害，保护员工健康，以确保工程项目的安全生产。</w:t>
            </w:r>
          </w:p>
          <w:p>
            <w:pPr>
              <w:pStyle w:val="null3"/>
              <w:jc w:val="both"/>
            </w:pPr>
            <w:r>
              <w:rPr>
                <w:rFonts w:ascii="仿宋_GB2312" w:hAnsi="仿宋_GB2312" w:cs="仿宋_GB2312" w:eastAsia="仿宋_GB2312"/>
                <w:sz w:val="21"/>
              </w:rPr>
              <w:t>五、施工材料要求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、成交供应商供应的材料应按规定按时、按质、按量供应，必须附有产品合格证或质量检验证书才能用于工程。</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、采购人可以抽检材料、设备，并有权对其进行检测（检测的费用由成交供应商承担），不合格的材料、设备不允许进场使用。</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、因材料、设备质量不合格所造成的损失（包括仓库保管费）由成交供应商负责。</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、材料、设备供应不及时造成停工待料时，其停、窝工损失由成交供应商承担。</w:t>
            </w:r>
          </w:p>
          <w:p>
            <w:pPr>
              <w:pStyle w:val="null3"/>
              <w:jc w:val="both"/>
            </w:pPr>
            <w:r>
              <w:rPr>
                <w:rFonts w:ascii="仿宋_GB2312" w:hAnsi="仿宋_GB2312" w:cs="仿宋_GB2312" w:eastAsia="仿宋_GB2312"/>
                <w:sz w:val="21"/>
              </w:rPr>
              <w:t>五、合同价款形式：本项目执行固定总价合同，供应商应仔细阅读图纸、工程量清单、竞争性磋商文件，必要时自行踏勘现场了解项目情况，应考虑相关风险。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供应商针对本项目的施工，必须达到国家及行业现行技术规范标准，符合国家及行业验收合格标准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程量清单说明1.1工程量清单说明1.1.1本工程量清单应与供应商须知、合同条款、工程技术规范及图纸等文件结合起来查阅与理解。1.1.2本工程量清单是依据《陕西省建设工程工程量清单计价规则》编制的，为竞争性磋商文件的组成部分，一经成交且签订合同，即成为合同的组成部分。1.1.3工程量清单中各项金额均以人民币（元）结算。1.1.4供应商不得随意改动分部分项工程量清单的编码和工程数量以及费用组成格式，评标时均按采购人所发的工程量清单进行检查和评比，由于供应商对此项目的改动引起的错误，此响应文件按无效文件处理。1.2电子标书说明：1.2.1 供应商按竞争性磋商文件电子版的内容和要求编制响应文件电子标书； 1.2.2响应文件电子版是响应文件的组成部分，供应商应无条件使用采购人所发的电子版格式，供应商不报送或不按统一规定填报电子响应文件，将按无效文件处理。 2.磋商报价说明：2.1 本报价是依据本工程竞争性磋商文件的供应商须知、合同文件、工程建设标准、图纸、工程量清单和答疑纪要及其它有关文件进行编制。2.2 本工程量清单计价表中的工程量是按发包人所发的工程量清单中的数量计取的，施工中出现的工程量差异按合同规定的办法进行结算。2.3 本清单中没有填写的项目的费用，视为已包括在其他项目之中。3.关于“已标价工程量清单”格式的说明：3.1本项目响应文件格式中还有一处“已标价工程量清单”（固定格式，无法删除），请忽略，具体以本文件要求为准。本项目要求供应商提供已标价工程量清单。3.2已标价工程量清单应按工程量清单报价相关要求进行填报（按软件要求格式）。构成合同文件的已标价工程量清单包括但不限于投标报价汇总表，单位工程造价汇总表，分部分项工程量清单计价表，措施项目清单计价表，规费、税金项目清单计价表，主要材料价格表（表格样式以软件生成格式为准）。工程量清单综合单价分析表及造价电子格式文件（成交后提供）。3.3已标价工程量清单的扉页(仅指投标总价扉页)应由注册或登记的造价人员签字并盖执业印章。 3.4本项目为竞争性磋商，有二次报价（最终报价），响应文件中为第一次报价，第一次报价已标价工程量清单原件扫描成PDF格式，以附件形式附后，作为响应文件的组成部分。平台最终报价环节需在附件处上传最终报价版本已标价工程量清单PDF格式文件。请不要将最终报价版本已标价工程量清单PDF格式文件直接附于响应文件中。4.异常低价审查： 评审中出现下列情形之一的，磋商小组应当启动异常低价响应审查程序：1）响应报价低于全部通过符合性审查供应商响应报价平均值50%的，即响应报价&lt;全部通过符合性审查供应商响应报价平均值×50%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3）响应报价低于采购项目最高限价45%的，即响应报价&lt;采购项目最高限价×45%；4）磋商小组基于专业判断，认为供应商报价过低，有可能影响工程质量或者不能诚信履约的其他情形。相关法律法规对供应商报价有规定的，从其规定。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工程的主营业务成本（应根据供应商企业类型予以区别）、税金及附加、销售费用、管理费用、财务费用等，给予相关供应商的合理时间一般不少于30分钟。其中，属于第3项情形，供应商已随响应文件一并提交相关书面说明及必要的证明材料的，在评审现场可不再重复提交。 磋商小组依据专业经验，参考同类项目中标（成交）价格、类似项目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 采购人、采购代理机构应当为磋商小组在评审现场及时获取同类项目中标（成交）价格、类似项目市场价格水平、行业人工费用标准、国家有关部门指导行业协会发布的行业平均成本等相关信息资料提供便利。磋商小组借助互联网等渠道查询相关信息的，应当严格遵守评审工作纪律，不得实施影响评审公正的行为。异常低价响应审查的启动原因、审查意见和审查结果应当在评审报告中记录，并随供应商提供的相关书面说明及证明材料，以及磋商小组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在项目电子化交易系统中按要求填写《响应函》完成承诺并同时满足以下要求：1、法人或者其他组织、自然人的营业执照等证明文件：（1）供应商是企业（包括合伙企业）的，应提供其在市场监督管理部门注册的有效“营业执照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依法缴纳税收的相关材料：（1）供应商应提供响应文件递交截止时间前近6个月中任何1个月缴税凭证，时间以税款所属时期为准（银行出具的缴税凭证或税务机关出具的证明的复印件，并加盖本单位公章）。（2）缴纳凭证复印件须清晰可辨，并能显示出供应商名称和所缴纳税种种类，单位代扣代缴的个人所得税不能作为单位纳税的凭证。（3）依法免税的供应商，应提供相应文件证明其依法免税。3、依法缴纳社会保障资金的相关材料：（1）供应商应提供响应文件递交截止时间前近6个月中至少1个月的缴纳社会保险的凭据（专用收据或社会保险缴纳清单），并加盖本单位公章。（2）凭证复印件须清晰可辨，并能显示出供应商名称和所缴纳的社保的种类。（3）依法不需要缴纳社会保障资金的，应提供相应文件说明其依法不需要缴纳的证明材料复印件，并加盖本单位公章。4、具备履行合同所必需的设备和专业技术能力的承诺书。5、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供应商需在项目电子化交易系统中按要求上传相应证明文件&lt;提供（1）或提供（2）&gt;并进行电子签章。（1）提供2025年经审计的财务报告，应满足以下要求：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2）提供资信证明原件或复印件，并提供基本户开户许可资料复印机，资信证明应满足以下要求： ①资信证明须为响应文件递交截止时间前三个月内由供应商基本账户开户银行出具。 ②无论开具银行是否标明“复印无效”，供应商提供的复印件在本次磋商中予以认可（即不因“复印无效”字样而认定资信证明复印件无效）。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信用情况</w:t>
            </w:r>
          </w:p>
        </w:tc>
        <w:tc>
          <w:tcPr>
            <w:tcW w:type="dxa" w:w="3322"/>
          </w:tcPr>
          <w:p>
            <w:pPr>
              <w:pStyle w:val="null3"/>
            </w:pPr>
            <w:r>
              <w:rPr>
                <w:rFonts w:ascii="仿宋_GB2312" w:hAnsi="仿宋_GB2312" w:cs="仿宋_GB2312" w:eastAsia="仿宋_GB2312"/>
              </w:rPr>
              <w:t>供应商在磋商响应文件提交截止时间前被“信用中国”网站（www.creditchina.gov.cn）和中国政府采购网（www.ccgp.gov.cn）上列入失信被执行人、重大税收违法失信主体、政府采购严重违法失信行为记录名单的，不得参加磋商。 （以采购代理机构于响应文件递交截止时间当天进行资格审查时在“信用中国”网站（www.creditchina.gov.cn）及中国政府采购网(www.ccgp.gov.cn)查询结果为准）。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参与磋商代表</w:t>
            </w:r>
          </w:p>
        </w:tc>
        <w:tc>
          <w:tcPr>
            <w:tcW w:type="dxa" w:w="3322"/>
          </w:tcPr>
          <w:p>
            <w:pPr>
              <w:pStyle w:val="null3"/>
            </w:pPr>
            <w:r>
              <w:rPr>
                <w:rFonts w:ascii="仿宋_GB2312" w:hAnsi="仿宋_GB2312" w:cs="仿宋_GB2312" w:eastAsia="仿宋_GB2312"/>
              </w:rPr>
              <w:t>法定代表人参加的，须提供本人身份证复印件加盖公章；法定代表人授权他人参加的，须提供法定代表人委托授权书原件加盖公章，并提供被授权代表的身份证复印件加盖公章，并提供授权代表本单位证明（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行政主管部门颁发的【电力工程施工总承包三级】及以上资质或【输变电工程专业承包三级】及以上资质，且具备国家能源局（国家电力监管委员会）或其授权机构颁发的【承装（修、试）电力设施许可证】（承装三级、承修三级、承试三级）及以上资质，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拟派项目经理须具备【机电工程二级注册建造师】及以上执业资格，具备有效的安全生产考核合格证书（建安B证），且未担任其他在建工程项目的项目经理。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陕西省住房和城乡建设厅信息登记</w:t>
            </w:r>
          </w:p>
        </w:tc>
        <w:tc>
          <w:tcPr>
            <w:tcW w:type="dxa" w:w="3322"/>
          </w:tcPr>
          <w:p>
            <w:pPr>
              <w:pStyle w:val="null3"/>
            </w:pPr>
            <w:r>
              <w:rPr>
                <w:rFonts w:ascii="仿宋_GB2312" w:hAnsi="仿宋_GB2312" w:cs="仿宋_GB2312" w:eastAsia="仿宋_GB2312"/>
              </w:rPr>
              <w:t>供应商及拟派项目经理的基本信息须在陕西省住房和城乡建设厅网站（https://js.shaanxi.gov.cn）可查询。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本项目不接受联合体参与磋商</w:t>
            </w:r>
          </w:p>
        </w:tc>
        <w:tc>
          <w:tcPr>
            <w:tcW w:type="dxa" w:w="3322"/>
          </w:tcPr>
          <w:p>
            <w:pPr>
              <w:pStyle w:val="null3"/>
            </w:pPr>
            <w:r>
              <w:rPr>
                <w:rFonts w:ascii="仿宋_GB2312" w:hAnsi="仿宋_GB2312" w:cs="仿宋_GB2312" w:eastAsia="仿宋_GB2312"/>
              </w:rPr>
              <w:t>本项目不接受联合体参与磋商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磋商响应文件签署、盖章</w:t>
            </w:r>
          </w:p>
        </w:tc>
        <w:tc>
          <w:tcPr>
            <w:tcW w:type="dxa" w:w="3322"/>
          </w:tcPr>
          <w:p>
            <w:pPr>
              <w:pStyle w:val="null3"/>
            </w:pPr>
            <w:r>
              <w:rPr>
                <w:rFonts w:ascii="仿宋_GB2312" w:hAnsi="仿宋_GB2312" w:cs="仿宋_GB2312" w:eastAsia="仿宋_GB2312"/>
              </w:rPr>
              <w:t>磋商响应文件按磋商文件要求签署、盖章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响应保证金缴纳凭证.docx 资格证明文件.docx 强制优先采购产品承诺函 响应方案.docx 响应文件封面 已标价工程量清单（以此为准）.docx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磋商报价没有超出对应最高限价</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磋商响应内容</w:t>
            </w:r>
          </w:p>
        </w:tc>
        <w:tc>
          <w:tcPr>
            <w:tcW w:type="dxa" w:w="3322"/>
          </w:tcPr>
          <w:p>
            <w:pPr>
              <w:pStyle w:val="null3"/>
            </w:pPr>
            <w:r>
              <w:rPr>
                <w:rFonts w:ascii="仿宋_GB2312" w:hAnsi="仿宋_GB2312" w:cs="仿宋_GB2312" w:eastAsia="仿宋_GB2312"/>
              </w:rPr>
              <w:t>磋商响应内容不存在漏项，磋商响应内容满足磋商文件的商务要求、技术中实质性要求，不存在采购档次降低的情形</w:t>
            </w:r>
          </w:p>
        </w:tc>
        <w:tc>
          <w:tcPr>
            <w:tcW w:type="dxa" w:w="1661"/>
          </w:tcPr>
          <w:p>
            <w:pPr>
              <w:pStyle w:val="null3"/>
            </w:pPr>
            <w:r>
              <w:rPr>
                <w:rFonts w:ascii="仿宋_GB2312" w:hAnsi="仿宋_GB2312" w:cs="仿宋_GB2312" w:eastAsia="仿宋_GB2312"/>
              </w:rPr>
              <w:t>已标价工程量清单（以此为准）.docx 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磋商保证金按照磋商文件要求缴纳</w:t>
            </w:r>
          </w:p>
        </w:tc>
        <w:tc>
          <w:tcPr>
            <w:tcW w:type="dxa" w:w="1661"/>
          </w:tcPr>
          <w:p>
            <w:pPr>
              <w:pStyle w:val="null3"/>
            </w:pPr>
            <w:r>
              <w:rPr>
                <w:rFonts w:ascii="仿宋_GB2312" w:hAnsi="仿宋_GB2312" w:cs="仿宋_GB2312" w:eastAsia="仿宋_GB2312"/>
              </w:rPr>
              <w:t>响应保证金缴纳凭证.docx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响应保证金缴纳凭证.docx 资格证明文件.docx 强制优先采购产品承诺函 响应方案.docx 响应文件封面 已标价工程量清单（以此为准）.docx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不存在其它不符合法律法规或磋商文件规定的报价无效条款的情形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响应保证金缴纳凭证.docx 资格证明文件.docx 强制优先采购产品承诺函 响应方案.docx 响应文件封面 已标价工程量清单（以此为准）.docx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供应商提供自2021年1月1日至今的类似项目业绩证明材料，每提供1项得3分，此项最多得6分。 评审依据：业绩证明材料以合同为准，业绩时间以合同签订时间为准。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拟派项目经理学历</w:t>
            </w:r>
          </w:p>
        </w:tc>
        <w:tc>
          <w:tcPr>
            <w:tcW w:type="dxa" w:w="2492"/>
          </w:tcPr>
          <w:p>
            <w:pPr>
              <w:pStyle w:val="null3"/>
            </w:pPr>
            <w:r>
              <w:rPr>
                <w:rFonts w:ascii="仿宋_GB2312" w:hAnsi="仿宋_GB2312" w:cs="仿宋_GB2312" w:eastAsia="仿宋_GB2312"/>
              </w:rPr>
              <w:t>具有本科及以上学历的得2分，专科学历的得1分，其他情况不得分。 评审依据：评审时以供应商提供的项目经理的最高学历证书扫描件为准。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拟派项目经理职称</w:t>
            </w:r>
          </w:p>
        </w:tc>
        <w:tc>
          <w:tcPr>
            <w:tcW w:type="dxa" w:w="2492"/>
          </w:tcPr>
          <w:p>
            <w:pPr>
              <w:pStyle w:val="null3"/>
            </w:pPr>
            <w:r>
              <w:rPr>
                <w:rFonts w:ascii="仿宋_GB2312" w:hAnsi="仿宋_GB2312" w:cs="仿宋_GB2312" w:eastAsia="仿宋_GB2312"/>
              </w:rPr>
              <w:t>具有工程类专业高级及以上技术职称的得2分，工程类专业中级技术职称的得1分，其他情况不得分。 评审依据：评审时以供应商提供的项目经理的最高职称证书扫描件为准。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项目经理部其他人员组成及劳动力配备计划</w:t>
            </w:r>
          </w:p>
        </w:tc>
        <w:tc>
          <w:tcPr>
            <w:tcW w:type="dxa" w:w="2492"/>
          </w:tcPr>
          <w:p>
            <w:pPr>
              <w:pStyle w:val="null3"/>
            </w:pPr>
            <w:r>
              <w:rPr>
                <w:rFonts w:ascii="仿宋_GB2312" w:hAnsi="仿宋_GB2312" w:cs="仿宋_GB2312" w:eastAsia="仿宋_GB2312"/>
              </w:rPr>
              <w:t>项目经理部其他人员及劳动力配备计划合理，分工明确，职责清晰得5分； 项目经理部其他人员及劳动力配备计划较合理，分工较明确，职责较清晰得5分；项目经理部其他人员及劳动力配备计划较合理，分工基本明确，职责较清晰得3分；项目经理部其他人员及劳动力配备计划不合理，分工不明确，职责不清晰得1分；未提供项目经理部组成及劳动力配备计划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施工组织方案</w:t>
            </w:r>
          </w:p>
        </w:tc>
        <w:tc>
          <w:tcPr>
            <w:tcW w:type="dxa" w:w="2492"/>
          </w:tcPr>
          <w:p>
            <w:pPr>
              <w:pStyle w:val="null3"/>
            </w:pPr>
            <w:r>
              <w:rPr>
                <w:rFonts w:ascii="仿宋_GB2312" w:hAnsi="仿宋_GB2312" w:cs="仿宋_GB2312" w:eastAsia="仿宋_GB2312"/>
              </w:rPr>
              <w:t>对本项目了解透彻，制定针对本项目的施工方案、方法与技术措施内容全面，施工工艺先进，对施工具有高度指导性，完全满足项目实施计8分； 对本项目了解，制定本项目的施工方案、方法与技术措施内容全面，施工工艺先进，对施工具有指导性，满足项目实施计6分； 施工方案可行，方法、措施得当，内容基本满足但不完善计4分；施工方案、方法与技术措施的可行性、指导性较低，内容不详尽或不适用于本项目计 2分； 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项目重点难点分析及可行性建议和意见</w:t>
            </w:r>
          </w:p>
        </w:tc>
        <w:tc>
          <w:tcPr>
            <w:tcW w:type="dxa" w:w="2492"/>
          </w:tcPr>
          <w:p>
            <w:pPr>
              <w:pStyle w:val="null3"/>
            </w:pPr>
            <w:r>
              <w:rPr>
                <w:rFonts w:ascii="仿宋_GB2312" w:hAnsi="仿宋_GB2312" w:cs="仿宋_GB2312" w:eastAsia="仿宋_GB2312"/>
              </w:rPr>
              <w:t>供应商针对项目重点难点进行分析，在保证项目有效造价、进度、质量、安全、环保控制的基础上，供应商可提出基于发包人要求以外的合理化建议和意见，根据其建议的合理性、可行性进行赋分。 方案有针对性且科学完整得7分，较为有针对性且科学完整得4分，不完整、存在缺陷得1分，未提供得0分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项目总体进度计划</w:t>
            </w:r>
          </w:p>
        </w:tc>
        <w:tc>
          <w:tcPr>
            <w:tcW w:type="dxa" w:w="2492"/>
          </w:tcPr>
          <w:p>
            <w:pPr>
              <w:pStyle w:val="null3"/>
            </w:pPr>
            <w:r>
              <w:rPr>
                <w:rFonts w:ascii="仿宋_GB2312" w:hAnsi="仿宋_GB2312" w:cs="仿宋_GB2312" w:eastAsia="仿宋_GB2312"/>
              </w:rPr>
              <w:t>供应商提供项目总体进度计划，根据各供应商工期优于计划工期的具体情况、确保项目总体进度计划的技术组织措施、提供节约工期的相应技术组织措施等内容进行赋分。 方案有针对性且科学完整得6分，较为有针对性且科学完整得4分，不完整、存在缺陷得2分，未提供得0分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拟投入的施工机械配备方案</w:t>
            </w:r>
          </w:p>
        </w:tc>
        <w:tc>
          <w:tcPr>
            <w:tcW w:type="dxa" w:w="2492"/>
          </w:tcPr>
          <w:p>
            <w:pPr>
              <w:pStyle w:val="null3"/>
            </w:pPr>
            <w:r>
              <w:rPr>
                <w:rFonts w:ascii="仿宋_GB2312" w:hAnsi="仿宋_GB2312" w:cs="仿宋_GB2312" w:eastAsia="仿宋_GB2312"/>
              </w:rPr>
              <w:t>施工机械设备配备和材料投入计划合理、可行，能完全满足工程质量和进度的要求得6分，施工机械设备配备和材料投入计划全面，基本满足工程质量和进度的要求得4分，施工机械设备配备和材料投入计划简单，可能对工程质量或进度产生不利影响得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环境文明施工保证体系健全、完整，保证措施完善,完全满足项目实施计6分； 环境文明施工保证体系健全、完整，保证措施完善,满足项目实施计4分；环境文明施工保证体系基本健全、完善计2分；环境文明施工保证体系不合理或未叙述者不计分。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安全生产目标明确，预防和动态控制措施及制度完整、到位，管理体系和组织措施功能完善，安全经费投入明确,完全满足项目实施计6分；安全生产目标明确，预防和动态控制措施及制度完整、到位，管理体系和组织措施功能完善，安全经费投入明确,满足项目实施计4分；安全生产目标基本明确，控制措施及制度基本完善的计2分；安全生产、文明施工管理体系及保证措施不合理或未叙述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材料、设备质量控制计划</w:t>
            </w:r>
          </w:p>
        </w:tc>
        <w:tc>
          <w:tcPr>
            <w:tcW w:type="dxa" w:w="2492"/>
          </w:tcPr>
          <w:p>
            <w:pPr>
              <w:pStyle w:val="null3"/>
            </w:pPr>
            <w:r>
              <w:rPr>
                <w:rFonts w:ascii="仿宋_GB2312" w:hAnsi="仿宋_GB2312" w:cs="仿宋_GB2312" w:eastAsia="仿宋_GB2312"/>
              </w:rPr>
              <w:t>供应商提供材料、设备质量控制计划等内容进行赋分。方案有针对性且科学完整得6分，较为有针对性且科学完整得4分，不完整、存在缺陷得2分，未提供得0分。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项目风险预测与防范、事故应急预案考虑全面，切实可行操作性强，经济合理计6分；项目风险预测与防范、事故应急预案考虑操作性不强计4分；项目风险预测与防范、事故应急预案不合理计2分； 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质保服务方案及承诺、与相关部门的配合协调承诺等进行赋分，方案科学合理、满足项目要求，合理性、针对性强、服务承诺明确，计4分；方案有一定的可行性，能够满足项目需求，但部分内容稍有欠缺，特点和承诺不明确，计2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已标价工程量清单（以此为准）.docx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以满足磋商文件要求且最终磋商报价最低的有效报价为基准价，其价格分为满分。其他供应商的价格分统一按照下列公式计算：磋商报价得分=基准价/最终磋商报价×30分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已标价工程量清单（以此为准）.docx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详见附件：已标价工程量清单（以此为准）.docx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详见附件：响应保证金缴纳凭证.docx</w:t>
      </w:r>
    </w:p>
    <w:p>
      <w:pPr>
        <w:pStyle w:val="null3"/>
        <w:ind w:firstLine="960"/>
      </w:pPr>
      <w:r>
        <w:rPr>
          <w:rFonts w:ascii="仿宋_GB2312" w:hAnsi="仿宋_GB2312" w:cs="仿宋_GB2312" w:eastAsia="仿宋_GB2312"/>
        </w:rPr>
        <w:t>详见附件：响应方案.docx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