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45BA55">
      <w:pPr>
        <w:jc w:val="center"/>
        <w:rPr>
          <w:rFonts w:hint="eastAsia"/>
          <w:b/>
          <w:bCs/>
          <w:sz w:val="30"/>
          <w:szCs w:val="30"/>
          <w:lang w:val="en-US" w:eastAsia="zh-CN"/>
        </w:rPr>
      </w:pPr>
      <w:r>
        <w:rPr>
          <w:rFonts w:hint="eastAsia"/>
          <w:b/>
          <w:bCs/>
          <w:sz w:val="30"/>
          <w:szCs w:val="30"/>
          <w:lang w:val="en-US" w:eastAsia="zh-CN"/>
        </w:rPr>
        <w:t>采购需求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2"/>
        <w:gridCol w:w="1065"/>
        <w:gridCol w:w="6430"/>
      </w:tblGrid>
      <w:tr w14:paraId="553224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12" w:type="dxa"/>
          </w:tcPr>
          <w:p w14:paraId="4845234E">
            <w:pPr>
              <w:pStyle w:val="4"/>
              <w:rPr>
                <w:rFonts w:ascii="仿宋_GB2312" w:hAnsi="仿宋_GB2312" w:eastAsia="仿宋_GB2312" w:cs="仿宋_GB2312"/>
                <w:highlight w:val="none"/>
              </w:rPr>
            </w:pPr>
            <w:r>
              <w:rPr>
                <w:rFonts w:ascii="仿宋_GB2312" w:hAnsi="仿宋_GB2312" w:eastAsia="仿宋_GB2312" w:cs="仿宋_GB2312"/>
                <w:highlight w:val="none"/>
              </w:rPr>
              <w:t xml:space="preserve"> 序号</w:t>
            </w:r>
          </w:p>
        </w:tc>
        <w:tc>
          <w:tcPr>
            <w:tcW w:w="1065" w:type="dxa"/>
          </w:tcPr>
          <w:p w14:paraId="6CDB099D">
            <w:pPr>
              <w:pStyle w:val="4"/>
              <w:rPr>
                <w:rFonts w:ascii="仿宋_GB2312" w:hAnsi="仿宋_GB2312" w:eastAsia="仿宋_GB2312" w:cs="仿宋_GB2312"/>
                <w:highlight w:val="none"/>
              </w:rPr>
            </w:pPr>
            <w:r>
              <w:rPr>
                <w:rFonts w:ascii="仿宋_GB2312" w:hAnsi="仿宋_GB2312" w:eastAsia="仿宋_GB2312" w:cs="仿宋_GB2312"/>
                <w:highlight w:val="none"/>
              </w:rPr>
              <w:t>参数性质</w:t>
            </w:r>
          </w:p>
        </w:tc>
        <w:tc>
          <w:tcPr>
            <w:tcW w:w="6430" w:type="dxa"/>
          </w:tcPr>
          <w:p w14:paraId="637A3E35">
            <w:pPr>
              <w:pStyle w:val="4"/>
              <w:rPr>
                <w:rFonts w:ascii="仿宋_GB2312" w:hAnsi="仿宋_GB2312" w:eastAsia="仿宋_GB2312" w:cs="仿宋_GB2312"/>
                <w:highlight w:val="none"/>
              </w:rPr>
            </w:pPr>
            <w:r>
              <w:rPr>
                <w:rFonts w:ascii="仿宋_GB2312" w:hAnsi="仿宋_GB2312" w:eastAsia="仿宋_GB2312" w:cs="仿宋_GB2312"/>
                <w:highlight w:val="none"/>
              </w:rPr>
              <w:t xml:space="preserve"> 技术参数与性能指标</w:t>
            </w:r>
          </w:p>
        </w:tc>
      </w:tr>
      <w:tr w14:paraId="72DEB0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dxa"/>
          </w:tcPr>
          <w:p w14:paraId="1083268D">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w:t>
            </w:r>
          </w:p>
        </w:tc>
        <w:tc>
          <w:tcPr>
            <w:tcW w:w="1065" w:type="dxa"/>
          </w:tcPr>
          <w:p w14:paraId="4EA5CD1C">
            <w:pPr>
              <w:pStyle w:val="4"/>
              <w:rPr>
                <w:rFonts w:hint="default" w:ascii="仿宋_GB2312" w:hAnsi="仿宋_GB2312" w:eastAsia="仿宋_GB2312" w:cs="仿宋_GB2312"/>
                <w:highlight w:val="none"/>
                <w:lang w:val="en-US" w:eastAsia="zh-CN"/>
              </w:rPr>
            </w:pPr>
          </w:p>
        </w:tc>
        <w:tc>
          <w:tcPr>
            <w:tcW w:w="6430" w:type="dxa"/>
          </w:tcPr>
          <w:p w14:paraId="2A3E4A39">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、服务指标</w:t>
            </w:r>
          </w:p>
          <w:p w14:paraId="64B06B67">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（一）基础服务指标</w:t>
            </w:r>
          </w:p>
          <w:p w14:paraId="324B7B00">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1.配备固定运维人员及机动技术工程师团队，可随时响应采购方调度，前往任务点位开展现场无人机反制保障；</w:t>
            </w:r>
          </w:p>
          <w:p w14:paraId="27B66B6A">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2.所有技术人员须服从采购方统一管理调度；</w:t>
            </w:r>
          </w:p>
          <w:p w14:paraId="2FE5B00E">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3.驻场工程师应根据服务执行情况，按期向采购方提供相关统计信息；</w:t>
            </w:r>
          </w:p>
          <w:p w14:paraId="462FBC0F">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4.服务商对在质保期内可能存在所供硬件、系统故障等问题，提供应急保障服务，在24小时内完成故障处置修复或设备更换等工作，确保各项工作正常进行。</w:t>
            </w:r>
          </w:p>
          <w:p w14:paraId="45868E44">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（二）低空无人机防御服务指标</w:t>
            </w:r>
          </w:p>
          <w:p w14:paraId="088F0AF3">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1.宝鸡陵塬机场低空无人机防御</w:t>
            </w:r>
          </w:p>
          <w:p w14:paraId="5A30791F">
            <w:pPr>
              <w:pStyle w:val="4"/>
              <w:ind w:firstLine="40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eastAsia="zh-CN"/>
              </w:rPr>
              <w:t>在宝鸡陵塬机场内建立以服务人员为核心的低空无人机防御服务机制，</w:t>
            </w:r>
            <w:r>
              <w:rPr>
                <w:rFonts w:hint="eastAsia" w:ascii="仿宋_GB2312" w:hAnsi="仿宋_GB2312" w:eastAsia="仿宋_GB2312" w:cs="仿宋_GB2312"/>
                <w:highlight w:val="none"/>
              </w:rPr>
              <w:t>实时监测宝鸡陵塬机场（跑道长800米，宽33米）无明显遮挡、无明显电磁干扰的条件（0-5km）作用范围入侵的无人机，对应急救援直升机飞行区域内的无人机活动实时探测、预警。及时发现并准确识别入侵的无人机，包括其型号、飞行轨迹、速度、高度等关键信息。同时在管控区域（0-2km）内，一旦发现可疑无人机，防御系统可迅速发出预警，并通过无线电干扰设备切断无人机与遥控器之间的通信链路，使其失去控制，迫使其降落或返航，保障飞行器飞行任务安全。</w:t>
            </w:r>
          </w:p>
          <w:p w14:paraId="3D8C8F65">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2.应急救援现场低空无人机防御</w:t>
            </w:r>
          </w:p>
          <w:p w14:paraId="6937BBCD">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根据采购方的应急</w:t>
            </w:r>
            <w:r>
              <w:rPr>
                <w:rFonts w:hint="eastAsia" w:ascii="仿宋_GB2312" w:hAnsi="仿宋_GB2312" w:eastAsia="仿宋_GB2312" w:cs="仿宋_GB2312"/>
                <w:highlight w:val="none"/>
                <w:lang w:val="en-US" w:eastAsia="zh-CN"/>
              </w:rPr>
              <w:t>需求</w:t>
            </w:r>
            <w:r>
              <w:rPr>
                <w:rFonts w:hint="eastAsia" w:ascii="仿宋_GB2312" w:hAnsi="仿宋_GB2312" w:eastAsia="仿宋_GB2312" w:cs="仿宋_GB2312"/>
                <w:highlight w:val="none"/>
              </w:rPr>
              <w:t>，服务商应迅速响应，第一时间调派专业人员携带无人机侦测反制专用设备，精准抵达应急现场，通过专业技术手段及设备监测无人机信息，并上报采购方，使采购方能够全面掌握救援区域的低空态势，及时调整救援计划和航空器飞行路线，避免与无人机发生冲突，从而保障应急救援任务抢险救灾过程中航空器空中飞行安全。</w:t>
            </w:r>
          </w:p>
          <w:p w14:paraId="64297D0D">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3.应急演练现场低空无人机防御</w:t>
            </w:r>
          </w:p>
          <w:p w14:paraId="6669F2CE">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服务商提供相关设备使服务人员通过技术手段执行应急演练的任务，实现应急演练现场的无人机防御服务。</w:t>
            </w:r>
          </w:p>
          <w:p w14:paraId="2283FE90">
            <w:pPr>
              <w:pStyle w:val="4"/>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rPr>
              <w:t>（三）</w:t>
            </w:r>
            <w:r>
              <w:rPr>
                <w:rFonts w:hint="eastAsia" w:ascii="仿宋_GB2312" w:hAnsi="仿宋_GB2312" w:eastAsia="仿宋_GB2312" w:cs="仿宋_GB2312"/>
                <w:highlight w:val="none"/>
                <w:lang w:val="en-US" w:eastAsia="zh-CN"/>
              </w:rPr>
              <w:t>服务要求</w:t>
            </w:r>
          </w:p>
          <w:p w14:paraId="77E02080">
            <w:pPr>
              <w:pStyle w:val="4"/>
              <w:ind w:firstLine="40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服务商须配置能够保障项目顺利实施的项目团队并提供机场驻点服务。具备7×24小时保障，当有应急救援任务时，接到采购方通知后，及时派遣项目服务小组成员携带相关设备在应急救援现场保障直升机飞行救援任务。</w:t>
            </w:r>
          </w:p>
        </w:tc>
      </w:tr>
      <w:tr w14:paraId="39D975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dxa"/>
          </w:tcPr>
          <w:p w14:paraId="27531CFA">
            <w:pPr>
              <w:pStyle w:val="4"/>
              <w:rPr>
                <w:rFonts w:hint="eastAsia" w:eastAsiaTheme="minorEastAsia"/>
                <w:highlight w:val="none"/>
                <w:lang w:val="en-US" w:eastAsia="zh-CN"/>
              </w:rPr>
            </w:pPr>
            <w:r>
              <w:rPr>
                <w:rFonts w:hint="eastAsia"/>
                <w:highlight w:val="none"/>
                <w:lang w:val="en-US" w:eastAsia="zh-CN"/>
              </w:rPr>
              <w:t>2</w:t>
            </w:r>
          </w:p>
        </w:tc>
        <w:tc>
          <w:tcPr>
            <w:tcW w:w="1065" w:type="dxa"/>
          </w:tcPr>
          <w:p w14:paraId="3D1D036E">
            <w:pPr>
              <w:rPr>
                <w:highlight w:val="none"/>
              </w:rPr>
            </w:pPr>
          </w:p>
        </w:tc>
        <w:tc>
          <w:tcPr>
            <w:tcW w:w="6430" w:type="dxa"/>
          </w:tcPr>
          <w:p w14:paraId="1780D979">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CN"/>
              </w:rPr>
              <w:t>二</w:t>
            </w:r>
            <w:r>
              <w:rPr>
                <w:rFonts w:hint="eastAsia" w:ascii="仿宋_GB2312" w:hAnsi="仿宋_GB2312" w:eastAsia="仿宋_GB2312" w:cs="仿宋_GB2312"/>
                <w:kern w:val="0"/>
                <w:sz w:val="20"/>
                <w:szCs w:val="20"/>
                <w:highlight w:val="none"/>
                <w:lang w:val="en-US" w:eastAsia="zh-Hans"/>
              </w:rPr>
              <w:t>、设备指标</w:t>
            </w:r>
          </w:p>
          <w:p w14:paraId="35F6FE1F">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（一）设备通用指标</w:t>
            </w:r>
          </w:p>
          <w:p w14:paraId="1B7B417C">
            <w:pPr>
              <w:rPr>
                <w:rFonts w:hint="eastAsia" w:ascii="仿宋_GB2312" w:hAnsi="仿宋_GB2312" w:eastAsia="仿宋_GB2312" w:cs="仿宋_GB2312"/>
                <w:kern w:val="0"/>
                <w:sz w:val="20"/>
                <w:szCs w:val="20"/>
                <w:highlight w:val="none"/>
                <w:lang w:val="en-US" w:eastAsia="zh-Hans"/>
              </w:rPr>
            </w:pPr>
            <w:r>
              <w:rPr>
                <w:rFonts w:ascii="仿宋_GB2312" w:hAnsi="仿宋_GB2312" w:eastAsia="仿宋_GB2312" w:cs="仿宋_GB2312"/>
              </w:rPr>
              <w:t>★</w:t>
            </w:r>
            <w:r>
              <w:rPr>
                <w:rFonts w:hint="eastAsia" w:ascii="仿宋_GB2312" w:hAnsi="仿宋_GB2312" w:eastAsia="仿宋_GB2312" w:cs="仿宋_GB2312"/>
                <w:kern w:val="0"/>
                <w:sz w:val="20"/>
                <w:szCs w:val="20"/>
                <w:highlight w:val="none"/>
                <w:lang w:val="en-US" w:eastAsia="zh-Hans"/>
              </w:rPr>
              <w:t>1.本次服务需要1套无人机侦测反制设备（具有车载功能，方便外出携带）及2套手持式无人机察打一体设备；</w:t>
            </w:r>
          </w:p>
          <w:p w14:paraId="48FE969F">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无人机侦测反制设备及手持式无人机察打一体设备中无线电发射设备不对依法设置、使用的无线电台(站)产生有害干扰，其工作频段能避开宝鸡陵塬机场航空无线电设备工作频段，设备使用时不会对机场及航空器运行造成不可接受的无线电干扰；</w:t>
            </w:r>
          </w:p>
          <w:p w14:paraId="03EA1B5C">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3.无人机侦测反制设备及手持式无人机察打一体设备能提供有效的监控、调试和诊断工具，维护简单、方便和有效；</w:t>
            </w:r>
          </w:p>
          <w:p w14:paraId="6AFAE059">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4.系统具备移动通信网、有线网络、Wi-Fi无线自组网和专用网络等多种网络连接方式，支持多种异构硬件设备和多部相同类型设备的组网接入，适应不同应用场景。</w:t>
            </w:r>
          </w:p>
          <w:p w14:paraId="750F8FAE">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（二）设备参数指标</w:t>
            </w:r>
          </w:p>
          <w:p w14:paraId="3ECDACDB">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1.手持式无人机察打一体设备</w:t>
            </w:r>
          </w:p>
          <w:p w14:paraId="03FE261B">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（1）机械结构：主机为一体化结构，无外接功能模块；</w:t>
            </w:r>
          </w:p>
          <w:p w14:paraId="2A168233">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（2）探测频段：900MHz、1.4GHz、2.4GHz、5.2GHz、5.8GHz等频段的无线信号；</w:t>
            </w:r>
          </w:p>
          <w:p w14:paraId="1CD60E52">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（3）定位距离：≥2km;定位精度：≤10m；</w:t>
            </w:r>
          </w:p>
          <w:p w14:paraId="655D1061">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（4）探测灵敏度：能探测到信号强度为-90dBm（带宽为10MHz）的无线信号；</w:t>
            </w:r>
          </w:p>
          <w:p w14:paraId="40461424">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（5）反制距离：≥1.5km；</w:t>
            </w:r>
          </w:p>
          <w:p w14:paraId="3E83F947">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（6）反制频段：900MHz、2.4GHz、5.2GHz、5.8GHz；</w:t>
            </w:r>
          </w:p>
          <w:p w14:paraId="2FECCD15">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（7）干通比：≥10:1；</w:t>
            </w:r>
          </w:p>
          <w:p w14:paraId="6B5C6E92">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（8）最大干扰带宽：≥100MHz；</w:t>
            </w:r>
          </w:p>
          <w:p w14:paraId="3DC610B4">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（9）反制模式：驱离和迫降；</w:t>
            </w:r>
          </w:p>
          <w:p w14:paraId="348D710E">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（10）同时识别数量：≥10架次；</w:t>
            </w:r>
          </w:p>
          <w:p w14:paraId="04508DDA">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（11）探测信息显示：可显示探测到的无人机相关信息，包括无人机品牌、频率和信号强度，以及是否可以进入测向或定位模式的指示；</w:t>
            </w:r>
          </w:p>
          <w:p w14:paraId="22D66997">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（12）可实现目标的定位：可定位无人机及遥控器（飞手），可显示无人机及遥控器（飞手）的经纬度坐标、距离等信息；可通过“位置解析”功能显示当前无人机及遥控器（飞手）所在经纬度对应的地址信息；</w:t>
            </w:r>
          </w:p>
          <w:p w14:paraId="1A3C4499">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（13）可识别机型列表显示功能：可查看机型识别列表，列表中应包含无人机型号的数量≥90种；</w:t>
            </w:r>
          </w:p>
          <w:p w14:paraId="7B85E315">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（14）位置获取：可获取设备自身位置信息，并能同步上传至管控平台；</w:t>
            </w:r>
          </w:p>
          <w:p w14:paraId="3387BF56">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（15）管控平台：能在管控平台呈现设备的信息列表，设备的序列号、在线状态、经纬度等信息；可显示设备探测、定位到的结果信息；可实时查看设备的运行状态、工作状态等信息；</w:t>
            </w:r>
          </w:p>
          <w:p w14:paraId="340F7DF6">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（16）信息显示：在主界面中可显示当前卫星数、4G信号强度值、电量，可通过不同颜色标识反制模式的状态；</w:t>
            </w:r>
          </w:p>
          <w:p w14:paraId="5A2857A6">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（17）具有探测灵敏度调节设置功能；</w:t>
            </w:r>
          </w:p>
          <w:p w14:paraId="6C2C3295">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（18）环境电场强度满足GB8702-2014《电磁环境控制限值》中限值和评价方法的规定；</w:t>
            </w:r>
          </w:p>
          <w:p w14:paraId="0180DADB">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（19）续航时间：不更换电池情况下，可持续探测时间≥9h，持续反制时间≥30min；</w:t>
            </w:r>
          </w:p>
          <w:p w14:paraId="14A307B8">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（20）充电时长：≤4h。</w:t>
            </w:r>
          </w:p>
          <w:p w14:paraId="10E45B16">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2.无人机侦测反制设备</w:t>
            </w:r>
          </w:p>
          <w:p w14:paraId="230DE92C">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（1）探测模式：无源探测，在探测状态下，不主动发射无线信号；</w:t>
            </w:r>
          </w:p>
          <w:p w14:paraId="598B4F58">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（2）探测距离：≥5km;</w:t>
            </w:r>
          </w:p>
          <w:p w14:paraId="36A7C86A">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（3）定位距离：≥6km；</w:t>
            </w:r>
          </w:p>
          <w:p w14:paraId="3851A0FE">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（4）探测频段：100MHz~6GHz；</w:t>
            </w:r>
          </w:p>
          <w:p w14:paraId="3EA9612C">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5）定位精度：对远距离无人机(以大疆无人机为例）目标进行探测时，设备所显示的无人机位置坐标与其实地位置的距离误差不超过5米；同时，操控端位置坐标与其实地位置的距离误差不超过2米，无人机飞行高度的显示误差不超过2米；</w:t>
            </w:r>
          </w:p>
          <w:p w14:paraId="73B1B9C6">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（6）探测成功率：≥97%；</w:t>
            </w:r>
          </w:p>
          <w:p w14:paraId="6E12F97C">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（7）探测虚警率：≤1%；总探测次数≥1000次；</w:t>
            </w:r>
          </w:p>
          <w:p w14:paraId="3AEC5819">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（8）可同时探测目标数：≥15架次（品牌种类≥8种）；</w:t>
            </w:r>
          </w:p>
          <w:p w14:paraId="6E120107">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（9）同时定位无人机及飞手（遥控器）数量：≥9个；</w:t>
            </w:r>
          </w:p>
          <w:p w14:paraId="464BD7B9">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（10）探测识别时间：≤2秒；</w:t>
            </w:r>
          </w:p>
          <w:p w14:paraId="011F5F68">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（11）反制模式：无线电干扰压制；</w:t>
            </w:r>
          </w:p>
          <w:p w14:paraId="3781B750">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（12）反制功能：驱离或迫降；</w:t>
            </w:r>
          </w:p>
          <w:p w14:paraId="4F17798C">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（13）反制距离：≥2km；</w:t>
            </w:r>
          </w:p>
          <w:p w14:paraId="49060F05">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（14）干通比：≥15:1；</w:t>
            </w:r>
          </w:p>
          <w:p w14:paraId="43414597">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（15）可探测机型：设备可探测大疆、道通等典型常见无人机目标，哈博森、优迪、飞米、WiFi无人机、穿越机、自制组装无人机等非常见无人机在内的市面上绝大多数的无人机目标；</w:t>
            </w:r>
          </w:p>
          <w:p w14:paraId="7F8A649B">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（16）移动目标跟踪：可对飞行速度≥20m/s的无人机进行探测、定位，并在地图上显示飞行轨迹；</w:t>
            </w:r>
          </w:p>
          <w:p w14:paraId="049AA9AD">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17）无人机定位：单台设备可实现对大疆系列无人机的定位追踪，能够在系统界面上实时显示定位到的无人机信息，包括无人机序列号、机型、无人机所在位置、飞行高度、无人机飞手位置等，并能够通过不同颜色线条显示不同无人机的飞行轨迹；</w:t>
            </w:r>
          </w:p>
          <w:p w14:paraId="626F7757">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（18）轨迹回放：支持多架次入侵目标同时进行轨迹回放（同一时间段或时间邻近）；</w:t>
            </w:r>
          </w:p>
          <w:p w14:paraId="40CF2DB3">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（19）数据分析：能通过饼状图、折线图、热力图等多种图表形式对入侵无人机数据进行可视化展现；</w:t>
            </w:r>
          </w:p>
          <w:p w14:paraId="19CDA308">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（20）飞手位置显示：可追踪显示飞手（遥控器）的位置，支持位置信息实时更新；</w:t>
            </w:r>
          </w:p>
          <w:p w14:paraId="3FDF7A74">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（21）动态工作：设备可在移动速度≥70km/h的状态下，对无人机进行定位及干扰；</w:t>
            </w:r>
          </w:p>
          <w:p w14:paraId="65577AD8">
            <w:pPr>
              <w:rPr>
                <w:highlight w:val="none"/>
              </w:rPr>
            </w:pPr>
            <w:r>
              <w:rPr>
                <w:rFonts w:hint="eastAsia" w:ascii="仿宋_GB2312" w:hAnsi="仿宋_GB2312" w:eastAsia="仿宋_GB2312" w:cs="仿宋_GB2312"/>
                <w:kern w:val="0"/>
                <w:sz w:val="20"/>
                <w:szCs w:val="20"/>
                <w:highlight w:val="none"/>
                <w:lang w:val="en-US" w:eastAsia="zh-Hans"/>
              </w:rPr>
              <w:t>（22）环境电场强度：满足GB8702-2014《电磁环境控制限值》中限值和评价方法的规定。</w:t>
            </w:r>
          </w:p>
        </w:tc>
      </w:tr>
    </w:tbl>
    <w:p w14:paraId="6DFBD8FB">
      <w:pPr>
        <w:jc w:val="center"/>
        <w:rPr>
          <w:rFonts w:hint="eastAsia"/>
          <w:b/>
          <w:bCs/>
          <w:sz w:val="30"/>
          <w:szCs w:val="30"/>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4547F7"/>
    <w:rsid w:val="62454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2026-07-30T10:27:00Z</dcterms:created>
  <dc:creator>123</dc:creator>
  <cp:lastModifiedBy>123</cp:lastModifiedBy>
  <dcterms:modified xsi:type="dcterms:W3CDTF">2026-07-30T10:28:24Z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44857EBF894248C49708A4CFB9563280_11</vt:lpwstr>
  </property>
  <property fmtid="{D5CDD505-2E9C-101B-9397-08002B2CF9AE}" pid="4" name="KSOTemplateDocerSaveRecord">
    <vt:lpwstr>eyJoZGlkIjoiOTEzYTE1NjhmYmI0MDkxYmE1ZjVkMjkwNjA2M2Q0ZDUiLCJ1c2VySWQiOiI0NTE5NDQwNTQifQ==</vt:lpwstr>
  </property>
</Properties>
</file>