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版本号：KY2026-1-82120260831001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2026年数据一体化数据能力建设项目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KY2026-1-821</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2026年数据一体化数据能力建设项目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KY2026-1-821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2026年数据一体化数据能力建设项目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陕西能源职业技术学院2026年数据一体化数据能力建设项目，1项，具体内容详见采购文件第三章。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8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4、社会保障资金缴存证明：提供2025年8月至今已缴存的至少一个月的社会保障资金缴存单据或社保机构开具的社会保险参保缴费情况证明，依法不需要缴存社会保障资金的单位应提供相关证明材料。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咸阳市文林路中段29号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银行账号：86113010750181502001647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说明：成交供应商应当在合同签订前缴纳至采购人指定账户，所有产品验收合格后一次性无息退还。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代理服务费收费标准：1、参见国家计委颁布的《招标代理服务收费管理暂行办法》（计价格[2002]1980号）规定的招标代理服务收费标准，按照中标金额差额定率累进法计算，按照标准下浮30%收取。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根据磋商文件、响应文件要求及合同约定执行。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联系人：杭琨、牛佩文</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陕西能源职业技术学院2026年数据一体化数据能力建设项目，1项。具体内容详见服务内容及服务要求。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798,000.00</w:t>
      </w:r>
    </w:p>
    <w:p>
      <w:pPr>
        <w:pStyle w:val="null3"/>
      </w:pPr>
      <w:r>
        <w:rPr>
          <w:rFonts w:ascii="仿宋_GB2312" w:hAnsi="仿宋_GB2312" w:cs="仿宋_GB2312" w:eastAsia="仿宋_GB2312"/>
        </w:rPr>
        <w:t>采购包最高限价（元）: 798,000.00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2026年陕西能源职业技术学院数据一体化数据能力建设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标的名称：2026年陕西能源职业技术学院数据一体化数据能力建设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8"/>
                <w:b/>
              </w:rPr>
              <w:t>一、项目背景</w:t>
            </w:r>
          </w:p>
          <w:p>
            <w:pPr>
              <w:pStyle w:val="null3"/>
              <w:ind w:firstLine="480"/>
              <w:jc w:val="both"/>
            </w:pPr>
            <w:r>
              <w:rPr>
                <w:rFonts w:ascii="仿宋_GB2312" w:hAnsi="仿宋_GB2312" w:cs="仿宋_GB2312" w:eastAsia="仿宋_GB2312"/>
                <w:sz w:val="24"/>
              </w:rPr>
              <w:t>当前，教育数字化转型正进入 “数据驱动、智能赋能” 的深化阶段，人工智能技术在校园场景的快速普及，正推动师生、管理者的用数需求从 “传统查询” 向 “智能问数、即时响应” 升级，对数据服务的效率、便捷性与可靠性提出了更高要求。国家层面，《数据安全法》《个人信息保护法》为数据安全划定了法律红线，教育部发布的《教育数据分类分级指南》（JY/T 0661—2025）已于 2026 年 2 月 18 日正式施行，为教育数据分级分类、安全管理与合规使用提供了明确的国标指引。</w:t>
            </w:r>
          </w:p>
          <w:p>
            <w:pPr>
              <w:pStyle w:val="null3"/>
              <w:ind w:firstLine="480"/>
              <w:jc w:val="both"/>
            </w:pPr>
            <w:r>
              <w:rPr>
                <w:rFonts w:ascii="仿宋_GB2312" w:hAnsi="仿宋_GB2312" w:cs="仿宋_GB2312" w:eastAsia="仿宋_GB2312"/>
                <w:sz w:val="24"/>
              </w:rPr>
              <w:t>陕西能源职业技术学院已建成校级数据中台，实现了跨系统数据的汇聚与共享，为数字化治理奠定了基础。但缺乏面向 AI 智能问数、数字运营决策、师生个性化服务、业务部门自助用数等新场景。数据治理效率与质量难以支撑 AI 高可靠性调用，数据服务形式无法适配自然语言交互需求，数据安全防护体系需对标《教育数据分类分级指南》（JY/T 0661—2025）进一步完善。</w:t>
            </w:r>
          </w:p>
          <w:p>
            <w:pPr>
              <w:pStyle w:val="null3"/>
              <w:ind w:firstLine="480"/>
              <w:jc w:val="both"/>
            </w:pPr>
            <w:r>
              <w:rPr>
                <w:rFonts w:ascii="仿宋_GB2312" w:hAnsi="仿宋_GB2312" w:cs="仿宋_GB2312" w:eastAsia="仿宋_GB2312"/>
                <w:sz w:val="24"/>
              </w:rPr>
              <w:t>为主动顺应教育数字化智能化发展趋势，落实国家及陕西省教育数据安全管理要求，学校亟需启动本项目建设，通过 AI 赋能数据全流程、构建数字服务运营体系、完善一体化数据能力、强化全生命周期安全防护，打造 “智能、高效、安全、易用” 的校园数据服务新生态，推动数据从 “汇聚共享” 向 “智能化赋能” 跨越。</w:t>
            </w:r>
          </w:p>
          <w:p>
            <w:pPr>
              <w:pStyle w:val="null3"/>
              <w:jc w:val="both"/>
              <w:outlineLvl w:val="2"/>
            </w:pPr>
            <w:r>
              <w:rPr>
                <w:rFonts w:ascii="仿宋_GB2312" w:hAnsi="仿宋_GB2312" w:cs="仿宋_GB2312" w:eastAsia="仿宋_GB2312"/>
                <w:sz w:val="28"/>
                <w:b/>
              </w:rPr>
              <w:t>二、建设目标</w:t>
            </w:r>
          </w:p>
          <w:p>
            <w:pPr>
              <w:pStyle w:val="null3"/>
              <w:ind w:firstLine="480"/>
              <w:jc w:val="both"/>
            </w:pPr>
            <w:r>
              <w:rPr>
                <w:rFonts w:ascii="仿宋_GB2312" w:hAnsi="仿宋_GB2312" w:cs="仿宋_GB2312" w:eastAsia="仿宋_GB2312"/>
                <w:sz w:val="24"/>
              </w:rPr>
              <w:t>本项目以 “AI 驱动、数据赋能、安全合规、服务提效” 为核心，在现有数据中台基础上，重点实现以下目标：</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构建 AI 驱动的智能数据服务能力：建设 AI 数据接口调用Skills、数据找用申请全流程 AI 辅助，为校园 AI 助手、智能问答等场景提供可靠的智能数据底座，让校领导、师生通过自然语言即可快速获取所需数据，实现 “一问即得、一数即用”。</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打造分层分级的数字服务运营支撑体系：面向校领导、中层管理者、业务人员、全体师生定制化建设 AI 问答专属数据支撑接口，覆盖决策分析、业务管理、专项办理、个人服务等全场景，实现不同用户群体用数需求的精准响应，全面提升数据服务的便捷性与普惠性。</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完善一体化数据能力保障体系：建设全域数据服务供给、湖仓一体数据管控、校级数据规范与权责体系，为业务部门、开发者提供数据工作台、主题检索、API调用、数据集市等高效用数渠道，大幅提升业务部门与开发者的数据获取效率，推动数据治理常态化、数据资产化运营。</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筑牢对标国标的数据安全全生命周期防线：严格落实《教育数据分类分级指南》（JY/T 0661—2025）及陕西省教育数据安全管理要求，建立数据分级分类、标签化管理、分级权限管控、脱敏加密、全链路追溯的立体化安全防护体系，保障师生隐私与学校核心数据安全，满足合规审计与风险防控要求。</w:t>
            </w:r>
          </w:p>
          <w:p>
            <w:pPr>
              <w:pStyle w:val="null3"/>
              <w:ind w:firstLine="480"/>
              <w:jc w:val="both"/>
            </w:pPr>
            <w:r>
              <w:rPr>
                <w:rFonts w:ascii="仿宋_GB2312" w:hAnsi="仿宋_GB2312" w:cs="仿宋_GB2312" w:eastAsia="仿宋_GB2312"/>
                <w:sz w:val="24"/>
              </w:rPr>
              <w:t>通过本项目建设，学校将形成 “数据可管、安全可控、服务可享、价值可显” 的数字化新格局，全面提升数据治理能力、智能服务能力与安全保障能力，为学校高水平职业院校建设与高质量发展提供坚实的数据支撑。</w:t>
            </w:r>
          </w:p>
          <w:p>
            <w:pPr>
              <w:pStyle w:val="null3"/>
              <w:jc w:val="both"/>
              <w:outlineLvl w:val="2"/>
            </w:pPr>
            <w:r>
              <w:rPr>
                <w:rFonts w:ascii="仿宋_GB2312" w:hAnsi="仿宋_GB2312" w:cs="仿宋_GB2312" w:eastAsia="仿宋_GB2312"/>
                <w:sz w:val="28"/>
                <w:b/>
              </w:rPr>
              <w:t>三、建设内容</w:t>
            </w:r>
          </w:p>
          <w:p>
            <w:pPr>
              <w:pStyle w:val="null3"/>
              <w:jc w:val="both"/>
              <w:outlineLvl w:val="3"/>
            </w:pPr>
            <w:r>
              <w:rPr>
                <w:rFonts w:ascii="仿宋_GB2312" w:hAnsi="仿宋_GB2312" w:cs="仿宋_GB2312" w:eastAsia="仿宋_GB2312"/>
                <w:sz w:val="24"/>
                <w:b/>
              </w:rPr>
              <w:t xml:space="preserve">3.1 AI </w:t>
            </w:r>
            <w:r>
              <w:rPr>
                <w:rFonts w:ascii="仿宋_GB2312" w:hAnsi="仿宋_GB2312" w:cs="仿宋_GB2312" w:eastAsia="仿宋_GB2312"/>
                <w:sz w:val="24"/>
                <w:b/>
              </w:rPr>
              <w:t>数据智能服务</w:t>
            </w:r>
          </w:p>
          <w:p>
            <w:pPr>
              <w:pStyle w:val="null3"/>
              <w:jc w:val="both"/>
              <w:outlineLvl w:val="4"/>
            </w:pPr>
            <w:r>
              <w:rPr>
                <w:rFonts w:ascii="仿宋_GB2312" w:hAnsi="仿宋_GB2312" w:cs="仿宋_GB2312" w:eastAsia="仿宋_GB2312"/>
                <w:sz w:val="24"/>
                <w:b/>
                <w:color w:val="2E74B5"/>
              </w:rPr>
              <w:t xml:space="preserve">3.1.1  AI </w:t>
            </w:r>
            <w:r>
              <w:rPr>
                <w:rFonts w:ascii="仿宋_GB2312" w:hAnsi="仿宋_GB2312" w:cs="仿宋_GB2312" w:eastAsia="仿宋_GB2312"/>
                <w:sz w:val="24"/>
                <w:b/>
                <w:color w:val="2E74B5"/>
              </w:rPr>
              <w:t>数据接口Skills开发服务</w:t>
            </w:r>
          </w:p>
          <w:p>
            <w:pPr>
              <w:pStyle w:val="null3"/>
              <w:ind w:firstLine="480"/>
              <w:jc w:val="both"/>
            </w:pPr>
            <w:r>
              <w:rPr>
                <w:rFonts w:ascii="仿宋_GB2312" w:hAnsi="仿宋_GB2312" w:cs="仿宋_GB2312" w:eastAsia="仿宋_GB2312"/>
                <w:sz w:val="24"/>
              </w:rPr>
              <w:t>面向智慧校园 AI 应用生态，依托学校数据中台开放的标准化 API 服务能力，建设AI Skills 智能数据服务体系，打造数据 API 的 “AI 翻译层”，将传统数据接口升级为 AI 可理解、可调用、可交互的智能服务能力，实现自然语言一问即得、数据服务一键触达，全面开启校园数据 “AI 对话消费” 新模式，为智慧校园升级与数字化服务创新提供核心引擎。</w:t>
            </w:r>
          </w:p>
          <w:p>
            <w:pPr>
              <w:pStyle w:val="null3"/>
              <w:jc w:val="both"/>
              <w:outlineLvl w:val="5"/>
            </w:pPr>
            <w:r>
              <w:rPr>
                <w:rFonts w:ascii="仿宋_GB2312" w:hAnsi="仿宋_GB2312" w:cs="仿宋_GB2312" w:eastAsia="仿宋_GB2312"/>
                <w:sz w:val="24"/>
                <w:b/>
              </w:rPr>
              <w:t>（1）AI Skills 基础能力建设</w:t>
            </w:r>
          </w:p>
          <w:p>
            <w:pPr>
              <w:pStyle w:val="null3"/>
              <w:ind w:firstLine="480"/>
              <w:jc w:val="both"/>
            </w:pPr>
            <w:r>
              <w:rPr>
                <w:rFonts w:ascii="仿宋_GB2312" w:hAnsi="仿宋_GB2312" w:cs="仿宋_GB2312" w:eastAsia="仿宋_GB2312"/>
                <w:sz w:val="24"/>
              </w:rPr>
              <w:t>构建面向 AI Agent 的标准化数据服务接口体系，为各类 AI 助手、智能问答、数字助理提供统一调用规范，实现数据 API 从 “开发者友好” 向 “AI 友好” 全面升级。建设意图识别规则库、调用执行配置库、结果呈现模板库三大核心要素，支持 AI 准确识别用户需求、自动调用对应服务、智能返回友好结果。</w:t>
            </w:r>
          </w:p>
          <w:p>
            <w:pPr>
              <w:pStyle w:val="null3"/>
              <w:jc w:val="both"/>
              <w:outlineLvl w:val="5"/>
            </w:pPr>
            <w:r>
              <w:rPr>
                <w:rFonts w:ascii="仿宋_GB2312" w:hAnsi="仿宋_GB2312" w:cs="仿宋_GB2312" w:eastAsia="仿宋_GB2312"/>
                <w:sz w:val="24"/>
                <w:b/>
              </w:rPr>
              <w:t>（2）智能意图识别与语义理解能力</w:t>
            </w:r>
          </w:p>
          <w:p>
            <w:pPr>
              <w:pStyle w:val="null3"/>
              <w:ind w:firstLine="480"/>
              <w:jc w:val="both"/>
            </w:pPr>
            <w:r>
              <w:rPr>
                <w:rFonts w:ascii="仿宋_GB2312" w:hAnsi="仿宋_GB2312" w:cs="仿宋_GB2312" w:eastAsia="仿宋_GB2312"/>
                <w:sz w:val="24"/>
              </w:rPr>
              <w:t>建设基于语义向量的智能意图识别引擎，支持用户自然语言提问自动匹配对应数据服务，支持关键词权重调节、相似问法兼容、负面意图过滤，避免误触发与错调用。可精准理解 “饭卡还有多少钱”“我的待办有哪些” 等口语化请求，自动定位对应技能服务，无需固定格式、无需菜单点击，大幅降低师生使用门槛，提升交互体验与服务响应效率。</w:t>
            </w:r>
          </w:p>
          <w:p>
            <w:pPr>
              <w:pStyle w:val="null3"/>
              <w:jc w:val="both"/>
              <w:outlineLvl w:val="5"/>
            </w:pPr>
            <w:r>
              <w:rPr>
                <w:rFonts w:ascii="仿宋_GB2312" w:hAnsi="仿宋_GB2312" w:cs="仿宋_GB2312" w:eastAsia="仿宋_GB2312"/>
                <w:sz w:val="24"/>
                <w:b/>
              </w:rPr>
              <w:t>（3）动态参数填充与智能调用能力</w:t>
            </w:r>
          </w:p>
          <w:p>
            <w:pPr>
              <w:pStyle w:val="null3"/>
              <w:ind w:firstLine="480"/>
              <w:jc w:val="both"/>
            </w:pPr>
            <w:r>
              <w:rPr>
                <w:rFonts w:ascii="仿宋_GB2312" w:hAnsi="仿宋_GB2312" w:cs="仿宋_GB2312" w:eastAsia="仿宋_GB2312"/>
                <w:sz w:val="24"/>
              </w:rPr>
              <w:t>建设动态参数自动填充机制，支持用户身份、权限级别、部门信息等系统参数自动注入，支持从对话中智能提取必要参数，支持默认值预配置与参数校验，实现 AI 全自动服务调用。师生无需手动输入学号、工号、时间等信息，系统自动识别身份与权限，一键完成数据查询、信息获取、状态查询等操作，调用过程无感、简洁、安全，大幅简化操作流程。</w:t>
            </w:r>
          </w:p>
          <w:p>
            <w:pPr>
              <w:pStyle w:val="null3"/>
              <w:jc w:val="both"/>
              <w:outlineLvl w:val="5"/>
            </w:pPr>
            <w:r>
              <w:rPr>
                <w:rFonts w:ascii="仿宋_GB2312" w:hAnsi="仿宋_GB2312" w:cs="仿宋_GB2312" w:eastAsia="仿宋_GB2312"/>
                <w:sz w:val="24"/>
                <w:b/>
              </w:rPr>
              <w:t>（4）精细化权限管控与安全访问能力</w:t>
            </w:r>
          </w:p>
          <w:p>
            <w:pPr>
              <w:pStyle w:val="null3"/>
              <w:ind w:firstLine="480"/>
              <w:jc w:val="both"/>
            </w:pPr>
            <w:r>
              <w:rPr>
                <w:rFonts w:ascii="仿宋_GB2312" w:hAnsi="仿宋_GB2312" w:cs="仿宋_GB2312" w:eastAsia="仿宋_GB2312"/>
                <w:sz w:val="24"/>
              </w:rPr>
              <w:t>基于角色、数据等级、敏感字段构建三级权限管控体系，学生、教师、管理员、部门领导分级授权、按需访问，高敏感数据自动脱敏，违规调用实时拦截与预警。支持动态权限注入，AI 调用时自动校验权限范围，确保数据不越权、不泄露、不滥用，满足《数据安全法》《个人信息保护法》合规要求，保障校园数据安全可控。</w:t>
            </w:r>
          </w:p>
          <w:p>
            <w:pPr>
              <w:pStyle w:val="null3"/>
              <w:jc w:val="both"/>
              <w:outlineLvl w:val="4"/>
            </w:pPr>
            <w:r>
              <w:rPr>
                <w:rFonts w:ascii="仿宋_GB2312" w:hAnsi="仿宋_GB2312" w:cs="仿宋_GB2312" w:eastAsia="仿宋_GB2312"/>
                <w:sz w:val="24"/>
                <w:b/>
                <w:color w:val="2E74B5"/>
              </w:rPr>
              <w:t xml:space="preserve">3.1.2  AI </w:t>
            </w:r>
            <w:r>
              <w:rPr>
                <w:rFonts w:ascii="仿宋_GB2312" w:hAnsi="仿宋_GB2312" w:cs="仿宋_GB2312" w:eastAsia="仿宋_GB2312"/>
                <w:sz w:val="24"/>
                <w:b/>
                <w:color w:val="2E74B5"/>
              </w:rPr>
              <w:t>数据治理服务</w:t>
            </w:r>
          </w:p>
          <w:p>
            <w:pPr>
              <w:pStyle w:val="null3"/>
              <w:ind w:firstLine="360"/>
              <w:jc w:val="both"/>
            </w:pPr>
            <w:r>
              <w:rPr>
                <w:rFonts w:ascii="仿宋_GB2312" w:hAnsi="仿宋_GB2312" w:cs="仿宋_GB2312" w:eastAsia="仿宋_GB2312"/>
                <w:sz w:val="24"/>
              </w:rPr>
              <w:t>在我校现有数据中台（注：现有数据中台于</w:t>
            </w:r>
            <w:r>
              <w:rPr>
                <w:rFonts w:ascii="仿宋_GB2312" w:hAnsi="仿宋_GB2312" w:cs="仿宋_GB2312" w:eastAsia="仿宋_GB2312"/>
                <w:sz w:val="24"/>
              </w:rPr>
              <w:t xml:space="preserve">2019 </w:t>
            </w:r>
            <w:r>
              <w:rPr>
                <w:rFonts w:ascii="仿宋_GB2312" w:hAnsi="仿宋_GB2312" w:cs="仿宋_GB2312" w:eastAsia="仿宋_GB2312"/>
                <w:sz w:val="24"/>
              </w:rPr>
              <w:t>年由上海树维公司承建，为数据资产管理平台 V1.2 版本，基于 Java 技术栈开发，采用纯 B/S 架构，建成后承担学校各业务系统数据汇聚、数据清洗转换、数据目录管理、基础数据共享服务等核心工作</w:t>
            </w:r>
            <w:r>
              <w:rPr>
                <w:rFonts w:ascii="仿宋_GB2312" w:hAnsi="仿宋_GB2312" w:cs="仿宋_GB2312" w:eastAsia="仿宋_GB2312"/>
                <w:sz w:val="24"/>
              </w:rPr>
              <w:t>）内添加AI功能帮助学校提高数据治理效能，具体包括：</w:t>
            </w:r>
          </w:p>
          <w:p>
            <w:pPr>
              <w:pStyle w:val="null3"/>
              <w:jc w:val="both"/>
              <w:outlineLvl w:val="5"/>
            </w:pPr>
            <w:r>
              <w:rPr>
                <w:rFonts w:ascii="仿宋_GB2312" w:hAnsi="仿宋_GB2312" w:cs="仿宋_GB2312" w:eastAsia="仿宋_GB2312"/>
                <w:sz w:val="24"/>
                <w:b/>
              </w:rPr>
              <w:t>（1）AI + 元数据自动化治理</w:t>
            </w:r>
          </w:p>
          <w:p>
            <w:pPr>
              <w:pStyle w:val="null3"/>
              <w:ind w:firstLine="360"/>
              <w:jc w:val="both"/>
            </w:pPr>
            <w:r>
              <w:rPr>
                <w:rFonts w:ascii="仿宋_GB2312" w:hAnsi="仿宋_GB2312" w:cs="仿宋_GB2312" w:eastAsia="仿宋_GB2312"/>
                <w:sz w:val="24"/>
              </w:rPr>
              <w:t>系统应支持基于AI技术的元数据智能标注功能，具体要求如下：</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▲支持对元数据数据项的中文简称、标签、引用信息进行智能自动标注（提供相关证明材料）。</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引用标注应遵循业务来源约束，仅引用对应业务系统已采集的应用代码。</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引用标注仅对值为空的数据项生效，已有引用值的数据项不进行覆盖。</w:t>
            </w:r>
          </w:p>
          <w:p>
            <w:pPr>
              <w:pStyle w:val="null3"/>
              <w:ind w:firstLine="360"/>
              <w:jc w:val="both"/>
            </w:pPr>
            <w:r>
              <w:rPr>
                <w:rFonts w:ascii="仿宋_GB2312" w:hAnsi="仿宋_GB2312" w:cs="仿宋_GB2312" w:eastAsia="仿宋_GB2312"/>
                <w:sz w:val="24"/>
              </w:rPr>
              <w:t>4)AI</w:t>
            </w:r>
            <w:r>
              <w:rPr>
                <w:rFonts w:ascii="仿宋_GB2312" w:hAnsi="仿宋_GB2312" w:cs="仿宋_GB2312" w:eastAsia="仿宋_GB2312"/>
                <w:sz w:val="24"/>
              </w:rPr>
              <w:t>标注结果应支持多次重新生成，用户可反复调用直至获得满意结果。</w:t>
            </w:r>
          </w:p>
          <w:p>
            <w:pPr>
              <w:pStyle w:val="null3"/>
              <w:jc w:val="both"/>
              <w:outlineLvl w:val="5"/>
            </w:pPr>
            <w:r>
              <w:rPr>
                <w:rFonts w:ascii="仿宋_GB2312" w:hAnsi="仿宋_GB2312" w:cs="仿宋_GB2312" w:eastAsia="仿宋_GB2312"/>
                <w:sz w:val="24"/>
                <w:b/>
              </w:rPr>
              <w:t>（2）AI + 数据质量规则智能配置</w:t>
            </w:r>
          </w:p>
          <w:p>
            <w:pPr>
              <w:pStyle w:val="null3"/>
              <w:ind w:firstLine="360"/>
              <w:jc w:val="both"/>
            </w:pPr>
            <w:r>
              <w:rPr>
                <w:rFonts w:ascii="仿宋_GB2312" w:hAnsi="仿宋_GB2312" w:cs="仿宋_GB2312" w:eastAsia="仿宋_GB2312"/>
                <w:sz w:val="24"/>
              </w:rPr>
              <w:t>系统应支持基于AI技术的数据质量检测规则智能生成功能，具体要求如下：</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支持在创建数据质量检测作业时，根据所选数据源和数据表，智能生成检测规则。</w:t>
            </w:r>
          </w:p>
          <w:p>
            <w:pPr>
              <w:pStyle w:val="null3"/>
              <w:ind w:firstLine="360"/>
              <w:jc w:val="both"/>
            </w:pPr>
            <w:r>
              <w:rPr>
                <w:rFonts w:ascii="仿宋_GB2312" w:hAnsi="仿宋_GB2312" w:cs="仿宋_GB2312" w:eastAsia="仿宋_GB2312"/>
                <w:sz w:val="24"/>
              </w:rPr>
              <w:t>2)AI</w:t>
            </w:r>
            <w:r>
              <w:rPr>
                <w:rFonts w:ascii="仿宋_GB2312" w:hAnsi="仿宋_GB2312" w:cs="仿宋_GB2312" w:eastAsia="仿宋_GB2312"/>
                <w:sz w:val="24"/>
              </w:rPr>
              <w:t>应能根据字段特征智能推荐合适的检测规则类型（如主键字段推荐完整性规则，引用代码字段推荐参照完整性规则等）。</w:t>
            </w:r>
          </w:p>
          <w:p>
            <w:pPr>
              <w:pStyle w:val="null3"/>
              <w:ind w:firstLine="360"/>
              <w:jc w:val="both"/>
            </w:pPr>
            <w:r>
              <w:rPr>
                <w:rFonts w:ascii="仿宋_GB2312" w:hAnsi="仿宋_GB2312" w:cs="仿宋_GB2312" w:eastAsia="仿宋_GB2312"/>
                <w:sz w:val="24"/>
              </w:rPr>
              <w:t>3)AI</w:t>
            </w:r>
            <w:r>
              <w:rPr>
                <w:rFonts w:ascii="仿宋_GB2312" w:hAnsi="仿宋_GB2312" w:cs="仿宋_GB2312" w:eastAsia="仿宋_GB2312"/>
                <w:sz w:val="24"/>
              </w:rPr>
              <w:t>生成的检测规则应支持多次重新生成，用户可反复调用直至获得满意结果。</w:t>
            </w:r>
          </w:p>
          <w:p>
            <w:pPr>
              <w:pStyle w:val="null3"/>
              <w:jc w:val="both"/>
              <w:outlineLvl w:val="5"/>
            </w:pPr>
            <w:r>
              <w:rPr>
                <w:rFonts w:ascii="仿宋_GB2312" w:hAnsi="仿宋_GB2312" w:cs="仿宋_GB2312" w:eastAsia="仿宋_GB2312"/>
                <w:sz w:val="24"/>
                <w:b/>
              </w:rPr>
              <w:t>（3）AI + 数据安全智能配置</w:t>
            </w:r>
          </w:p>
          <w:p>
            <w:pPr>
              <w:pStyle w:val="null3"/>
              <w:ind w:firstLine="360"/>
              <w:jc w:val="both"/>
            </w:pPr>
            <w:r>
              <w:rPr>
                <w:rFonts w:ascii="仿宋_GB2312" w:hAnsi="仿宋_GB2312" w:cs="仿宋_GB2312" w:eastAsia="仿宋_GB2312"/>
                <w:sz w:val="24"/>
              </w:rPr>
              <w:t>系统应支持基于AI技术的数据安全分级分类智能配置功能，具体要求如下：</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支持对数据子类下的数据项进行智能分级分类配置，包括数据分级分类、数据脱敏策略、存储加密策略等安全属性的智能推荐。</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支持单选、多选或全选数据项后进行批量智能配置，AI应能根据数据项特征自动分配合理的安全属性。</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支持对元数据的单个数据项进行智能编辑，自动推荐分级分类、数据安全、存储加密等配置信息。</w:t>
            </w:r>
          </w:p>
          <w:p>
            <w:pPr>
              <w:pStyle w:val="null3"/>
              <w:ind w:firstLine="360"/>
              <w:jc w:val="both"/>
            </w:pPr>
            <w:r>
              <w:rPr>
                <w:rFonts w:ascii="仿宋_GB2312" w:hAnsi="仿宋_GB2312" w:cs="仿宋_GB2312" w:eastAsia="仿宋_GB2312"/>
                <w:sz w:val="24"/>
              </w:rPr>
              <w:t>4)AI</w:t>
            </w:r>
            <w:r>
              <w:rPr>
                <w:rFonts w:ascii="仿宋_GB2312" w:hAnsi="仿宋_GB2312" w:cs="仿宋_GB2312" w:eastAsia="仿宋_GB2312"/>
                <w:sz w:val="24"/>
              </w:rPr>
              <w:t>智能配置结果应支持多次重新生成，用户可反复调用直至获得满意结果。</w:t>
            </w:r>
          </w:p>
          <w:p>
            <w:pPr>
              <w:pStyle w:val="null3"/>
              <w:jc w:val="both"/>
              <w:outlineLvl w:val="4"/>
            </w:pPr>
            <w:r>
              <w:rPr>
                <w:rFonts w:ascii="仿宋_GB2312" w:hAnsi="仿宋_GB2312" w:cs="仿宋_GB2312" w:eastAsia="仿宋_GB2312"/>
                <w:sz w:val="24"/>
                <w:b/>
                <w:color w:val="2E74B5"/>
              </w:rPr>
              <w:t xml:space="preserve">3.1.3 AI </w:t>
            </w:r>
            <w:r>
              <w:rPr>
                <w:rFonts w:ascii="仿宋_GB2312" w:hAnsi="仿宋_GB2312" w:cs="仿宋_GB2312" w:eastAsia="仿宋_GB2312"/>
                <w:sz w:val="24"/>
                <w:b/>
                <w:color w:val="2E74B5"/>
              </w:rPr>
              <w:t>数据开发服务</w:t>
            </w:r>
          </w:p>
          <w:p>
            <w:pPr>
              <w:pStyle w:val="null3"/>
              <w:jc w:val="both"/>
              <w:outlineLvl w:val="5"/>
            </w:pPr>
            <w:r>
              <w:rPr>
                <w:rFonts w:ascii="仿宋_GB2312" w:hAnsi="仿宋_GB2312" w:cs="仿宋_GB2312" w:eastAsia="仿宋_GB2312"/>
                <w:sz w:val="24"/>
                <w:b/>
              </w:rPr>
              <w:t>（1）AI + 数据交换采集配置</w:t>
            </w:r>
          </w:p>
          <w:p>
            <w:pPr>
              <w:pStyle w:val="null3"/>
              <w:ind w:firstLine="480"/>
              <w:jc w:val="both"/>
            </w:pPr>
            <w:r>
              <w:rPr>
                <w:rFonts w:ascii="仿宋_GB2312" w:hAnsi="仿宋_GB2312" w:cs="仿宋_GB2312" w:eastAsia="仿宋_GB2312"/>
                <w:sz w:val="24"/>
              </w:rPr>
              <w:t>适用于教务系统到数据中心库学生信息同步、迎新到离校系统数据贯通、多系统数据汇聚生成主题库、日常增量数据同步等场景。系统应支持基于AI技术的数据交换智能配置功能，具体要求如下：</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支持在创建数据交换任务时，通过自然语言描述数据交换需求，AI自动生成源端数据提取SQL语句。</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▲支持智能配置源表与目标表之间的字段映射关系（提供相关证明材料）。</w:t>
            </w:r>
          </w:p>
          <w:p>
            <w:pPr>
              <w:pStyle w:val="null3"/>
              <w:ind w:firstLine="360"/>
              <w:jc w:val="both"/>
            </w:pPr>
            <w:r>
              <w:rPr>
                <w:rFonts w:ascii="仿宋_GB2312" w:hAnsi="仿宋_GB2312" w:cs="仿宋_GB2312" w:eastAsia="仿宋_GB2312"/>
                <w:sz w:val="24"/>
              </w:rPr>
              <w:t>3)AI</w:t>
            </w:r>
            <w:r>
              <w:rPr>
                <w:rFonts w:ascii="仿宋_GB2312" w:hAnsi="仿宋_GB2312" w:cs="仿宋_GB2312" w:eastAsia="仿宋_GB2312"/>
                <w:sz w:val="24"/>
              </w:rPr>
              <w:t>生成的SQL语句及字段映射关系应支持多次重新生成，用户可反复调用直至获得满意结果。</w:t>
            </w:r>
          </w:p>
          <w:p>
            <w:pPr>
              <w:pStyle w:val="null3"/>
              <w:jc w:val="both"/>
              <w:outlineLvl w:val="5"/>
            </w:pPr>
            <w:r>
              <w:rPr>
                <w:rFonts w:ascii="仿宋_GB2312" w:hAnsi="仿宋_GB2312" w:cs="仿宋_GB2312" w:eastAsia="仿宋_GB2312"/>
                <w:sz w:val="24"/>
                <w:b/>
              </w:rPr>
              <w:t>（2）AI+API 智能化配置</w:t>
            </w:r>
          </w:p>
          <w:p>
            <w:pPr>
              <w:pStyle w:val="null3"/>
              <w:ind w:firstLine="480"/>
              <w:jc w:val="both"/>
            </w:pPr>
            <w:r>
              <w:rPr>
                <w:rFonts w:ascii="仿宋_GB2312" w:hAnsi="仿宋_GB2312" w:cs="仿宋_GB2312" w:eastAsia="仿宋_GB2312"/>
                <w:sz w:val="24"/>
              </w:rPr>
              <w:t>适用于校内数据服务接口快速发布、移动端与大屏及第三方应用数据对接、统一数据门户 API 管理、安全可控的数据开放共享等场景。系统应支持基于AI技术的数据服务智能创建功能，具体要求如下：</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支持可视化工具方式创建API服务时，智能生成接口字段中文名称、数据样例、API标识、API名称、所属分类及API描述等信息。</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支持自定义SQL方式创建API服务时，通过自然语言描述需求，AI自动生成对应的SQL语句。</w:t>
            </w:r>
          </w:p>
          <w:p>
            <w:pPr>
              <w:pStyle w:val="null3"/>
              <w:ind w:firstLine="360"/>
              <w:jc w:val="both"/>
            </w:pPr>
            <w:r>
              <w:rPr>
                <w:rFonts w:ascii="仿宋_GB2312" w:hAnsi="仿宋_GB2312" w:cs="仿宋_GB2312" w:eastAsia="仿宋_GB2312"/>
                <w:sz w:val="24"/>
              </w:rPr>
              <w:t>3)SQL</w:t>
            </w:r>
            <w:r>
              <w:rPr>
                <w:rFonts w:ascii="仿宋_GB2312" w:hAnsi="仿宋_GB2312" w:cs="仿宋_GB2312" w:eastAsia="仿宋_GB2312"/>
                <w:sz w:val="24"/>
              </w:rPr>
              <w:t>语句生成后应支持预览验证，并可对接口字段信息进行智能补全。</w:t>
            </w:r>
          </w:p>
          <w:p>
            <w:pPr>
              <w:pStyle w:val="null3"/>
              <w:ind w:firstLine="360"/>
              <w:jc w:val="both"/>
            </w:pPr>
            <w:r>
              <w:rPr>
                <w:rFonts w:ascii="仿宋_GB2312" w:hAnsi="仿宋_GB2312" w:cs="仿宋_GB2312" w:eastAsia="仿宋_GB2312"/>
                <w:sz w:val="24"/>
              </w:rPr>
              <w:t>4)AI</w:t>
            </w:r>
            <w:r>
              <w:rPr>
                <w:rFonts w:ascii="仿宋_GB2312" w:hAnsi="仿宋_GB2312" w:cs="仿宋_GB2312" w:eastAsia="仿宋_GB2312"/>
                <w:sz w:val="24"/>
              </w:rPr>
              <w:t>生成的SQL语句及配置信息应支持多次重新生成，用户可反复调用直至获得满意结果。</w:t>
            </w:r>
          </w:p>
          <w:p>
            <w:pPr>
              <w:pStyle w:val="null3"/>
              <w:jc w:val="both"/>
              <w:outlineLvl w:val="4"/>
            </w:pPr>
            <w:r>
              <w:rPr>
                <w:rFonts w:ascii="仿宋_GB2312" w:hAnsi="仿宋_GB2312" w:cs="仿宋_GB2312" w:eastAsia="仿宋_GB2312"/>
                <w:sz w:val="24"/>
                <w:b/>
                <w:color w:val="2E74B5"/>
              </w:rPr>
              <w:t xml:space="preserve">3.1.4 AI </w:t>
            </w:r>
            <w:r>
              <w:rPr>
                <w:rFonts w:ascii="仿宋_GB2312" w:hAnsi="仿宋_GB2312" w:cs="仿宋_GB2312" w:eastAsia="仿宋_GB2312"/>
                <w:sz w:val="24"/>
                <w:b/>
                <w:color w:val="2E74B5"/>
              </w:rPr>
              <w:t>数据管理服务</w:t>
            </w:r>
          </w:p>
          <w:p>
            <w:pPr>
              <w:pStyle w:val="null3"/>
              <w:jc w:val="both"/>
              <w:outlineLvl w:val="5"/>
            </w:pPr>
            <w:r>
              <w:rPr>
                <w:rFonts w:ascii="仿宋_GB2312" w:hAnsi="仿宋_GB2312" w:cs="仿宋_GB2312" w:eastAsia="仿宋_GB2312"/>
                <w:sz w:val="24"/>
                <w:b/>
              </w:rPr>
              <w:t>（1）AI + 数据找、用、申请全流程</w:t>
            </w:r>
          </w:p>
          <w:p>
            <w:pPr>
              <w:pStyle w:val="null3"/>
              <w:ind w:firstLine="480"/>
              <w:jc w:val="both"/>
            </w:pPr>
            <w:r>
              <w:rPr>
                <w:rFonts w:ascii="仿宋_GB2312" w:hAnsi="仿宋_GB2312" w:cs="仿宋_GB2312" w:eastAsia="仿宋_GB2312"/>
                <w:sz w:val="24"/>
              </w:rPr>
              <w:t>系统应在数据服务、数据目录、主题查询等业务模块中提供AI助手功能，支持自然语言交互，具体要求如下：</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支持用户通过自然语言描述数据服务/目录/主题需求（如申请某类数据服务），AI智能分析需求并推荐已发布的数据服务目录/主题。</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推荐结果应包含数据服务名称及满足条件的字段信息（中英文），用户可多次输入需求进行优化推荐。</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▲主题查询中用户可直接点击查询名称查看数据信息，支持下载、高级查询、翻译数据与原始数据切换等功能（提供相关证明材料）。</w:t>
            </w:r>
          </w:p>
          <w:p>
            <w:pPr>
              <w:pStyle w:val="null3"/>
              <w:ind w:firstLine="360"/>
              <w:jc w:val="both"/>
            </w:pPr>
            <w:r>
              <w:rPr>
                <w:rFonts w:ascii="仿宋_GB2312" w:hAnsi="仿宋_GB2312" w:cs="仿宋_GB2312" w:eastAsia="仿宋_GB2312"/>
                <w:sz w:val="24"/>
              </w:rPr>
              <w:t>4)API/</w:t>
            </w:r>
            <w:r>
              <w:rPr>
                <w:rFonts w:ascii="仿宋_GB2312" w:hAnsi="仿宋_GB2312" w:cs="仿宋_GB2312" w:eastAsia="仿宋_GB2312"/>
                <w:sz w:val="24"/>
              </w:rPr>
              <w:t>目录服务中，支持智能发起数据服务/目录授权申请流程，根据用户需求自动填充申请信息。</w:t>
            </w:r>
          </w:p>
          <w:p>
            <w:pPr>
              <w:pStyle w:val="null3"/>
              <w:ind w:firstLine="360"/>
              <w:jc w:val="both"/>
            </w:pPr>
            <w:r>
              <w:rPr>
                <w:rFonts w:ascii="仿宋_GB2312" w:hAnsi="仿宋_GB2312" w:cs="仿宋_GB2312" w:eastAsia="仿宋_GB2312"/>
                <w:sz w:val="24"/>
              </w:rPr>
              <w:t>5)</w:t>
            </w:r>
            <w:r>
              <w:rPr>
                <w:rFonts w:ascii="仿宋_GB2312" w:hAnsi="仿宋_GB2312" w:cs="仿宋_GB2312" w:eastAsia="仿宋_GB2312"/>
                <w:sz w:val="24"/>
              </w:rPr>
              <w:t>当申请信息存在不确定项时，应提示用户确认或选择（如开发者账号等）。</w:t>
            </w:r>
          </w:p>
          <w:p>
            <w:pPr>
              <w:pStyle w:val="null3"/>
              <w:ind w:firstLine="360"/>
              <w:jc w:val="both"/>
            </w:pPr>
            <w:r>
              <w:rPr>
                <w:rFonts w:ascii="仿宋_GB2312" w:hAnsi="仿宋_GB2312" w:cs="仿宋_GB2312" w:eastAsia="仿宋_GB2312"/>
                <w:sz w:val="24"/>
              </w:rPr>
              <w:t>6)</w:t>
            </w:r>
            <w:r>
              <w:rPr>
                <w:rFonts w:ascii="仿宋_GB2312" w:hAnsi="仿宋_GB2312" w:cs="仿宋_GB2312" w:eastAsia="仿宋_GB2312"/>
                <w:sz w:val="24"/>
              </w:rPr>
              <w:t>当已有数据服务/目录无法满足需求时，应支持智能创建新数据服务需求并提交至管理端审核。</w:t>
            </w:r>
          </w:p>
          <w:p>
            <w:pPr>
              <w:pStyle w:val="null3"/>
              <w:ind w:firstLine="360"/>
              <w:jc w:val="both"/>
            </w:pPr>
            <w:r>
              <w:rPr>
                <w:rFonts w:ascii="仿宋_GB2312" w:hAnsi="仿宋_GB2312" w:cs="仿宋_GB2312" w:eastAsia="仿宋_GB2312"/>
                <w:sz w:val="24"/>
              </w:rPr>
              <w:t>7)</w:t>
            </w:r>
            <w:r>
              <w:rPr>
                <w:rFonts w:ascii="仿宋_GB2312" w:hAnsi="仿宋_GB2312" w:cs="仿宋_GB2312" w:eastAsia="仿宋_GB2312"/>
                <w:sz w:val="24"/>
              </w:rPr>
              <w:t>申请提交后，管理员审核完成应通过消息通知用户。</w:t>
            </w:r>
          </w:p>
          <w:p>
            <w:pPr>
              <w:pStyle w:val="null3"/>
              <w:jc w:val="both"/>
              <w:outlineLvl w:val="5"/>
            </w:pPr>
            <w:r>
              <w:rPr>
                <w:rFonts w:ascii="仿宋_GB2312" w:hAnsi="仿宋_GB2312" w:cs="仿宋_GB2312" w:eastAsia="仿宋_GB2312"/>
                <w:sz w:val="24"/>
                <w:b/>
              </w:rPr>
              <w:t>（2）AI + 代码映射管理</w:t>
            </w:r>
          </w:p>
          <w:p>
            <w:pPr>
              <w:pStyle w:val="null3"/>
              <w:ind w:firstLine="480"/>
              <w:jc w:val="both"/>
            </w:pPr>
            <w:r>
              <w:rPr>
                <w:rFonts w:ascii="仿宋_GB2312" w:hAnsi="仿宋_GB2312" w:cs="仿宋_GB2312" w:eastAsia="仿宋_GB2312"/>
                <w:sz w:val="24"/>
              </w:rPr>
              <w:t>适用于课程性质、教学方式、活动类型、学生状态、职称职务等代码映射，跨系统数据对接时代码转换，新增业务系统时快速适配标准代码等场景。系统应支持基于AI技术的代码映射智能配置功能，具体要求如下：</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支持在创建或编辑代码映射关系时，根据源表和目标表信息，智能推荐代码映射关系。</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已配置过的代码映射关系不应重复推荐，仅对未配置的代码进行智能推荐。</w:t>
            </w:r>
          </w:p>
          <w:p>
            <w:pPr>
              <w:pStyle w:val="null3"/>
              <w:ind w:firstLine="360"/>
              <w:jc w:val="both"/>
            </w:pPr>
            <w:r>
              <w:rPr>
                <w:rFonts w:ascii="仿宋_GB2312" w:hAnsi="仿宋_GB2312" w:cs="仿宋_GB2312" w:eastAsia="仿宋_GB2312"/>
                <w:sz w:val="24"/>
              </w:rPr>
              <w:t>3)AI</w:t>
            </w:r>
            <w:r>
              <w:rPr>
                <w:rFonts w:ascii="仿宋_GB2312" w:hAnsi="仿宋_GB2312" w:cs="仿宋_GB2312" w:eastAsia="仿宋_GB2312"/>
                <w:sz w:val="24"/>
              </w:rPr>
              <w:t>生成的映射关系应支持多次重新生成，用户可反复调用直至获得满意结果。</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所有AI生成结果均应支持人工手动调整，最终配置以用户确认为准。</w:t>
            </w:r>
          </w:p>
          <w:p>
            <w:pPr>
              <w:pStyle w:val="null3"/>
              <w:jc w:val="both"/>
              <w:outlineLvl w:val="3"/>
            </w:pPr>
            <w:r>
              <w:rPr>
                <w:rFonts w:ascii="仿宋_GB2312" w:hAnsi="仿宋_GB2312" w:cs="仿宋_GB2312" w:eastAsia="仿宋_GB2312"/>
                <w:sz w:val="24"/>
                <w:b/>
              </w:rPr>
              <w:t xml:space="preserve">3.2 </w:t>
            </w:r>
            <w:r>
              <w:rPr>
                <w:rFonts w:ascii="仿宋_GB2312" w:hAnsi="仿宋_GB2312" w:cs="仿宋_GB2312" w:eastAsia="仿宋_GB2312"/>
                <w:sz w:val="24"/>
                <w:b/>
              </w:rPr>
              <w:t>数字服务运营与决策支撑体系</w:t>
            </w:r>
          </w:p>
          <w:p>
            <w:pPr>
              <w:pStyle w:val="null3"/>
              <w:ind w:firstLine="480"/>
              <w:jc w:val="both"/>
            </w:pPr>
            <w:r>
              <w:rPr>
                <w:rFonts w:ascii="仿宋_GB2312" w:hAnsi="仿宋_GB2312" w:cs="仿宋_GB2312" w:eastAsia="仿宋_GB2312"/>
                <w:sz w:val="24"/>
              </w:rPr>
              <w:t>围绕学校核心业务域，按用户角色与场景需求，通过学校现有数据中台建设一批标准化、统计汇总型、可直接调用的数据查询接口，支持 AI 助手解析并生成自然语言答复，为全校 AI 问答场景提供稳定可靠的数据支撑。本期建设数据查询接口不少于50 个，初步拟定统计汇总类如下接口，具体以项目实施过程中实际调研结果为准。</w:t>
            </w:r>
          </w:p>
          <w:p>
            <w:pPr>
              <w:pStyle w:val="null3"/>
              <w:ind w:firstLine="480"/>
              <w:jc w:val="both"/>
            </w:pPr>
            <w:r>
              <w:rPr>
                <w:rFonts w:ascii="仿宋_GB2312" w:hAnsi="仿宋_GB2312" w:cs="仿宋_GB2312" w:eastAsia="仿宋_GB2312"/>
                <w:sz w:val="24"/>
              </w:rPr>
              <w:t>一卡通消费数据：支持全校、各二级学院、个人三级统计粒度，时间维度覆盖日、周、月、年度；提供教职工消费总额、学生消费总额、分学院消费总额、个人消费明细汇总数据接口。</w:t>
            </w:r>
          </w:p>
          <w:p>
            <w:pPr>
              <w:pStyle w:val="null3"/>
              <w:ind w:firstLine="480"/>
              <w:jc w:val="both"/>
            </w:pPr>
            <w:r>
              <w:rPr>
                <w:rFonts w:ascii="仿宋_GB2312" w:hAnsi="仿宋_GB2312" w:cs="仿宋_GB2312" w:eastAsia="仿宋_GB2312"/>
                <w:sz w:val="24"/>
              </w:rPr>
              <w:t>学生基础信息数据：统计粒度覆盖全校、二级学院、专业、年级；输出学生总人数、分学院 / 专业 / 年级人数、男女人数及占比、各民族人数统计接口。</w:t>
            </w:r>
          </w:p>
          <w:p>
            <w:pPr>
              <w:pStyle w:val="null3"/>
              <w:ind w:firstLine="480"/>
              <w:jc w:val="both"/>
            </w:pPr>
            <w:r>
              <w:rPr>
                <w:rFonts w:ascii="仿宋_GB2312" w:hAnsi="仿宋_GB2312" w:cs="仿宋_GB2312" w:eastAsia="仿宋_GB2312"/>
                <w:sz w:val="24"/>
              </w:rPr>
              <w:t>教职工基础信息数据：统计粒度覆盖全校、职能部门、二级学院；提供教职工总人数、学历分布、年龄分布、职称分布、性别分布统计接口。</w:t>
            </w:r>
          </w:p>
          <w:p>
            <w:pPr>
              <w:pStyle w:val="null3"/>
              <w:ind w:firstLine="480"/>
              <w:jc w:val="both"/>
            </w:pPr>
            <w:r>
              <w:rPr>
                <w:rFonts w:ascii="仿宋_GB2312" w:hAnsi="仿宋_GB2312" w:cs="仿宋_GB2312" w:eastAsia="仿宋_GB2312"/>
                <w:sz w:val="24"/>
              </w:rPr>
              <w:t>综测数据：提供综测总成绩、综测加分分项明细、综测基础分相关查询接口，支持按学院、专业、班级、学年筛选汇总。</w:t>
            </w:r>
          </w:p>
          <w:p>
            <w:pPr>
              <w:pStyle w:val="null3"/>
              <w:ind w:firstLine="480"/>
              <w:jc w:val="both"/>
            </w:pPr>
            <w:r>
              <w:rPr>
                <w:rFonts w:ascii="仿宋_GB2312" w:hAnsi="仿宋_GB2312" w:cs="仿宋_GB2312" w:eastAsia="仿宋_GB2312"/>
                <w:sz w:val="24"/>
              </w:rPr>
              <w:t>课表数据：教职工课表，当日、本周、本学期课表明细、按学年汇总授课总量查询接口；学生课表，当日、本周、本学期班级 / 个人课表查询接口。</w:t>
            </w:r>
          </w:p>
          <w:p>
            <w:pPr>
              <w:pStyle w:val="null3"/>
              <w:ind w:firstLine="480"/>
              <w:jc w:val="both"/>
            </w:pPr>
            <w:r>
              <w:rPr>
                <w:rFonts w:ascii="仿宋_GB2312" w:hAnsi="仿宋_GB2312" w:cs="仿宋_GB2312" w:eastAsia="仿宋_GB2312"/>
                <w:sz w:val="24"/>
              </w:rPr>
              <w:t>请假数据：教职工请假，全校、部门、学院维度请假人次、时长、类型统计接口；学生请假：全校、学院、专业、班级维度请假数据统计接口。</w:t>
            </w:r>
          </w:p>
          <w:p>
            <w:pPr>
              <w:pStyle w:val="null3"/>
              <w:ind w:firstLine="480"/>
              <w:jc w:val="both"/>
            </w:pPr>
            <w:r>
              <w:rPr>
                <w:rFonts w:ascii="仿宋_GB2312" w:hAnsi="仿宋_GB2312" w:cs="仿宋_GB2312" w:eastAsia="仿宋_GB2312"/>
                <w:sz w:val="24"/>
              </w:rPr>
              <w:t>打卡签到数据：教职工打卡，全校、部门、学院出勤、迟到、缺卡统计接口；学生打卡：全校、学院、专业、班级签到出勤汇总查询接口。</w:t>
            </w:r>
          </w:p>
          <w:p>
            <w:pPr>
              <w:pStyle w:val="null3"/>
              <w:ind w:firstLine="480"/>
              <w:jc w:val="both"/>
            </w:pPr>
            <w:r>
              <w:rPr>
                <w:rFonts w:ascii="仿宋_GB2312" w:hAnsi="仿宋_GB2312" w:cs="仿宋_GB2312" w:eastAsia="仿宋_GB2312"/>
                <w:sz w:val="24"/>
              </w:rPr>
              <w:t>教职工积分数据：支持全校、部门、学院、个人四级粒度，提供积分总额、积分明细、年度积分汇总查询接口。</w:t>
            </w:r>
          </w:p>
          <w:p>
            <w:pPr>
              <w:pStyle w:val="null3"/>
              <w:ind w:firstLine="480"/>
              <w:jc w:val="both"/>
            </w:pPr>
            <w:r>
              <w:rPr>
                <w:rFonts w:ascii="仿宋_GB2312" w:hAnsi="仿宋_GB2312" w:cs="仿宋_GB2312" w:eastAsia="仿宋_GB2312"/>
                <w:sz w:val="24"/>
              </w:rPr>
              <w:t xml:space="preserve">OA </w:t>
            </w:r>
            <w:r>
              <w:rPr>
                <w:rFonts w:ascii="仿宋_GB2312" w:hAnsi="仿宋_GB2312" w:cs="仿宋_GB2312" w:eastAsia="仿宋_GB2312"/>
                <w:sz w:val="24"/>
              </w:rPr>
              <w:t>办公数据：按全校、部门、学院维度，提供公文发送量、邮件发送量、流程审批量统计查询接口。</w:t>
            </w:r>
          </w:p>
          <w:p>
            <w:pPr>
              <w:pStyle w:val="null3"/>
              <w:ind w:firstLine="480"/>
              <w:jc w:val="both"/>
            </w:pPr>
            <w:r>
              <w:rPr>
                <w:rFonts w:ascii="仿宋_GB2312" w:hAnsi="仿宋_GB2312" w:cs="仿宋_GB2312" w:eastAsia="仿宋_GB2312"/>
                <w:sz w:val="24"/>
              </w:rPr>
              <w:t>师生组织架构基础数据：搭建标准关联数据表，包含学院、专业、年级、班级、班主任工号、辅导员工号映射关系。数据来源：组织架构数据从企业微信抽取，班级与班主任 / 辅导员关联关系取自现有数据中台，需要手动编程匹配完成多源数据关联。</w:t>
            </w:r>
          </w:p>
          <w:p>
            <w:pPr>
              <w:pStyle w:val="null3"/>
              <w:jc w:val="both"/>
              <w:outlineLvl w:val="3"/>
            </w:pPr>
            <w:r>
              <w:rPr>
                <w:rFonts w:ascii="仿宋_GB2312" w:hAnsi="仿宋_GB2312" w:cs="仿宋_GB2312" w:eastAsia="仿宋_GB2312"/>
                <w:sz w:val="24"/>
                <w:b/>
              </w:rPr>
              <w:t>3.3</w:t>
            </w:r>
            <w:r>
              <w:rPr>
                <w:rFonts w:ascii="仿宋_GB2312" w:hAnsi="仿宋_GB2312" w:cs="仿宋_GB2312" w:eastAsia="仿宋_GB2312"/>
                <w:sz w:val="24"/>
                <w:b/>
              </w:rPr>
              <w:t>一体化数据能力构建</w:t>
            </w:r>
          </w:p>
          <w:p>
            <w:pPr>
              <w:pStyle w:val="null3"/>
              <w:jc w:val="both"/>
              <w:outlineLvl w:val="4"/>
            </w:pPr>
            <w:r>
              <w:rPr>
                <w:rFonts w:ascii="仿宋_GB2312" w:hAnsi="仿宋_GB2312" w:cs="仿宋_GB2312" w:eastAsia="仿宋_GB2312"/>
                <w:sz w:val="24"/>
                <w:b/>
                <w:color w:val="2E74B5"/>
              </w:rPr>
              <w:t xml:space="preserve">3.3.1 </w:t>
            </w:r>
            <w:r>
              <w:rPr>
                <w:rFonts w:ascii="仿宋_GB2312" w:hAnsi="仿宋_GB2312" w:cs="仿宋_GB2312" w:eastAsia="仿宋_GB2312"/>
                <w:sz w:val="24"/>
                <w:b/>
                <w:color w:val="2E74B5"/>
              </w:rPr>
              <w:t>全域数据服务供给体系建设</w:t>
            </w:r>
          </w:p>
          <w:p>
            <w:pPr>
              <w:pStyle w:val="null3"/>
              <w:ind w:firstLine="480"/>
              <w:jc w:val="both"/>
            </w:pPr>
            <w:r>
              <w:rPr>
                <w:rFonts w:ascii="仿宋_GB2312" w:hAnsi="仿宋_GB2312" w:cs="仿宋_GB2312" w:eastAsia="仿宋_GB2312"/>
                <w:sz w:val="24"/>
              </w:rPr>
              <w:t>面向各职能部门、二级学院数据责任教师、业务管理员、全校师生，建设一站式、自助式、可视化数据服务体系，实现数据 “好找、好用、好管、好共享”，全面提升数据服务能力与业务支撑效率。</w:t>
            </w:r>
          </w:p>
          <w:p>
            <w:pPr>
              <w:pStyle w:val="null3"/>
              <w:jc w:val="both"/>
              <w:outlineLvl w:val="5"/>
            </w:pPr>
            <w:r>
              <w:rPr>
                <w:rFonts w:ascii="仿宋_GB2312" w:hAnsi="仿宋_GB2312" w:cs="仿宋_GB2312" w:eastAsia="仿宋_GB2312"/>
                <w:sz w:val="24"/>
                <w:b/>
              </w:rPr>
              <w:t>（1）开发者数据能力</w:t>
            </w:r>
          </w:p>
          <w:p>
            <w:pPr>
              <w:pStyle w:val="null3"/>
              <w:ind w:firstLine="480"/>
              <w:jc w:val="both"/>
            </w:pPr>
            <w:r>
              <w:rPr>
                <w:rFonts w:ascii="仿宋_GB2312" w:hAnsi="仿宋_GB2312" w:cs="仿宋_GB2312" w:eastAsia="仿宋_GB2312"/>
                <w:sz w:val="24"/>
              </w:rPr>
              <w:t>为提升校园应用开发效率、规范数据接口共享与复用，学校面向系统开发者、项目建设人员建设开发者数据服务。建设 API 授权、在线接口文档查询、可视化 API 测试工具、数据内容实时查看功能。</w:t>
            </w:r>
          </w:p>
          <w:p>
            <w:pPr>
              <w:pStyle w:val="null3"/>
              <w:ind w:firstLine="360"/>
              <w:jc w:val="both"/>
            </w:pPr>
            <w:r>
              <w:rPr>
                <w:rFonts w:ascii="仿宋_GB2312" w:hAnsi="仿宋_GB2312" w:cs="仿宋_GB2312" w:eastAsia="仿宋_GB2312"/>
                <w:sz w:val="24"/>
              </w:rPr>
              <w:t xml:space="preserve">1)API </w:t>
            </w:r>
            <w:r>
              <w:rPr>
                <w:rFonts w:ascii="仿宋_GB2312" w:hAnsi="仿宋_GB2312" w:cs="仿宋_GB2312" w:eastAsia="仿宋_GB2312"/>
                <w:sz w:val="24"/>
              </w:rPr>
              <w:t>授权：提供接口权限在线查询与核验，解决接口调用权限不清晰、越权访问、申请流程不透明问题。</w:t>
            </w:r>
          </w:p>
          <w:p>
            <w:pPr>
              <w:pStyle w:val="null3"/>
              <w:ind w:firstLine="360"/>
              <w:jc w:val="both"/>
            </w:pPr>
            <w:r>
              <w:rPr>
                <w:rFonts w:ascii="仿宋_GB2312" w:hAnsi="仿宋_GB2312" w:cs="仿宋_GB2312" w:eastAsia="仿宋_GB2312"/>
                <w:sz w:val="24"/>
              </w:rPr>
              <w:t xml:space="preserve">2)API </w:t>
            </w:r>
            <w:r>
              <w:rPr>
                <w:rFonts w:ascii="仿宋_GB2312" w:hAnsi="仿宋_GB2312" w:cs="仿宋_GB2312" w:eastAsia="仿宋_GB2312"/>
                <w:sz w:val="24"/>
              </w:rPr>
              <w:t>接口文档使用：提供标准化、可视化接口文档查阅服务，解决开发人员对接无依据、接口参数不明确、沟通成本高问题。</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▲API 测试：支持在线调试、参数校验、结果返回，解决接口联调复杂、测试环境缺失、开发效率低问题（提供相关证明材料）。</w:t>
            </w:r>
          </w:p>
          <w:p>
            <w:pPr>
              <w:pStyle w:val="null3"/>
              <w:ind w:firstLine="360"/>
              <w:jc w:val="both"/>
            </w:pPr>
            <w:r>
              <w:rPr>
                <w:rFonts w:ascii="仿宋_GB2312" w:hAnsi="仿宋_GB2312" w:cs="仿宋_GB2312" w:eastAsia="仿宋_GB2312"/>
                <w:sz w:val="24"/>
              </w:rPr>
              <w:t xml:space="preserve">4)API </w:t>
            </w:r>
            <w:r>
              <w:rPr>
                <w:rFonts w:ascii="仿宋_GB2312" w:hAnsi="仿宋_GB2312" w:cs="仿宋_GB2312" w:eastAsia="仿宋_GB2312"/>
                <w:sz w:val="24"/>
              </w:rPr>
              <w:t>数据内容查看：支持接口返回数据预览与字段说明，解决开发过程中数据结构不明确、对接调试困难问题。</w:t>
            </w:r>
          </w:p>
          <w:p>
            <w:pPr>
              <w:pStyle w:val="null3"/>
              <w:jc w:val="both"/>
              <w:outlineLvl w:val="5"/>
            </w:pPr>
            <w:r>
              <w:rPr>
                <w:rFonts w:ascii="仿宋_GB2312" w:hAnsi="仿宋_GB2312" w:cs="仿宋_GB2312" w:eastAsia="仿宋_GB2312"/>
                <w:sz w:val="24"/>
                <w:b/>
              </w:rPr>
              <w:t>（2）业务部门数据责任人数据能力</w:t>
            </w:r>
          </w:p>
          <w:p>
            <w:pPr>
              <w:pStyle w:val="null3"/>
              <w:ind w:firstLine="360"/>
              <w:jc w:val="both"/>
            </w:pPr>
            <w:r>
              <w:rPr>
                <w:rFonts w:ascii="仿宋_GB2312" w:hAnsi="仿宋_GB2312" w:cs="仿宋_GB2312" w:eastAsia="仿宋_GB2312"/>
                <w:sz w:val="24"/>
              </w:rPr>
              <w:t>强化业务部门数据主体责任，提升数据自主管理、自助服务与合规治理水平，学校面向各部门数据责任人建设一体化数据服务体系。</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建设集中式数据工作台，实现数据质量预警、待办事项处理、申请消息提醒、任务进度跟踪与个性化配置一站式办结；</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▲依托主题数据检索服务实现按部门、主题、系统分层查询，支持精准检索、收藏、预览与下载，满足业务人员高效用数需求（提供相关证明材料）；</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通过数据质量常态监管实现自动检测、问题定位、报告生成与排名公示，保障数据标准规范；</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▲建设无源数据采集服务，为缺乏业务系统管理的线下数据提供在线管理的渠道，实现线下数据与临时统计数据线上化填报、审核与入库管理（提供相关证明材料）；</w:t>
            </w:r>
          </w:p>
          <w:p>
            <w:pPr>
              <w:pStyle w:val="null3"/>
              <w:ind w:firstLine="360"/>
              <w:jc w:val="both"/>
            </w:pPr>
            <w:r>
              <w:rPr>
                <w:rFonts w:ascii="仿宋_GB2312" w:hAnsi="仿宋_GB2312" w:cs="仿宋_GB2312" w:eastAsia="仿宋_GB2312"/>
                <w:sz w:val="24"/>
              </w:rPr>
              <w:t>5)</w:t>
            </w:r>
            <w:r>
              <w:rPr>
                <w:rFonts w:ascii="仿宋_GB2312" w:hAnsi="仿宋_GB2312" w:cs="仿宋_GB2312" w:eastAsia="仿宋_GB2312"/>
                <w:sz w:val="24"/>
              </w:rPr>
              <w:t>提供数据确权变更服务明确数据归属部门、管理责任与变更流程；</w:t>
            </w:r>
          </w:p>
          <w:p>
            <w:pPr>
              <w:pStyle w:val="null3"/>
              <w:ind w:firstLine="360"/>
              <w:jc w:val="both"/>
            </w:pPr>
            <w:r>
              <w:rPr>
                <w:rFonts w:ascii="仿宋_GB2312" w:hAnsi="仿宋_GB2312" w:cs="仿宋_GB2312" w:eastAsia="仿宋_GB2312"/>
                <w:sz w:val="24"/>
              </w:rPr>
              <w:t>6)</w:t>
            </w:r>
            <w:r>
              <w:rPr>
                <w:rFonts w:ascii="仿宋_GB2312" w:hAnsi="仿宋_GB2312" w:cs="仿宋_GB2312" w:eastAsia="仿宋_GB2312"/>
                <w:sz w:val="24"/>
              </w:rPr>
              <w:t>提供参考文献服务提供标准规范、制度手册与治理指引。</w:t>
            </w:r>
          </w:p>
          <w:p>
            <w:pPr>
              <w:pStyle w:val="null3"/>
              <w:ind w:firstLine="360"/>
              <w:jc w:val="both"/>
            </w:pPr>
            <w:r>
              <w:rPr>
                <w:rFonts w:ascii="仿宋_GB2312" w:hAnsi="仿宋_GB2312" w:cs="仿宋_GB2312" w:eastAsia="仿宋_GB2312"/>
                <w:sz w:val="24"/>
              </w:rPr>
              <w:t>7)</w:t>
            </w:r>
            <w:r>
              <w:rPr>
                <w:rFonts w:ascii="仿宋_GB2312" w:hAnsi="仿宋_GB2312" w:cs="仿宋_GB2312" w:eastAsia="仿宋_GB2312"/>
                <w:sz w:val="24"/>
              </w:rPr>
              <w:t>提供标准化数据子类查询申请服务，完整展示数据子类基础信息、元数据、引用关系、数据溯源、UC 矩阵、ER 图、采标明细等内容，支持检索、收藏、下载与线上申请，实现接口资源可查、可用、可测、可追溯。解决数据来源不明、口径不统一、溯源困难、跨部门申请流程繁琐等问题，用于业务部门数据查询、报表制作、跨部门数据申请与数据核对等场景。</w:t>
            </w:r>
          </w:p>
          <w:p>
            <w:pPr>
              <w:pStyle w:val="null3"/>
              <w:ind w:firstLine="360"/>
              <w:jc w:val="both"/>
            </w:pPr>
            <w:r>
              <w:rPr>
                <w:rFonts w:ascii="仿宋_GB2312" w:hAnsi="仿宋_GB2312" w:cs="仿宋_GB2312" w:eastAsia="仿宋_GB2312"/>
                <w:sz w:val="24"/>
              </w:rPr>
              <w:t>8)</w:t>
            </w:r>
            <w:r>
              <w:rPr>
                <w:rFonts w:ascii="仿宋_GB2312" w:hAnsi="仿宋_GB2312" w:cs="仿宋_GB2312" w:eastAsia="仿宋_GB2312"/>
                <w:sz w:val="24"/>
              </w:rPr>
              <w:t>▲支持展示数据子类的引用信息，包括但不限于：子类配置的API信息、数据资源目录、质量规则信息，用户可直接申请使用API和数据资源目录，无需跳转至其他管理页面（提供相关证明材料）。</w:t>
            </w:r>
          </w:p>
          <w:p>
            <w:pPr>
              <w:pStyle w:val="null3"/>
              <w:jc w:val="both"/>
              <w:outlineLvl w:val="5"/>
            </w:pPr>
            <w:r>
              <w:rPr>
                <w:rFonts w:ascii="仿宋_GB2312" w:hAnsi="仿宋_GB2312" w:cs="仿宋_GB2312" w:eastAsia="仿宋_GB2312"/>
                <w:sz w:val="24"/>
                <w:b/>
              </w:rPr>
              <w:t>（3）业务部门管理者数据能力</w:t>
            </w:r>
          </w:p>
          <w:p>
            <w:pPr>
              <w:pStyle w:val="null3"/>
              <w:ind w:firstLine="360"/>
              <w:jc w:val="both"/>
            </w:pPr>
            <w:r>
              <w:rPr>
                <w:rFonts w:ascii="仿宋_GB2312" w:hAnsi="仿宋_GB2312" w:cs="仿宋_GB2312" w:eastAsia="仿宋_GB2312"/>
                <w:sz w:val="24"/>
              </w:rPr>
              <w:t>提供</w:t>
            </w:r>
            <w:r>
              <w:rPr>
                <w:rFonts w:ascii="仿宋_GB2312" w:hAnsi="仿宋_GB2312" w:cs="仿宋_GB2312" w:eastAsia="仿宋_GB2312"/>
                <w:sz w:val="24"/>
                <w:b/>
              </w:rPr>
              <w:t>数据地图</w:t>
            </w:r>
            <w:r>
              <w:rPr>
                <w:rFonts w:ascii="仿宋_GB2312" w:hAnsi="仿宋_GB2312" w:cs="仿宋_GB2312" w:eastAsia="仿宋_GB2312"/>
                <w:sz w:val="24"/>
              </w:rPr>
              <w:t>支持纵观全单位的数据资产及数据治理情况。记录并展示数据产生、数据采集/存储、数据治理、数据应用的全过程；</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▲可以展示用户所在部门数据地图和全校数据地图信息（提供第三方检测机构出具的相关功能证明报告佐证）。</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可切换查看部门（用户所属部门或负责岗位部门）地图和学校地图两大模块，支持查看本单位数据流入部门数、数据流入应用数；</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多层级图形化展示数据的全生命周期：该单位建设的信息化应用明细，采集到的元数据表和资源代码明细，通过以上元数据表和资源代码映射到数据中心的执行模型及所涉及的业务领域、执行代码及所涉及的业务领域明细，以上执行模型/执行代码进行服务治理、质量治理、安全治理；最终服务到的应用清单（提供相关证明材料）。</w:t>
            </w:r>
          </w:p>
          <w:p>
            <w:pPr>
              <w:pStyle w:val="null3"/>
              <w:ind w:firstLine="360"/>
              <w:jc w:val="both"/>
            </w:pPr>
            <w:r>
              <w:rPr>
                <w:rFonts w:ascii="仿宋_GB2312" w:hAnsi="仿宋_GB2312" w:cs="仿宋_GB2312" w:eastAsia="仿宋_GB2312"/>
                <w:sz w:val="24"/>
              </w:rPr>
              <w:t>提供</w:t>
            </w:r>
            <w:r>
              <w:rPr>
                <w:rFonts w:ascii="仿宋_GB2312" w:hAnsi="仿宋_GB2312" w:cs="仿宋_GB2312" w:eastAsia="仿宋_GB2312"/>
                <w:sz w:val="24"/>
                <w:b/>
              </w:rPr>
              <w:t>数据看板</w:t>
            </w:r>
            <w:r>
              <w:rPr>
                <w:rFonts w:ascii="仿宋_GB2312" w:hAnsi="仿宋_GB2312" w:cs="仿宋_GB2312" w:eastAsia="仿宋_GB2312"/>
                <w:sz w:val="24"/>
              </w:rPr>
              <w:t>让管理者一目了然掌握本部门数据治理成效、数据质量状况与服务运行状态。</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支持查看执行模型总体概况统计、执行代码总体概况统计。</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支持实时统计并展示数据资源目录的总体概况、最受欢迎资源目录TOP10榜单。</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支持实时统计并展示数据服务的总体概况、最受欢迎数据服务TOP10榜单。</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支持对数据覆盖率进行动态统计，</w:t>
            </w:r>
          </w:p>
          <w:p>
            <w:pPr>
              <w:pStyle w:val="null3"/>
              <w:ind w:firstLine="360"/>
              <w:jc w:val="both"/>
            </w:pPr>
            <w:r>
              <w:rPr>
                <w:rFonts w:ascii="仿宋_GB2312" w:hAnsi="仿宋_GB2312" w:cs="仿宋_GB2312" w:eastAsia="仿宋_GB2312"/>
                <w:sz w:val="24"/>
              </w:rPr>
              <w:t>5)</w:t>
            </w:r>
            <w:r>
              <w:rPr>
                <w:rFonts w:ascii="仿宋_GB2312" w:hAnsi="仿宋_GB2312" w:cs="仿宋_GB2312" w:eastAsia="仿宋_GB2312"/>
                <w:sz w:val="24"/>
              </w:rPr>
              <w:t>支持灵活统计最近一周每日的数据交换使用量、API调用次数、数据下载次数，实时反映数据活跃度变化。</w:t>
            </w:r>
          </w:p>
          <w:p>
            <w:pPr>
              <w:pStyle w:val="null3"/>
              <w:ind w:firstLine="360"/>
              <w:jc w:val="both"/>
            </w:pPr>
            <w:r>
              <w:rPr>
                <w:rFonts w:ascii="仿宋_GB2312" w:hAnsi="仿宋_GB2312" w:cs="仿宋_GB2312" w:eastAsia="仿宋_GB2312"/>
                <w:sz w:val="24"/>
              </w:rPr>
              <w:t>6)</w:t>
            </w:r>
            <w:r>
              <w:rPr>
                <w:rFonts w:ascii="仿宋_GB2312" w:hAnsi="仿宋_GB2312" w:cs="仿宋_GB2312" w:eastAsia="仿宋_GB2312"/>
                <w:sz w:val="24"/>
              </w:rPr>
              <w:t>支持按周、月、年三种维度灵活统计并展示人工维护、数据交换每日的数据更新总条数，便于跟踪数据更新频次。</w:t>
            </w:r>
          </w:p>
          <w:p>
            <w:pPr>
              <w:pStyle w:val="null3"/>
              <w:ind w:firstLine="360"/>
              <w:jc w:val="both"/>
            </w:pPr>
            <w:r>
              <w:rPr>
                <w:rFonts w:ascii="仿宋_GB2312" w:hAnsi="仿宋_GB2312" w:cs="仿宋_GB2312" w:eastAsia="仿宋_GB2312"/>
                <w:sz w:val="24"/>
              </w:rPr>
              <w:t>7)</w:t>
            </w:r>
            <w:r>
              <w:rPr>
                <w:rFonts w:ascii="仿宋_GB2312" w:hAnsi="仿宋_GB2312" w:cs="仿宋_GB2312" w:eastAsia="仿宋_GB2312"/>
                <w:sz w:val="24"/>
              </w:rPr>
              <w:t>支持灵活展示数据覆盖率、数据活跃度、数据更新频次三个维度TOP10的执行模型，助力深度分析模型使用表现。</w:t>
            </w:r>
          </w:p>
          <w:p>
            <w:pPr>
              <w:pStyle w:val="null3"/>
              <w:ind w:firstLine="360"/>
              <w:jc w:val="both"/>
            </w:pPr>
            <w:r>
              <w:rPr>
                <w:rFonts w:ascii="仿宋_GB2312" w:hAnsi="仿宋_GB2312" w:cs="仿宋_GB2312" w:eastAsia="仿宋_GB2312"/>
                <w:sz w:val="24"/>
              </w:rPr>
              <w:t>8)</w:t>
            </w:r>
            <w:r>
              <w:rPr>
                <w:rFonts w:ascii="仿宋_GB2312" w:hAnsi="仿宋_GB2312" w:cs="仿宋_GB2312" w:eastAsia="仿宋_GB2312"/>
                <w:sz w:val="24"/>
              </w:rPr>
              <w:t>支持查看数据质量总体概况，支持展示问题率、问题严重等级分布，清晰展示数据问题的严重程度分类及其占比。</w:t>
            </w:r>
          </w:p>
          <w:p>
            <w:pPr>
              <w:pStyle w:val="null3"/>
              <w:ind w:firstLine="360"/>
              <w:jc w:val="both"/>
            </w:pPr>
            <w:r>
              <w:rPr>
                <w:rFonts w:ascii="仿宋_GB2312" w:hAnsi="仿宋_GB2312" w:cs="仿宋_GB2312" w:eastAsia="仿宋_GB2312"/>
                <w:sz w:val="24"/>
              </w:rPr>
              <w:t>9)</w:t>
            </w:r>
            <w:r>
              <w:rPr>
                <w:rFonts w:ascii="仿宋_GB2312" w:hAnsi="仿宋_GB2312" w:cs="仿宋_GB2312" w:eastAsia="仿宋_GB2312"/>
                <w:sz w:val="24"/>
              </w:rPr>
              <w:t>▲支持查看质量检测作业统计概况，包括质量作业总数、异常作业数量、警告作业数量、质量分析报告总数、质量问题报告总数，便于用户了解检测任务的执行状态与异常情况（提供相关证明材料）。</w:t>
            </w:r>
          </w:p>
          <w:p>
            <w:pPr>
              <w:pStyle w:val="null3"/>
              <w:ind w:firstLine="360"/>
              <w:jc w:val="both"/>
            </w:pPr>
            <w:r>
              <w:rPr>
                <w:rFonts w:ascii="仿宋_GB2312" w:hAnsi="仿宋_GB2312" w:cs="仿宋_GB2312" w:eastAsia="仿宋_GB2312"/>
                <w:sz w:val="24"/>
              </w:rPr>
              <w:t>10)</w:t>
            </w:r>
            <w:r>
              <w:rPr>
                <w:rFonts w:ascii="仿宋_GB2312" w:hAnsi="仿宋_GB2312" w:cs="仿宋_GB2312" w:eastAsia="仿宋_GB2312"/>
                <w:sz w:val="24"/>
              </w:rPr>
              <w:t>支持展示检测明细统计，涵盖检测情况、检测规则、质量概况、严重程度分布以及问题处理状态，支持用户深入分析检测结果。</w:t>
            </w:r>
          </w:p>
          <w:p>
            <w:pPr>
              <w:pStyle w:val="null3"/>
              <w:ind w:firstLine="360"/>
              <w:jc w:val="both"/>
            </w:pPr>
            <w:r>
              <w:rPr>
                <w:rFonts w:ascii="仿宋_GB2312" w:hAnsi="仿宋_GB2312" w:cs="仿宋_GB2312" w:eastAsia="仿宋_GB2312"/>
                <w:sz w:val="24"/>
              </w:rPr>
              <w:t>11)</w:t>
            </w:r>
            <w:r>
              <w:rPr>
                <w:rFonts w:ascii="仿宋_GB2312" w:hAnsi="仿宋_GB2312" w:cs="仿宋_GB2312" w:eastAsia="仿宋_GB2312"/>
                <w:sz w:val="24"/>
              </w:rPr>
              <w:t>支持动态展示数据子类质量得分排名，清晰展示各子类的排名、数据子类名称、质量得分、检测数据总量及问题数据量，便于识别质量较差的数据子类。</w:t>
            </w:r>
          </w:p>
          <w:p>
            <w:pPr>
              <w:pStyle w:val="null3"/>
              <w:jc w:val="both"/>
              <w:outlineLvl w:val="4"/>
            </w:pPr>
            <w:r>
              <w:rPr>
                <w:rFonts w:ascii="仿宋_GB2312" w:hAnsi="仿宋_GB2312" w:cs="仿宋_GB2312" w:eastAsia="仿宋_GB2312"/>
                <w:sz w:val="24"/>
                <w:b/>
                <w:color w:val="2E74B5"/>
              </w:rPr>
              <w:t>3.3.2</w:t>
            </w:r>
            <w:r>
              <w:rPr>
                <w:rFonts w:ascii="仿宋_GB2312" w:hAnsi="仿宋_GB2312" w:cs="仿宋_GB2312" w:eastAsia="仿宋_GB2312"/>
                <w:sz w:val="24"/>
                <w:b/>
                <w:color w:val="2E74B5"/>
              </w:rPr>
              <w:t>全周期数据管控机制建设</w:t>
            </w:r>
          </w:p>
          <w:p>
            <w:pPr>
              <w:pStyle w:val="null3"/>
              <w:ind w:firstLine="360"/>
              <w:jc w:val="both"/>
            </w:pPr>
            <w:r>
              <w:rPr>
                <w:rFonts w:ascii="仿宋_GB2312" w:hAnsi="仿宋_GB2312" w:cs="仿宋_GB2312" w:eastAsia="仿宋_GB2312"/>
                <w:sz w:val="24"/>
              </w:rPr>
              <w:t>面向数据管理员、安全管理员，构建覆盖数据接入、集成、质量、安全、溯源、权限、运维的全流程管控体系，实现校园数据可管、可控、可审、可溯。</w:t>
            </w:r>
          </w:p>
          <w:p>
            <w:pPr>
              <w:pStyle w:val="null3"/>
              <w:jc w:val="both"/>
              <w:outlineLvl w:val="5"/>
            </w:pPr>
            <w:r>
              <w:rPr>
                <w:rFonts w:ascii="仿宋_GB2312" w:hAnsi="仿宋_GB2312" w:cs="仿宋_GB2312" w:eastAsia="仿宋_GB2312"/>
                <w:sz w:val="24"/>
                <w:b/>
              </w:rPr>
              <w:t>（1）场景化导航服务</w:t>
            </w:r>
          </w:p>
          <w:p>
            <w:pPr>
              <w:pStyle w:val="null3"/>
              <w:ind w:firstLine="360"/>
              <w:jc w:val="both"/>
            </w:pPr>
            <w:r>
              <w:rPr>
                <w:rFonts w:ascii="仿宋_GB2312" w:hAnsi="仿宋_GB2312" w:cs="仿宋_GB2312" w:eastAsia="仿宋_GB2312"/>
                <w:sz w:val="24"/>
              </w:rPr>
              <w:t>▲按数据治理业务流程提供一站式引导操作，包括创建校标、元数据采集、有源 / 无源数据采集、数据确权、数据开放、质量提升、安全保障、数据溯源、统计分析、统一权限管理等场景化步骤指引，降低操作门槛，提升治理效率（提供相关证明材料）。</w:t>
            </w:r>
          </w:p>
          <w:p>
            <w:pPr>
              <w:pStyle w:val="null3"/>
              <w:jc w:val="both"/>
              <w:outlineLvl w:val="5"/>
            </w:pPr>
            <w:r>
              <w:rPr>
                <w:rFonts w:ascii="仿宋_GB2312" w:hAnsi="仿宋_GB2312" w:cs="仿宋_GB2312" w:eastAsia="仿宋_GB2312"/>
                <w:sz w:val="24"/>
                <w:b/>
              </w:rPr>
              <w:t>（2）湖仓一体管理管理</w:t>
            </w:r>
          </w:p>
          <w:p>
            <w:pPr>
              <w:pStyle w:val="null3"/>
              <w:ind w:firstLine="360"/>
              <w:jc w:val="both"/>
            </w:pPr>
            <w:r>
              <w:rPr>
                <w:rFonts w:ascii="仿宋_GB2312" w:hAnsi="仿宋_GB2312" w:cs="仿宋_GB2312" w:eastAsia="仿宋_GB2312"/>
                <w:sz w:val="24"/>
              </w:rPr>
              <w:t>在现有数据中台基础上，建设湖仓一体数据管理体系，融合数据湖的海量原始数据存储能力与数据仓库的结构化建模、高性能查询能力，实现原始数据、清洗数据、主题数据、指标数据的统一管理。</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▲提供公共属性、数仓模型、指标计算、指标发布的管理（提供第三方检测机构出具的相关功能证明报告佐证）。</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支持基于主流数据库数据类型管理，包括但不限于 Oracle、MySQL、Kingbase、Doris的常见基础数据类型，如字符串、小数、日期、整数、二进制、大文本等。支持用户自定义数据类型，可进行新增、修改、删除和查询操作。支持数据域的新增、修改、删除和查询操作。</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预置所有数据域的安全属性信息（安全等级、共享程度、重要程度、敏感程度），供用户在元数据或安全分类中同步使用。</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支持数仓模型管理，系统内置四个常用的数据维度，分别为业务系统、贴源层、数据中心和数据仓库。</w:t>
            </w:r>
          </w:p>
          <w:p>
            <w:pPr>
              <w:pStyle w:val="null3"/>
              <w:ind w:firstLine="360"/>
              <w:jc w:val="both"/>
            </w:pPr>
            <w:r>
              <w:rPr>
                <w:rFonts w:ascii="仿宋_GB2312" w:hAnsi="仿宋_GB2312" w:cs="仿宋_GB2312" w:eastAsia="仿宋_GB2312"/>
                <w:sz w:val="24"/>
              </w:rPr>
              <w:t>5)</w:t>
            </w:r>
            <w:r>
              <w:rPr>
                <w:rFonts w:ascii="仿宋_GB2312" w:hAnsi="仿宋_GB2312" w:cs="仿宋_GB2312" w:eastAsia="仿宋_GB2312"/>
                <w:sz w:val="24"/>
              </w:rPr>
              <w:t>支持管理第三方业务系统的数据源，支持查看业务系统中的表和视图。业务系统数据表支持查看表结构、表数据、索引、外键、数据库代码等信息。</w:t>
            </w:r>
          </w:p>
          <w:p>
            <w:pPr>
              <w:pStyle w:val="null3"/>
              <w:ind w:firstLine="360"/>
              <w:jc w:val="both"/>
            </w:pPr>
            <w:r>
              <w:rPr>
                <w:rFonts w:ascii="仿宋_GB2312" w:hAnsi="仿宋_GB2312" w:cs="仿宋_GB2312" w:eastAsia="仿宋_GB2312"/>
                <w:sz w:val="24"/>
              </w:rPr>
              <w:t>6)</w:t>
            </w:r>
            <w:r>
              <w:rPr>
                <w:rFonts w:ascii="仿宋_GB2312" w:hAnsi="仿宋_GB2312" w:cs="仿宋_GB2312" w:eastAsia="仿宋_GB2312"/>
                <w:sz w:val="24"/>
              </w:rPr>
              <w:t>可维护主题域，并支持业务系统数据按照主题域模型进行管理。</w:t>
            </w:r>
          </w:p>
          <w:p>
            <w:pPr>
              <w:pStyle w:val="null3"/>
              <w:ind w:firstLine="360"/>
              <w:jc w:val="both"/>
            </w:pPr>
            <w:r>
              <w:rPr>
                <w:rFonts w:ascii="仿宋_GB2312" w:hAnsi="仿宋_GB2312" w:cs="仿宋_GB2312" w:eastAsia="仿宋_GB2312"/>
                <w:sz w:val="24"/>
              </w:rPr>
              <w:t>7)</w:t>
            </w:r>
            <w:r>
              <w:rPr>
                <w:rFonts w:ascii="仿宋_GB2312" w:hAnsi="仿宋_GB2312" w:cs="仿宋_GB2312" w:eastAsia="仿宋_GB2312"/>
                <w:sz w:val="24"/>
              </w:rPr>
              <w:t>支持业务系统数据的贴源层管理，按照数据源分类展示入湖业务系统信息。</w:t>
            </w:r>
          </w:p>
          <w:p>
            <w:pPr>
              <w:pStyle w:val="null3"/>
              <w:ind w:firstLine="360"/>
              <w:jc w:val="both"/>
            </w:pPr>
            <w:r>
              <w:rPr>
                <w:rFonts w:ascii="仿宋_GB2312" w:hAnsi="仿宋_GB2312" w:cs="仿宋_GB2312" w:eastAsia="仿宋_GB2312"/>
                <w:sz w:val="24"/>
              </w:rPr>
              <w:t>8)</w:t>
            </w:r>
            <w:r>
              <w:rPr>
                <w:rFonts w:ascii="仿宋_GB2312" w:hAnsi="仿宋_GB2312" w:cs="仿宋_GB2312" w:eastAsia="仿宋_GB2312"/>
                <w:sz w:val="24"/>
              </w:rPr>
              <w:t>▲支持选择应用和数据源进行单表或批量入湖，可进行多选进行整个业务系统全库入湖，也可对业务系统下的单张表或多张表进行入湖。入湖方式支持全量更新、增量同步及全量同步，支持自动分配定时策略，同时支持单个或批量手动调整定时策略（提供相关证明材料）。</w:t>
            </w:r>
          </w:p>
          <w:p>
            <w:pPr>
              <w:pStyle w:val="null3"/>
              <w:ind w:firstLine="360"/>
              <w:jc w:val="both"/>
            </w:pPr>
            <w:r>
              <w:rPr>
                <w:rFonts w:ascii="仿宋_GB2312" w:hAnsi="仿宋_GB2312" w:cs="仿宋_GB2312" w:eastAsia="仿宋_GB2312"/>
                <w:sz w:val="24"/>
              </w:rPr>
              <w:t>9)</w:t>
            </w:r>
            <w:r>
              <w:rPr>
                <w:rFonts w:ascii="仿宋_GB2312" w:hAnsi="仿宋_GB2312" w:cs="仿宋_GB2312" w:eastAsia="仿宋_GB2312"/>
                <w:sz w:val="24"/>
              </w:rPr>
              <w:t>提供入湖日志，展示执行时间、耗时、任务数量及结果，支持查看各阶段详细日志与进度。</w:t>
            </w:r>
          </w:p>
          <w:p>
            <w:pPr>
              <w:pStyle w:val="null3"/>
              <w:ind w:firstLine="360"/>
              <w:jc w:val="both"/>
            </w:pPr>
            <w:r>
              <w:rPr>
                <w:rFonts w:ascii="仿宋_GB2312" w:hAnsi="仿宋_GB2312" w:cs="仿宋_GB2312" w:eastAsia="仿宋_GB2312"/>
                <w:sz w:val="24"/>
              </w:rPr>
              <w:t>10)</w:t>
            </w:r>
            <w:r>
              <w:rPr>
                <w:rFonts w:ascii="仿宋_GB2312" w:hAnsi="仿宋_GB2312" w:cs="仿宋_GB2312" w:eastAsia="仿宋_GB2312"/>
                <w:sz w:val="24"/>
              </w:rPr>
              <w:t>支持对数据中心库的数据表和视图信息进行查看和管理，并支持模糊搜索功能。</w:t>
            </w:r>
          </w:p>
          <w:p>
            <w:pPr>
              <w:pStyle w:val="null3"/>
              <w:ind w:firstLine="360"/>
              <w:jc w:val="both"/>
            </w:pPr>
            <w:r>
              <w:rPr>
                <w:rFonts w:ascii="仿宋_GB2312" w:hAnsi="仿宋_GB2312" w:cs="仿宋_GB2312" w:eastAsia="仿宋_GB2312"/>
                <w:sz w:val="24"/>
              </w:rPr>
              <w:t>11)</w:t>
            </w:r>
            <w:r>
              <w:rPr>
                <w:rFonts w:ascii="仿宋_GB2312" w:hAnsi="仿宋_GB2312" w:cs="仿宋_GB2312" w:eastAsia="仿宋_GB2312"/>
                <w:sz w:val="24"/>
              </w:rPr>
              <w:t>支持对数据仓库进行数据建模，并支持选择数据域，选择数据域后，数据类型、长度等属性可自动带出。</w:t>
            </w:r>
          </w:p>
          <w:p>
            <w:pPr>
              <w:pStyle w:val="null3"/>
              <w:ind w:firstLine="360"/>
              <w:jc w:val="both"/>
            </w:pPr>
            <w:r>
              <w:rPr>
                <w:rFonts w:ascii="仿宋_GB2312" w:hAnsi="仿宋_GB2312" w:cs="仿宋_GB2312" w:eastAsia="仿宋_GB2312"/>
                <w:sz w:val="24"/>
              </w:rPr>
              <w:t>12)</w:t>
            </w:r>
            <w:r>
              <w:rPr>
                <w:rFonts w:ascii="仿宋_GB2312" w:hAnsi="仿宋_GB2312" w:cs="仿宋_GB2312" w:eastAsia="仿宋_GB2312"/>
                <w:sz w:val="24"/>
              </w:rPr>
              <w:t>支持通过页面手动配置或自定义SQL语句，从数据仓库中提取数据资产相关的统计指标，并在页面展示。支持统计指标的新增、查询、查看、修改和删除操作。</w:t>
            </w:r>
          </w:p>
          <w:p>
            <w:pPr>
              <w:pStyle w:val="null3"/>
              <w:ind w:firstLine="360"/>
              <w:jc w:val="both"/>
            </w:pPr>
            <w:r>
              <w:rPr>
                <w:rFonts w:ascii="仿宋_GB2312" w:hAnsi="仿宋_GB2312" w:cs="仿宋_GB2312" w:eastAsia="仿宋_GB2312"/>
                <w:sz w:val="24"/>
              </w:rPr>
              <w:t>13)</w:t>
            </w:r>
            <w:r>
              <w:rPr>
                <w:rFonts w:ascii="仿宋_GB2312" w:hAnsi="仿宋_GB2312" w:cs="仿宋_GB2312" w:eastAsia="仿宋_GB2312"/>
                <w:sz w:val="24"/>
              </w:rPr>
              <w:t>本期数仓模型要求至少完成对教务系统、科研系统、人事系统、积分系统、OA系统、统一身份认证、网办大厅、一卡通、电子班牌、企微、资产系统、财务系统、学工综测等不少于15套系统的按需采集。</w:t>
            </w:r>
          </w:p>
          <w:p>
            <w:pPr>
              <w:pStyle w:val="null3"/>
              <w:jc w:val="both"/>
              <w:outlineLvl w:val="4"/>
            </w:pPr>
            <w:r>
              <w:rPr>
                <w:rFonts w:ascii="仿宋_GB2312" w:hAnsi="仿宋_GB2312" w:cs="仿宋_GB2312" w:eastAsia="仿宋_GB2312"/>
                <w:sz w:val="24"/>
                <w:b/>
                <w:color w:val="2E74B5"/>
              </w:rPr>
              <w:t xml:space="preserve">3.3.3 </w:t>
            </w:r>
            <w:r>
              <w:rPr>
                <w:rFonts w:ascii="仿宋_GB2312" w:hAnsi="仿宋_GB2312" w:cs="仿宋_GB2312" w:eastAsia="仿宋_GB2312"/>
                <w:sz w:val="24"/>
                <w:b/>
                <w:color w:val="2E74B5"/>
              </w:rPr>
              <w:t>校级数据规范与权责体系建设</w:t>
            </w:r>
          </w:p>
          <w:p>
            <w:pPr>
              <w:pStyle w:val="null3"/>
              <w:ind w:firstLine="480"/>
              <w:jc w:val="both"/>
            </w:pPr>
            <w:r>
              <w:rPr>
                <w:rFonts w:ascii="仿宋_GB2312" w:hAnsi="仿宋_GB2312" w:cs="仿宋_GB2312" w:eastAsia="仿宋_GB2312"/>
                <w:sz w:val="24"/>
              </w:rPr>
              <w:t>配合校方完成数据规范及权责体系的建设，引导、帮助学校建设单位面向校领导、信息中心、各部门数据负责人，建立全校统一的数据标准体系与权责治理机制，并形成最终的规范及管理文档，夯实数字化校园底层基础。</w:t>
            </w:r>
          </w:p>
          <w:p>
            <w:pPr>
              <w:pStyle w:val="null3"/>
              <w:ind w:firstLine="480"/>
              <w:jc w:val="both"/>
            </w:pPr>
            <w:r>
              <w:rPr>
                <w:rFonts w:ascii="仿宋_GB2312" w:hAnsi="仿宋_GB2312" w:cs="仿宋_GB2312" w:eastAsia="仿宋_GB2312"/>
                <w:sz w:val="24"/>
              </w:rPr>
              <w:t>配合学校统一制定学校数据模型标准、代码标准、元数据标准、采标规范、质量规则，形成全校统一数据口径，确保跨系统数据互通、统计一致、报送合规；形成《陕西能源职业技术学院校级数据标准规范2026版》成果文件。</w:t>
            </w:r>
          </w:p>
          <w:p>
            <w:pPr>
              <w:pStyle w:val="null3"/>
              <w:ind w:firstLine="480"/>
              <w:jc w:val="both"/>
            </w:pPr>
            <w:r>
              <w:rPr>
                <w:rFonts w:ascii="仿宋_GB2312" w:hAnsi="仿宋_GB2312" w:cs="仿宋_GB2312" w:eastAsia="仿宋_GB2312"/>
                <w:sz w:val="24"/>
              </w:rPr>
              <w:t>配合学校明确建立 “谁产生、谁负责、谁管理、谁使用” 的权责体系，明确数据归属、更新机制、共享范围、安全责任与管理流程；形成《全校数据权责清单与数据责任分工表》成果文件。</w:t>
            </w:r>
          </w:p>
          <w:p>
            <w:pPr>
              <w:pStyle w:val="null3"/>
              <w:ind w:firstLine="480"/>
              <w:jc w:val="both"/>
            </w:pPr>
            <w:r>
              <w:rPr>
                <w:rFonts w:ascii="仿宋_GB2312" w:hAnsi="仿宋_GB2312" w:cs="仿宋_GB2312" w:eastAsia="仿宋_GB2312"/>
                <w:sz w:val="24"/>
              </w:rPr>
              <w:t>配合学校实现数据确权、审核、发布、变更、监督全流程线上化，形成标准 — 执行 — 监测 — 改进的闭环管理，支撑数据治理常态化运行；形成《数据确权管理办法》与全流程线上监督机制。</w:t>
            </w:r>
          </w:p>
          <w:p>
            <w:pPr>
              <w:pStyle w:val="null3"/>
              <w:ind w:firstLine="480"/>
              <w:jc w:val="both"/>
            </w:pPr>
            <w:r>
              <w:rPr>
                <w:rFonts w:ascii="仿宋_GB2312" w:hAnsi="仿宋_GB2312" w:cs="仿宋_GB2312" w:eastAsia="仿宋_GB2312"/>
                <w:sz w:val="24"/>
              </w:rPr>
              <w:t>配合学校将数据标准、质量、安全、权责纳入制度体系，为双高建设、教学诊改、数据报送、决策分析提供统一规范保障；发布《学校数据治理管理办法》。</w:t>
            </w:r>
          </w:p>
          <w:p>
            <w:pPr>
              <w:pStyle w:val="null3"/>
              <w:jc w:val="both"/>
              <w:outlineLvl w:val="3"/>
            </w:pPr>
            <w:r>
              <w:rPr>
                <w:rFonts w:ascii="仿宋_GB2312" w:hAnsi="仿宋_GB2312" w:cs="仿宋_GB2312" w:eastAsia="仿宋_GB2312"/>
                <w:sz w:val="24"/>
                <w:b/>
              </w:rPr>
              <w:t>3.4</w:t>
            </w:r>
            <w:r>
              <w:rPr>
                <w:rFonts w:ascii="仿宋_GB2312" w:hAnsi="仿宋_GB2312" w:cs="仿宋_GB2312" w:eastAsia="仿宋_GB2312"/>
                <w:sz w:val="24"/>
                <w:b/>
              </w:rPr>
              <w:t>数据安全全生命周期防护</w:t>
            </w:r>
          </w:p>
          <w:p>
            <w:pPr>
              <w:pStyle w:val="null3"/>
              <w:ind w:firstLine="480"/>
              <w:jc w:val="both"/>
            </w:pPr>
            <w:r>
              <w:rPr>
                <w:rFonts w:ascii="仿宋_GB2312" w:hAnsi="仿宋_GB2312" w:cs="仿宋_GB2312" w:eastAsia="仿宋_GB2312"/>
                <w:sz w:val="24"/>
              </w:rPr>
              <w:t>面向校领导、信息中心、安全管理员、业务部门数据责任人、全体师生，构建覆盖数据分类、权限、加密、脱敏、预警、审计、追溯的全流程、立体化、可闭环的数据安全防护体系，全面落实数据安全法规要求，筑牢校园数据安全底线。</w:t>
            </w:r>
          </w:p>
          <w:p>
            <w:pPr>
              <w:pStyle w:val="null3"/>
              <w:jc w:val="both"/>
              <w:outlineLvl w:val="4"/>
            </w:pPr>
            <w:r>
              <w:rPr>
                <w:rFonts w:ascii="仿宋_GB2312" w:hAnsi="仿宋_GB2312" w:cs="仿宋_GB2312" w:eastAsia="仿宋_GB2312"/>
                <w:sz w:val="24"/>
                <w:b/>
                <w:color w:val="2E74B5"/>
              </w:rPr>
              <w:t xml:space="preserve">3.4.1 </w:t>
            </w:r>
            <w:r>
              <w:rPr>
                <w:rFonts w:ascii="仿宋_GB2312" w:hAnsi="仿宋_GB2312" w:cs="仿宋_GB2312" w:eastAsia="仿宋_GB2312"/>
                <w:sz w:val="24"/>
                <w:b/>
                <w:color w:val="2E74B5"/>
              </w:rPr>
              <w:t>数据等级标签化与分级权限管控</w:t>
            </w:r>
          </w:p>
          <w:p>
            <w:pPr>
              <w:pStyle w:val="null3"/>
              <w:ind w:firstLine="480"/>
              <w:jc w:val="both"/>
            </w:pPr>
            <w:r>
              <w:rPr>
                <w:rFonts w:ascii="仿宋_GB2312" w:hAnsi="仿宋_GB2312" w:cs="仿宋_GB2312" w:eastAsia="仿宋_GB2312"/>
                <w:sz w:val="24"/>
              </w:rPr>
              <w:t>依据学校核心业务、敏感信息与安全管理要求，建立全校统一的数据分级分类体系，将教学、学籍、人事、财务、科研、师生隐私等各类数据划分为核心、重要、一般三个安全层级，并配套 1—5 级国家标准安全等级，为每一项数据自动赋予安全标签、分类标识与重要度属性。基于数据等级实施精细化权限管控：核心数据仅限指定岗位人员访问，数据申请、采集、共享、接口调用均执行多级审批流程，同步启用访问限流、异常调用实时预警；一般数据在安全可控前提下简化流程，提升使用效率，同时全程留痕、不可篡改。本功能可实现数据按密级差异化、精准化管控，从源头杜绝未授权访问、越权使用、数据泄露等风险，全面守护师生个人信息与学校核心数据安全，适用于全业务域数据权限管理、敏感数据保护、接口安全管控、数据共享审批等场景。</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▲数据安全管理：可以进行安全功能设置、安全分类设置、数据预警结果查看（提供第三方检测机构出具的相关功能证明报告佐证）。</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预置国家规定的数据安全等级、重要度、敏感程度、共享程度及对应的说明，支持用户自定义编辑说明。</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支持将安全等级、共享程度、敏感程度、重要度进行自由组合，生成规则组。规则组支持启用和停用。</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规则组支持检测数据脱敏、应用加密、存储加密。系统自动进行检测，当数据项命中规则组的安全属性设置，且未进行对应的脱敏或加密，系统会自动发出预警。支持发送预警信息的开启和停用，支持配置生效的功能模块，并支持配置消息推送的方式（提供相关证明材料）。</w:t>
            </w:r>
          </w:p>
          <w:p>
            <w:pPr>
              <w:pStyle w:val="null3"/>
              <w:ind w:firstLine="360"/>
              <w:jc w:val="both"/>
            </w:pPr>
            <w:r>
              <w:rPr>
                <w:rFonts w:ascii="仿宋_GB2312" w:hAnsi="仿宋_GB2312" w:cs="仿宋_GB2312" w:eastAsia="仿宋_GB2312"/>
                <w:sz w:val="24"/>
              </w:rPr>
              <w:t>5)</w:t>
            </w:r>
            <w:r>
              <w:rPr>
                <w:rFonts w:ascii="仿宋_GB2312" w:hAnsi="仿宋_GB2312" w:cs="仿宋_GB2312" w:eastAsia="仿宋_GB2312"/>
                <w:sz w:val="24"/>
              </w:rPr>
              <w:t>对于已开启的规则，支持预警只在其执行“脱敏”或“加密”等特定操作时才发出预警，实现更精细的预警控制。支持查看预警信息的发送记录，包括消息推送方式、消息接收人、消息推送状态、预警时间等。</w:t>
            </w:r>
          </w:p>
          <w:p>
            <w:pPr>
              <w:pStyle w:val="null3"/>
              <w:ind w:firstLine="360"/>
              <w:jc w:val="both"/>
            </w:pPr>
            <w:r>
              <w:rPr>
                <w:rFonts w:ascii="仿宋_GB2312" w:hAnsi="仿宋_GB2312" w:cs="仿宋_GB2312" w:eastAsia="仿宋_GB2312"/>
                <w:sz w:val="24"/>
              </w:rPr>
              <w:t>6)</w:t>
            </w:r>
            <w:r>
              <w:rPr>
                <w:rFonts w:ascii="仿宋_GB2312" w:hAnsi="仿宋_GB2312" w:cs="仿宋_GB2312" w:eastAsia="仿宋_GB2312"/>
                <w:sz w:val="24"/>
              </w:rPr>
              <w:t>支持预置常用的数据应用加密算法，包括SM2，SM4、RSA、AES、RC4、RC5、DES、3DES等，并支持启用和停用算法。</w:t>
            </w:r>
          </w:p>
          <w:p>
            <w:pPr>
              <w:pStyle w:val="null3"/>
              <w:ind w:firstLine="360"/>
              <w:jc w:val="both"/>
            </w:pPr>
            <w:r>
              <w:rPr>
                <w:rFonts w:ascii="仿宋_GB2312" w:hAnsi="仿宋_GB2312" w:cs="仿宋_GB2312" w:eastAsia="仿宋_GB2312"/>
                <w:sz w:val="24"/>
              </w:rPr>
              <w:t>7)</w:t>
            </w:r>
            <w:r>
              <w:rPr>
                <w:rFonts w:ascii="仿宋_GB2312" w:hAnsi="仿宋_GB2312" w:cs="仿宋_GB2312" w:eastAsia="仿宋_GB2312"/>
                <w:sz w:val="24"/>
              </w:rPr>
              <w:t>支持预置常用的数据应用脱敏方式，包括掩码、哈希、加密、随机替换、重排、取整、随机日期、随机数字、时空变异、数字变异、偏移量、取消或删除等，并支持启用或停用脱敏方式。</w:t>
            </w:r>
          </w:p>
          <w:p>
            <w:pPr>
              <w:pStyle w:val="null3"/>
              <w:ind w:firstLine="360"/>
              <w:jc w:val="both"/>
            </w:pPr>
            <w:r>
              <w:rPr>
                <w:rFonts w:ascii="仿宋_GB2312" w:hAnsi="仿宋_GB2312" w:cs="仿宋_GB2312" w:eastAsia="仿宋_GB2312"/>
                <w:sz w:val="24"/>
              </w:rPr>
              <w:t>8)</w:t>
            </w:r>
            <w:r>
              <w:rPr>
                <w:rFonts w:ascii="仿宋_GB2312" w:hAnsi="仿宋_GB2312" w:cs="仿宋_GB2312" w:eastAsia="仿宋_GB2312"/>
                <w:sz w:val="24"/>
              </w:rPr>
              <w:t>支持服务平台文档下载验证，验证方式支持邮箱、短信等，防止暂时离开个人电脑，被他人通过系统下载数据。</w:t>
            </w:r>
          </w:p>
          <w:p>
            <w:pPr>
              <w:pStyle w:val="null3"/>
              <w:ind w:firstLine="360"/>
              <w:jc w:val="both"/>
            </w:pPr>
            <w:r>
              <w:rPr>
                <w:rFonts w:ascii="仿宋_GB2312" w:hAnsi="仿宋_GB2312" w:cs="仿宋_GB2312" w:eastAsia="仿宋_GB2312"/>
                <w:sz w:val="24"/>
              </w:rPr>
              <w:t>9)</w:t>
            </w:r>
            <w:r>
              <w:rPr>
                <w:rFonts w:ascii="仿宋_GB2312" w:hAnsi="仿宋_GB2312" w:cs="仿宋_GB2312" w:eastAsia="仿宋_GB2312"/>
                <w:sz w:val="24"/>
              </w:rPr>
              <w:t>支持数据API限流，支持设置单位时间调用次数上限，超限自动限流。并支持配置分页是否算进限流次数、限流预警等功能。支持为所有数据服务接口设置统一的流量控制策略（全局限流），同时在为单个接口配置时，既可继承全局设置，也可根据其特殊需求调整阈值，兼顾效率与灵活性。</w:t>
            </w:r>
          </w:p>
          <w:p>
            <w:pPr>
              <w:pStyle w:val="null3"/>
              <w:ind w:firstLine="360"/>
              <w:jc w:val="both"/>
            </w:pPr>
            <w:r>
              <w:rPr>
                <w:rFonts w:ascii="仿宋_GB2312" w:hAnsi="仿宋_GB2312" w:cs="仿宋_GB2312" w:eastAsia="仿宋_GB2312"/>
                <w:sz w:val="24"/>
              </w:rPr>
              <w:t>10)</w:t>
            </w:r>
            <w:r>
              <w:rPr>
                <w:rFonts w:ascii="仿宋_GB2312" w:hAnsi="仿宋_GB2312" w:cs="仿宋_GB2312" w:eastAsia="仿宋_GB2312"/>
                <w:sz w:val="24"/>
              </w:rPr>
              <w:t>支持黑白名单功能，白名单内地址可访问数据，黑名单内地址不可访问数据，保障数据安全。</w:t>
            </w:r>
          </w:p>
          <w:p>
            <w:pPr>
              <w:pStyle w:val="null3"/>
              <w:jc w:val="both"/>
              <w:outlineLvl w:val="4"/>
            </w:pPr>
            <w:r>
              <w:rPr>
                <w:rFonts w:ascii="仿宋_GB2312" w:hAnsi="仿宋_GB2312" w:cs="仿宋_GB2312" w:eastAsia="仿宋_GB2312"/>
                <w:sz w:val="24"/>
                <w:b/>
                <w:color w:val="2E74B5"/>
              </w:rPr>
              <w:t xml:space="preserve">3.4.2 </w:t>
            </w:r>
            <w:r>
              <w:rPr>
                <w:rFonts w:ascii="仿宋_GB2312" w:hAnsi="仿宋_GB2312" w:cs="仿宋_GB2312" w:eastAsia="仿宋_GB2312"/>
                <w:sz w:val="24"/>
                <w:b/>
                <w:color w:val="2E74B5"/>
              </w:rPr>
              <w:t>分级安全防护与全链路可追溯</w:t>
            </w:r>
          </w:p>
          <w:p>
            <w:pPr>
              <w:pStyle w:val="null3"/>
              <w:ind w:firstLine="480"/>
              <w:jc w:val="both"/>
            </w:pPr>
            <w:r>
              <w:rPr>
                <w:rFonts w:ascii="仿宋_GB2312" w:hAnsi="仿宋_GB2312" w:cs="仿宋_GB2312" w:eastAsia="仿宋_GB2312"/>
                <w:sz w:val="24"/>
              </w:rPr>
              <w:t>对高等级、高敏感数据采用学校统一密码平台进行加密存储，对外提供服务、数据交换、查询展示时自动执行脱敏处理（如身份证号、手机号、家庭信息掩码遮蔽），确保敏感信息不外露。系统按数据安全等级自动触发分级安全预警，异常访问、违规操作、高频调用即刻推送提醒。同时自动留存高敏感数据的全量修改记录、操作轨迹与版本历史，支持按人员、时间、数据行、操作行为快速溯源查询。</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支持数据脱敏设置，支持批量设置多个数据项的脱敏信息，并支持按字段、模型或部门等维度查询脱敏配置信息。针对设置过脱敏信息的数据项，在发布数据服务和数据服务授权时，可自动带出脱敏信息，当用户授权时未按照脱敏信息进行配置，需要进行审核。</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在配置脱敏规则后，可立即进行效果验证。系统支持生产数据样本与自定义模拟数据的双模式测试，确保规则配置准确性的同时，保障生产数据安全。</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支持展示所有数据项的安全分类信息，支持按字段、模型、部门等维度查询，并支持配置和修改数据项的存储加密状态。</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支持手动同步公共安全属性中的安全分类信息，并支持导出安全分类结果。</w:t>
            </w:r>
          </w:p>
          <w:p>
            <w:pPr>
              <w:pStyle w:val="null3"/>
              <w:ind w:firstLine="360"/>
              <w:jc w:val="both"/>
            </w:pPr>
            <w:r>
              <w:rPr>
                <w:rFonts w:ascii="仿宋_GB2312" w:hAnsi="仿宋_GB2312" w:cs="仿宋_GB2312" w:eastAsia="仿宋_GB2312"/>
                <w:sz w:val="24"/>
              </w:rPr>
              <w:t>5)</w:t>
            </w:r>
            <w:r>
              <w:rPr>
                <w:rFonts w:ascii="仿宋_GB2312" w:hAnsi="仿宋_GB2312" w:cs="仿宋_GB2312" w:eastAsia="仿宋_GB2312"/>
                <w:sz w:val="24"/>
              </w:rPr>
              <w:t>支持维护数据项标签分类，便于数据应用的数据模型的分析计算。支持为每个数据项分配标签，用于明确该字段所属的业务域。</w:t>
            </w:r>
          </w:p>
          <w:p>
            <w:pPr>
              <w:pStyle w:val="null3"/>
              <w:ind w:firstLine="360"/>
              <w:jc w:val="both"/>
            </w:pPr>
            <w:r>
              <w:rPr>
                <w:rFonts w:ascii="仿宋_GB2312" w:hAnsi="仿宋_GB2312" w:cs="仿宋_GB2312" w:eastAsia="仿宋_GB2312"/>
                <w:sz w:val="24"/>
              </w:rPr>
              <w:t>6)</w:t>
            </w:r>
            <w:r>
              <w:rPr>
                <w:rFonts w:ascii="仿宋_GB2312" w:hAnsi="仿宋_GB2312" w:cs="仿宋_GB2312" w:eastAsia="仿宋_GB2312"/>
                <w:sz w:val="24"/>
              </w:rPr>
              <w:t>支持数据水印，保障数据下载安全。水印内容可灵活配置，能够满足不同学校的个性化定制要求，确保符合其特定的安全规范与品牌标识。</w:t>
            </w:r>
          </w:p>
          <w:p>
            <w:pPr>
              <w:pStyle w:val="null3"/>
              <w:ind w:firstLine="360"/>
              <w:jc w:val="both"/>
            </w:pPr>
            <w:r>
              <w:rPr>
                <w:rFonts w:ascii="仿宋_GB2312" w:hAnsi="仿宋_GB2312" w:cs="仿宋_GB2312" w:eastAsia="仿宋_GB2312"/>
                <w:sz w:val="24"/>
              </w:rPr>
              <w:t>7)</w:t>
            </w:r>
            <w:r>
              <w:rPr>
                <w:rFonts w:ascii="仿宋_GB2312" w:hAnsi="仿宋_GB2312" w:cs="仿宋_GB2312" w:eastAsia="仿宋_GB2312"/>
                <w:sz w:val="24"/>
              </w:rPr>
              <w:t>支持非校内人员及厂商通过开发者账号申请数据访问。支持开发者账号与应用绑定，便于统计数据流向。支持设置开发者账号有效期，仅在有效期内可访问数据，超期自动失效。支持开发者账号重置密码。</w:t>
            </w:r>
          </w:p>
          <w:p>
            <w:pPr>
              <w:pStyle w:val="null3"/>
              <w:ind w:firstLine="360"/>
              <w:jc w:val="both"/>
            </w:pPr>
            <w:r>
              <w:rPr>
                <w:rFonts w:ascii="仿宋_GB2312" w:hAnsi="仿宋_GB2312" w:cs="仿宋_GB2312" w:eastAsia="仿宋_GB2312"/>
                <w:sz w:val="24"/>
              </w:rPr>
              <w:t>8)</w:t>
            </w:r>
            <w:r>
              <w:rPr>
                <w:rFonts w:ascii="仿宋_GB2312" w:hAnsi="仿宋_GB2312" w:cs="仿宋_GB2312" w:eastAsia="仿宋_GB2312"/>
                <w:sz w:val="24"/>
              </w:rPr>
              <w:t>支持设置开发者账号加密方式，加密算法支持SM2，SM4、RSA、AES、RC4、RC5、DES、3DES等。</w:t>
            </w:r>
          </w:p>
          <w:p>
            <w:pPr>
              <w:pStyle w:val="null3"/>
              <w:ind w:firstLine="360"/>
              <w:jc w:val="both"/>
            </w:pPr>
            <w:r>
              <w:rPr>
                <w:rFonts w:ascii="仿宋_GB2312" w:hAnsi="仿宋_GB2312" w:cs="仿宋_GB2312" w:eastAsia="仿宋_GB2312"/>
                <w:sz w:val="24"/>
              </w:rPr>
              <w:t>9)</w:t>
            </w:r>
            <w:r>
              <w:rPr>
                <w:rFonts w:ascii="仿宋_GB2312" w:hAnsi="仿宋_GB2312" w:cs="仿宋_GB2312" w:eastAsia="仿宋_GB2312"/>
                <w:sz w:val="24"/>
              </w:rPr>
              <w:t>支持根据选择的加密方式自动生成公钥及私钥。</w:t>
            </w:r>
          </w:p>
          <w:p>
            <w:pPr>
              <w:pStyle w:val="null3"/>
              <w:ind w:firstLine="360"/>
              <w:jc w:val="both"/>
            </w:pPr>
            <w:r>
              <w:rPr>
                <w:rFonts w:ascii="仿宋_GB2312" w:hAnsi="仿宋_GB2312" w:cs="仿宋_GB2312" w:eastAsia="仿宋_GB2312"/>
                <w:sz w:val="24"/>
              </w:rPr>
              <w:t>10)</w:t>
            </w:r>
            <w:r>
              <w:rPr>
                <w:rFonts w:ascii="仿宋_GB2312" w:hAnsi="仿宋_GB2312" w:cs="仿宋_GB2312" w:eastAsia="仿宋_GB2312"/>
                <w:sz w:val="24"/>
              </w:rPr>
              <w:t>支持黑名单IP地址配置，可配置单个及多个IP地址，黑名单内的IP地址不可通过此开发者账号访问数据。支持白名单IP地址配置，可配置单个及多个IP地址，除白名单内的IP地址外其他地址不可通过此开发者账号访问数据。</w:t>
            </w:r>
          </w:p>
          <w:p>
            <w:pPr>
              <w:pStyle w:val="null3"/>
              <w:ind w:firstLine="360"/>
              <w:jc w:val="both"/>
            </w:pPr>
            <w:r>
              <w:rPr>
                <w:rFonts w:ascii="仿宋_GB2312" w:hAnsi="仿宋_GB2312" w:cs="仿宋_GB2312" w:eastAsia="仿宋_GB2312"/>
                <w:sz w:val="24"/>
              </w:rPr>
              <w:t>11)</w:t>
            </w:r>
            <w:r>
              <w:rPr>
                <w:rFonts w:ascii="仿宋_GB2312" w:hAnsi="仿宋_GB2312" w:cs="仿宋_GB2312" w:eastAsia="仿宋_GB2312"/>
                <w:sz w:val="24"/>
              </w:rPr>
              <w:t>支持管理员针对开发者账号直接进行API授权。支持API授权时调整数据的脱敏程度，当调整的脱敏程度安全降低时，需进入审核流程，审核通过后完成API授权。支持厂商注册开发者账号的审核，审核通过后自动创建开发者账号。</w:t>
            </w:r>
          </w:p>
          <w:p>
            <w:pPr>
              <w:pStyle w:val="null3"/>
              <w:jc w:val="both"/>
              <w:outlineLvl w:val="3"/>
            </w:pPr>
            <w:r>
              <w:rPr>
                <w:rFonts w:ascii="仿宋_GB2312" w:hAnsi="仿宋_GB2312" w:cs="仿宋_GB2312" w:eastAsia="仿宋_GB2312"/>
                <w:sz w:val="24"/>
                <w:b/>
              </w:rPr>
              <w:t xml:space="preserve">3.5 </w:t>
            </w:r>
            <w:r>
              <w:rPr>
                <w:rFonts w:ascii="仿宋_GB2312" w:hAnsi="仿宋_GB2312" w:cs="仿宋_GB2312" w:eastAsia="仿宋_GB2312"/>
                <w:sz w:val="24"/>
                <w:b/>
              </w:rPr>
              <w:t>其他要求</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1"/>
              </w:rPr>
              <w:t>本项目为数据中台新增 AI 代码映射、AI 数据交换等功能，AI 大模型、配套算力资源全部由承建方提供及运维，校内不部署大模型与算力设施；需兼容主流通用大模型，采用标准化 API 对接，供应商应承诺在项目实施过程中根据学校实际需求适配指定大模型。</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承建方提供的 AI 大模型接口需满足稳定并发访问能力，常规单条AI代码映射、数据交换规则生成请求，在输入不超过 2K Token 且输出不超过 512 Token 的场景下，首字平均响应时延不高于 5 秒。服务全年可用性不低于90%；出现响应超时、算力不足等性能问题由承建方即时完成算力调度优化，保障学校数据中台 AI 业务稳定高效运行。</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数据库兼容学校现有 MySQL，能适配达梦、人大金仓等国产数据库，可对接存量业务库；新增库表、索引、存储过程等数据库对象时，严禁修改、覆盖原有中台核心库表结构与业务数据。</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★本项目仅新增数据表、程序、AI 组件、接口等系统资源，数据中台累积业务、库表、运维逻辑不作任何改动；承建方不得修改、覆盖原有系统功能与数据，要求提供承诺函。</w:t>
            </w:r>
          </w:p>
          <w:p>
            <w:pPr>
              <w:pStyle w:val="null3"/>
              <w:ind w:firstLine="360"/>
              <w:jc w:val="both"/>
            </w:pPr>
            <w:r>
              <w:rPr>
                <w:rFonts w:ascii="仿宋_GB2312" w:hAnsi="仿宋_GB2312" w:cs="仿宋_GB2312" w:eastAsia="仿宋_GB2312"/>
                <w:sz w:val="28"/>
              </w:rPr>
              <w:t>四、实施要求</w:t>
            </w:r>
          </w:p>
          <w:p>
            <w:pPr>
              <w:pStyle w:val="null3"/>
              <w:jc w:val="both"/>
              <w:outlineLvl w:val="3"/>
            </w:pPr>
            <w:r>
              <w:rPr>
                <w:rFonts w:ascii="仿宋_GB2312" w:hAnsi="仿宋_GB2312" w:cs="仿宋_GB2312" w:eastAsia="仿宋_GB2312"/>
                <w:sz w:val="24"/>
                <w:b/>
              </w:rPr>
              <w:t xml:space="preserve">4.1 </w:t>
            </w:r>
            <w:r>
              <w:rPr>
                <w:rFonts w:ascii="仿宋_GB2312" w:hAnsi="仿宋_GB2312" w:cs="仿宋_GB2312" w:eastAsia="仿宋_GB2312"/>
                <w:sz w:val="24"/>
                <w:b/>
              </w:rPr>
              <w:t>基本要求</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项目启动后，中标人就应允许业主 (招标) 单位以及相关的工作人员参与项目开发及系统整合本身必须的需求分析、初步设计、单元测试等相关工作。</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中标人应负责在项目完成时将系统的全部有关技术文件(至少包括信息标准集、需求说明书、数据库结构、系统详细部署文档、后期应用系统相关接口等) 、资料及测试、验收报告和系统测试使用的测试数据等文档汇集成册提交给招标单位，并提供电子文档。</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中标人应明确承诺在项目完成时对业主 (招标) 单位人员进行运维、二次开发等涉及项目后续发展有关技术培训、支持的具体实施办法或目标，</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中标人对整个项目应具有完整的项目实施计划、详细的工作内容安排及过程 控制和验收方案。</w:t>
            </w:r>
          </w:p>
          <w:p>
            <w:pPr>
              <w:pStyle w:val="null3"/>
              <w:jc w:val="both"/>
              <w:outlineLvl w:val="3"/>
            </w:pPr>
            <w:r>
              <w:rPr>
                <w:rFonts w:ascii="仿宋_GB2312" w:hAnsi="仿宋_GB2312" w:cs="仿宋_GB2312" w:eastAsia="仿宋_GB2312"/>
                <w:sz w:val="24"/>
                <w:b/>
              </w:rPr>
              <w:t xml:space="preserve">4.2 </w:t>
            </w:r>
            <w:r>
              <w:rPr>
                <w:rFonts w:ascii="仿宋_GB2312" w:hAnsi="仿宋_GB2312" w:cs="仿宋_GB2312" w:eastAsia="仿宋_GB2312"/>
                <w:sz w:val="24"/>
                <w:b/>
              </w:rPr>
              <w:t>项目人员配置</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投标人必须成立合理的组织机构，建立健全保障项目顺利实施的各项管理制 度和质量保证体系，安排好足够的高素质人才参加本项目的建设；在项目机构中应明确各岗位的职责、任职资格及成果，确保工程顺利实施。根据工作的业务性质，应配备驻场项目经理承担本项目实施工作。为了保证项目实施的连续性，在项目实施过程中，至少保证1名以上核心技术人员不能更换。</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参加本项目的项目组成员应根据本项目的特点分别具有软件设计和开发、测试的相关的实施经验。</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项目组人员必须具有类似职责的集成、开发经验，能够与用户进行良好的沟通，并掌握智慧校园数据相关的基础知识。参与此项目的技术人员必须具有强烈的服务意识、安全意识和高度的责任感。</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对上述安排投标人应在实施方案中详细描述，包括项目组成员名单、本项目 工作职位、专业方向、工作、项目履历和在本项目中的职责分工。</w:t>
            </w:r>
          </w:p>
          <w:p>
            <w:pPr>
              <w:pStyle w:val="null3"/>
              <w:ind w:firstLine="360"/>
              <w:jc w:val="both"/>
            </w:pPr>
            <w:r>
              <w:rPr>
                <w:rFonts w:ascii="仿宋_GB2312" w:hAnsi="仿宋_GB2312" w:cs="仿宋_GB2312" w:eastAsia="仿宋_GB2312"/>
                <w:sz w:val="24"/>
              </w:rPr>
              <w:t>5)</w:t>
            </w:r>
            <w:r>
              <w:rPr>
                <w:rFonts w:ascii="仿宋_GB2312" w:hAnsi="仿宋_GB2312" w:cs="仿宋_GB2312" w:eastAsia="仿宋_GB2312"/>
                <w:sz w:val="24"/>
              </w:rPr>
              <w:t>在建设期内，项目管理负责人应在接到学校通知4 小时内到达学校现场处理问题或交流情况。</w:t>
            </w:r>
          </w:p>
          <w:p>
            <w:pPr>
              <w:pStyle w:val="null3"/>
              <w:jc w:val="both"/>
              <w:outlineLvl w:val="3"/>
            </w:pPr>
            <w:r>
              <w:rPr>
                <w:rFonts w:ascii="仿宋_GB2312" w:hAnsi="仿宋_GB2312" w:cs="仿宋_GB2312" w:eastAsia="仿宋_GB2312"/>
                <w:sz w:val="24"/>
                <w:b/>
              </w:rPr>
              <w:t>4.3</w:t>
            </w:r>
            <w:r>
              <w:rPr>
                <w:rFonts w:ascii="仿宋_GB2312" w:hAnsi="仿宋_GB2312" w:cs="仿宋_GB2312" w:eastAsia="仿宋_GB2312"/>
                <w:sz w:val="24"/>
                <w:b/>
              </w:rPr>
              <w:t>开发管理</w:t>
            </w:r>
          </w:p>
          <w:p>
            <w:pPr>
              <w:pStyle w:val="null3"/>
              <w:ind w:firstLine="360"/>
              <w:jc w:val="both"/>
            </w:pPr>
            <w:r>
              <w:rPr>
                <w:rFonts w:ascii="仿宋_GB2312" w:hAnsi="仿宋_GB2312" w:cs="仿宋_GB2312" w:eastAsia="仿宋_GB2312"/>
                <w:sz w:val="24"/>
              </w:rPr>
              <w:t>对项目的建设进行科学严格的管理，该项目的管理要通过项目管理委员会织对项目进行系统计划、有序组织、科学指导和有效控制，促进项目全面顺利实施。</w:t>
            </w:r>
          </w:p>
          <w:p>
            <w:pPr>
              <w:pStyle w:val="null3"/>
              <w:jc w:val="both"/>
              <w:outlineLvl w:val="3"/>
            </w:pPr>
            <w:r>
              <w:rPr>
                <w:rFonts w:ascii="仿宋_GB2312" w:hAnsi="仿宋_GB2312" w:cs="仿宋_GB2312" w:eastAsia="仿宋_GB2312"/>
                <w:sz w:val="24"/>
                <w:b/>
              </w:rPr>
              <w:t>4.4</w:t>
            </w:r>
            <w:r>
              <w:rPr>
                <w:rFonts w:ascii="仿宋_GB2312" w:hAnsi="仿宋_GB2312" w:cs="仿宋_GB2312" w:eastAsia="仿宋_GB2312"/>
                <w:sz w:val="24"/>
                <w:b/>
              </w:rPr>
              <w:t>文档管理</w:t>
            </w:r>
          </w:p>
          <w:p>
            <w:pPr>
              <w:pStyle w:val="null3"/>
              <w:ind w:firstLine="360"/>
              <w:jc w:val="both"/>
            </w:pPr>
            <w:r>
              <w:rPr>
                <w:rFonts w:ascii="仿宋_GB2312" w:hAnsi="仿宋_GB2312" w:cs="仿宋_GB2312" w:eastAsia="仿宋_GB2312"/>
                <w:sz w:val="24"/>
              </w:rPr>
              <w:t>根据开发进度及时提供有关开发文档，包括需求说明书、系统设计说明书、测试 计划、测试分析报告、系统部署手册、操作手册、系统安装手册等；</w:t>
            </w:r>
          </w:p>
          <w:p>
            <w:pPr>
              <w:pStyle w:val="null3"/>
              <w:jc w:val="both"/>
              <w:outlineLvl w:val="3"/>
            </w:pPr>
            <w:r>
              <w:rPr>
                <w:rFonts w:ascii="仿宋_GB2312" w:hAnsi="仿宋_GB2312" w:cs="仿宋_GB2312" w:eastAsia="仿宋_GB2312"/>
                <w:sz w:val="24"/>
                <w:b/>
              </w:rPr>
              <w:t>4.5</w:t>
            </w:r>
            <w:r>
              <w:rPr>
                <w:rFonts w:ascii="仿宋_GB2312" w:hAnsi="仿宋_GB2312" w:cs="仿宋_GB2312" w:eastAsia="仿宋_GB2312"/>
                <w:sz w:val="24"/>
                <w:b/>
              </w:rPr>
              <w:t>进度要求</w:t>
            </w:r>
          </w:p>
          <w:p>
            <w:pPr>
              <w:pStyle w:val="null3"/>
              <w:ind w:firstLine="360"/>
              <w:jc w:val="both"/>
            </w:pPr>
            <w:r>
              <w:rPr>
                <w:rFonts w:ascii="仿宋_GB2312" w:hAnsi="仿宋_GB2312" w:cs="仿宋_GB2312" w:eastAsia="仿宋_GB2312"/>
                <w:sz w:val="24"/>
              </w:rPr>
              <w:t>必须在合同生效后60个工作日内交付用户试运行，试运行期间如遇问题须第一时间处理解决，问题处理时间不计入试运行，总体试运行1个月后提交验收。</w:t>
            </w:r>
          </w:p>
          <w:p>
            <w:pPr>
              <w:pStyle w:val="null3"/>
              <w:ind w:firstLine="360"/>
              <w:jc w:val="both"/>
            </w:pPr>
            <w:r>
              <w:rPr>
                <w:rFonts w:ascii="仿宋_GB2312" w:hAnsi="仿宋_GB2312" w:cs="仿宋_GB2312" w:eastAsia="仿宋_GB2312"/>
                <w:sz w:val="24"/>
              </w:rPr>
              <w:t>中标人应针对本项目的完成时间提交项目开发计划，项目计划经采购人确认后严格按计划执行，如需变更必须提出书面的项目变更手续。</w:t>
            </w:r>
          </w:p>
          <w:p>
            <w:pPr>
              <w:pStyle w:val="null3"/>
              <w:jc w:val="both"/>
              <w:outlineLvl w:val="3"/>
            </w:pPr>
            <w:r>
              <w:rPr>
                <w:rFonts w:ascii="仿宋_GB2312" w:hAnsi="仿宋_GB2312" w:cs="仿宋_GB2312" w:eastAsia="仿宋_GB2312"/>
                <w:sz w:val="24"/>
                <w:b/>
              </w:rPr>
              <w:t>4.6</w:t>
            </w:r>
            <w:r>
              <w:rPr>
                <w:rFonts w:ascii="仿宋_GB2312" w:hAnsi="仿宋_GB2312" w:cs="仿宋_GB2312" w:eastAsia="仿宋_GB2312"/>
                <w:sz w:val="24"/>
                <w:b/>
              </w:rPr>
              <w:t>用户培训</w:t>
            </w:r>
          </w:p>
          <w:p>
            <w:pPr>
              <w:pStyle w:val="null3"/>
              <w:ind w:firstLine="360"/>
              <w:jc w:val="both"/>
            </w:pPr>
            <w:r>
              <w:rPr>
                <w:rFonts w:ascii="仿宋_GB2312" w:hAnsi="仿宋_GB2312" w:cs="仿宋_GB2312" w:eastAsia="仿宋_GB2312"/>
                <w:sz w:val="24"/>
              </w:rPr>
              <w:t>用户培训应贯串于整个项目的实施过程中，包括从项目准备、研发到项目运行的 全过程中。提供详细的培训方案、培训内容、培训计划、人员数目、开发工具、软件使用、后期维护。</w:t>
            </w:r>
          </w:p>
          <w:p>
            <w:pPr>
              <w:pStyle w:val="null3"/>
              <w:jc w:val="both"/>
              <w:outlineLvl w:val="4"/>
            </w:pPr>
            <w:r>
              <w:rPr>
                <w:rFonts w:ascii="仿宋_GB2312" w:hAnsi="仿宋_GB2312" w:cs="仿宋_GB2312" w:eastAsia="仿宋_GB2312"/>
                <w:sz w:val="24"/>
                <w:b/>
                <w:color w:val="2E74B5"/>
              </w:rPr>
              <w:t>4.6.1</w:t>
            </w:r>
            <w:r>
              <w:rPr>
                <w:rFonts w:ascii="仿宋_GB2312" w:hAnsi="仿宋_GB2312" w:cs="仿宋_GB2312" w:eastAsia="仿宋_GB2312"/>
                <w:sz w:val="24"/>
                <w:b/>
                <w:color w:val="2E74B5"/>
              </w:rPr>
              <w:t>培训内容</w:t>
            </w:r>
          </w:p>
          <w:p>
            <w:pPr>
              <w:pStyle w:val="null3"/>
              <w:ind w:firstLine="360"/>
              <w:jc w:val="both"/>
            </w:pPr>
            <w:r>
              <w:rPr>
                <w:rFonts w:ascii="仿宋_GB2312" w:hAnsi="仿宋_GB2312" w:cs="仿宋_GB2312" w:eastAsia="仿宋_GB2312"/>
                <w:sz w:val="24"/>
              </w:rPr>
              <w:t>投标方根据项目需求向我校提供有针对性的培训内容，以确保相关人员能够使用、维护项目成果。</w:t>
            </w:r>
          </w:p>
          <w:p>
            <w:pPr>
              <w:pStyle w:val="null3"/>
              <w:jc w:val="both"/>
              <w:outlineLvl w:val="4"/>
            </w:pPr>
            <w:r>
              <w:rPr>
                <w:rFonts w:ascii="仿宋_GB2312" w:hAnsi="仿宋_GB2312" w:cs="仿宋_GB2312" w:eastAsia="仿宋_GB2312"/>
                <w:sz w:val="24"/>
                <w:b/>
                <w:color w:val="2E74B5"/>
              </w:rPr>
              <w:t>4.6.2</w:t>
            </w:r>
            <w:r>
              <w:rPr>
                <w:rFonts w:ascii="仿宋_GB2312" w:hAnsi="仿宋_GB2312" w:cs="仿宋_GB2312" w:eastAsia="仿宋_GB2312"/>
                <w:sz w:val="24"/>
                <w:b/>
                <w:color w:val="2E74B5"/>
              </w:rPr>
              <w:t>培训计划</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研发管理培训</w:t>
            </w:r>
          </w:p>
          <w:p>
            <w:pPr>
              <w:pStyle w:val="null3"/>
              <w:ind w:firstLine="360"/>
              <w:jc w:val="both"/>
            </w:pPr>
            <w:r>
              <w:rPr>
                <w:rFonts w:ascii="仿宋_GB2312" w:hAnsi="仿宋_GB2312" w:cs="仿宋_GB2312" w:eastAsia="仿宋_GB2312"/>
                <w:sz w:val="24"/>
              </w:rPr>
              <w:t>研发管理培训即是系统开发的各个阶段的培训，这些阶段包括：项目准备、用户需求分析、系统概要设计、系统详细设计、程序编制和运行建立。研发管理培训的对象主要面向学校信息与网络管理中心的相关技术人员。</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运行管理培训</w:t>
            </w:r>
          </w:p>
          <w:p>
            <w:pPr>
              <w:pStyle w:val="null3"/>
              <w:ind w:firstLine="360"/>
              <w:jc w:val="both"/>
            </w:pPr>
            <w:r>
              <w:rPr>
                <w:rFonts w:ascii="仿宋_GB2312" w:hAnsi="仿宋_GB2312" w:cs="仿宋_GB2312" w:eastAsia="仿宋_GB2312"/>
                <w:sz w:val="24"/>
              </w:rPr>
              <w:t>为了使我校的相关人员掌握有关应用系统的使用、维护和管理方法，达到能独立进行管理、故障处理、日常测试和维护等工作的目的，应进行系统的技术培训，以保证所建设的系统能够正常、安全、平稳地运行。运行管理培训的对象除了信息与网络管理中心的人员外，还包括校内各单位的信息管理员。</w:t>
            </w:r>
          </w:p>
          <w:p>
            <w:pPr>
              <w:pStyle w:val="null3"/>
              <w:jc w:val="both"/>
              <w:outlineLvl w:val="4"/>
            </w:pPr>
            <w:r>
              <w:rPr>
                <w:rFonts w:ascii="仿宋_GB2312" w:hAnsi="仿宋_GB2312" w:cs="仿宋_GB2312" w:eastAsia="仿宋_GB2312"/>
                <w:sz w:val="24"/>
                <w:b/>
                <w:color w:val="2E74B5"/>
              </w:rPr>
              <w:t>4.6.3</w:t>
            </w:r>
            <w:r>
              <w:rPr>
                <w:rFonts w:ascii="仿宋_GB2312" w:hAnsi="仿宋_GB2312" w:cs="仿宋_GB2312" w:eastAsia="仿宋_GB2312"/>
                <w:sz w:val="24"/>
                <w:b/>
                <w:color w:val="2E74B5"/>
              </w:rPr>
              <w:t>培训要求</w:t>
            </w:r>
          </w:p>
          <w:p>
            <w:pPr>
              <w:pStyle w:val="null3"/>
              <w:ind w:firstLine="360"/>
              <w:jc w:val="both"/>
            </w:pPr>
            <w:r>
              <w:rPr>
                <w:rFonts w:ascii="仿宋_GB2312" w:hAnsi="仿宋_GB2312" w:cs="仿宋_GB2312" w:eastAsia="仿宋_GB2312"/>
                <w:sz w:val="24"/>
              </w:rPr>
              <w:t>培训教师应具有丰富的同类课程的教学经验和应用实践经验，中文授课；</w:t>
            </w:r>
          </w:p>
          <w:p>
            <w:pPr>
              <w:pStyle w:val="null3"/>
              <w:ind w:firstLine="360"/>
              <w:jc w:val="both"/>
            </w:pPr>
            <w:r>
              <w:rPr>
                <w:rFonts w:ascii="仿宋_GB2312" w:hAnsi="仿宋_GB2312" w:cs="仿宋_GB2312" w:eastAsia="仿宋_GB2312"/>
                <w:sz w:val="24"/>
              </w:rPr>
              <w:t>为所有被培训人员提供培训用文字资料和讲义等相关材料。如果培训地点在外地，投标人还应承诺为所有被培训人员提供食宿，并按合同规定安排培训时间和培训名额；</w:t>
            </w:r>
          </w:p>
          <w:p>
            <w:pPr>
              <w:pStyle w:val="null3"/>
              <w:jc w:val="both"/>
              <w:outlineLvl w:val="4"/>
            </w:pPr>
            <w:r>
              <w:rPr>
                <w:rFonts w:ascii="仿宋_GB2312" w:hAnsi="仿宋_GB2312" w:cs="仿宋_GB2312" w:eastAsia="仿宋_GB2312"/>
                <w:sz w:val="24"/>
                <w:b/>
                <w:color w:val="2E74B5"/>
              </w:rPr>
              <w:t xml:space="preserve">4.6.4 </w:t>
            </w:r>
            <w:r>
              <w:rPr>
                <w:rFonts w:ascii="仿宋_GB2312" w:hAnsi="仿宋_GB2312" w:cs="仿宋_GB2312" w:eastAsia="仿宋_GB2312"/>
                <w:sz w:val="24"/>
                <w:b/>
                <w:color w:val="2E74B5"/>
              </w:rPr>
              <w:t>培训方式</w:t>
            </w:r>
          </w:p>
          <w:p>
            <w:pPr>
              <w:pStyle w:val="null3"/>
              <w:ind w:firstLine="360"/>
              <w:jc w:val="both"/>
            </w:pPr>
            <w:r>
              <w:rPr>
                <w:rFonts w:ascii="仿宋_GB2312" w:hAnsi="仿宋_GB2312" w:cs="仿宋_GB2312" w:eastAsia="仿宋_GB2312"/>
                <w:sz w:val="24"/>
              </w:rPr>
              <w:t>课堂讲解、实际操作、专题交流、现场实施指导等。</w:t>
            </w:r>
          </w:p>
          <w:p>
            <w:pPr>
              <w:pStyle w:val="null3"/>
              <w:jc w:val="both"/>
              <w:outlineLvl w:val="3"/>
            </w:pPr>
            <w:r>
              <w:rPr>
                <w:rFonts w:ascii="仿宋_GB2312" w:hAnsi="仿宋_GB2312" w:cs="仿宋_GB2312" w:eastAsia="仿宋_GB2312"/>
                <w:sz w:val="24"/>
                <w:b/>
              </w:rPr>
              <w:t xml:space="preserve">4.7 </w:t>
            </w:r>
            <w:r>
              <w:rPr>
                <w:rFonts w:ascii="仿宋_GB2312" w:hAnsi="仿宋_GB2312" w:cs="仿宋_GB2312" w:eastAsia="仿宋_GB2312"/>
                <w:sz w:val="24"/>
                <w:b/>
              </w:rPr>
              <w:t>项目验收</w:t>
            </w:r>
          </w:p>
          <w:p>
            <w:pPr>
              <w:pStyle w:val="null3"/>
              <w:jc w:val="both"/>
              <w:outlineLvl w:val="4"/>
            </w:pPr>
            <w:r>
              <w:rPr>
                <w:rFonts w:ascii="仿宋_GB2312" w:hAnsi="仿宋_GB2312" w:cs="仿宋_GB2312" w:eastAsia="仿宋_GB2312"/>
                <w:sz w:val="24"/>
                <w:b/>
                <w:color w:val="2E74B5"/>
              </w:rPr>
              <w:t xml:space="preserve">4.7.1 </w:t>
            </w:r>
            <w:r>
              <w:rPr>
                <w:rFonts w:ascii="仿宋_GB2312" w:hAnsi="仿宋_GB2312" w:cs="仿宋_GB2312" w:eastAsia="仿宋_GB2312"/>
                <w:sz w:val="24"/>
                <w:b/>
                <w:color w:val="2E74B5"/>
              </w:rPr>
              <w:t>项目验收需要提供的资料</w:t>
            </w:r>
          </w:p>
          <w:p>
            <w:pPr>
              <w:pStyle w:val="null3"/>
              <w:ind w:firstLine="315"/>
              <w:jc w:val="both"/>
            </w:pPr>
            <w:r>
              <w:rPr>
                <w:rFonts w:ascii="仿宋_GB2312" w:hAnsi="仿宋_GB2312" w:cs="仿宋_GB2312" w:eastAsia="仿宋_GB2312"/>
                <w:sz w:val="21"/>
              </w:rPr>
              <w:t>验收申请、验收方案、验收清单；</w:t>
            </w:r>
          </w:p>
          <w:p>
            <w:pPr>
              <w:pStyle w:val="null3"/>
              <w:ind w:firstLine="315"/>
              <w:jc w:val="both"/>
            </w:pPr>
            <w:r>
              <w:rPr>
                <w:rFonts w:ascii="仿宋_GB2312" w:hAnsi="仿宋_GB2312" w:cs="仿宋_GB2312" w:eastAsia="仿宋_GB2312"/>
                <w:sz w:val="21"/>
              </w:rPr>
              <w:t>技术文档：包括平台环境配置说明、</w:t>
            </w:r>
            <w:r>
              <w:rPr>
                <w:rFonts w:ascii="仿宋_GB2312" w:hAnsi="仿宋_GB2312" w:cs="仿宋_GB2312" w:eastAsia="仿宋_GB2312"/>
                <w:sz w:val="24"/>
              </w:rPr>
              <w:t>需求分析说明、需求及实施变更说明、用户 手册、系统维护说明、系统培训资料以及业务应用系统集成接口和 (或) 技术说明等等。</w:t>
            </w:r>
          </w:p>
          <w:p>
            <w:pPr>
              <w:pStyle w:val="null3"/>
              <w:ind w:firstLine="360"/>
              <w:jc w:val="both"/>
            </w:pPr>
            <w:r>
              <w:rPr>
                <w:rFonts w:ascii="仿宋_GB2312" w:hAnsi="仿宋_GB2312" w:cs="仿宋_GB2312" w:eastAsia="仿宋_GB2312"/>
                <w:sz w:val="24"/>
              </w:rPr>
              <w:t>管理文档：包括项目实施计划、阶段报告、会议记录等。</w:t>
            </w:r>
          </w:p>
          <w:p>
            <w:pPr>
              <w:pStyle w:val="null3"/>
              <w:jc w:val="both"/>
              <w:outlineLvl w:val="4"/>
            </w:pPr>
            <w:r>
              <w:rPr>
                <w:rFonts w:ascii="仿宋_GB2312" w:hAnsi="仿宋_GB2312" w:cs="仿宋_GB2312" w:eastAsia="仿宋_GB2312"/>
                <w:sz w:val="24"/>
                <w:b/>
                <w:color w:val="2E74B5"/>
              </w:rPr>
              <w:t xml:space="preserve">4.7.2 </w:t>
            </w:r>
            <w:r>
              <w:rPr>
                <w:rFonts w:ascii="仿宋_GB2312" w:hAnsi="仿宋_GB2312" w:cs="仿宋_GB2312" w:eastAsia="仿宋_GB2312"/>
                <w:sz w:val="24"/>
                <w:b/>
                <w:color w:val="2E74B5"/>
              </w:rPr>
              <w:t>项目验收</w:t>
            </w:r>
          </w:p>
          <w:p>
            <w:pPr>
              <w:pStyle w:val="null3"/>
              <w:ind w:firstLine="360"/>
              <w:jc w:val="both"/>
            </w:pPr>
            <w:r>
              <w:rPr>
                <w:rFonts w:ascii="仿宋_GB2312" w:hAnsi="仿宋_GB2312" w:cs="仿宋_GB2312" w:eastAsia="仿宋_GB2312"/>
                <w:sz w:val="24"/>
              </w:rPr>
              <w:t>由学校组织专家和用户代表，按招投标文件、合同条款、软件工程要求和实际应用效果对项目进行验收。</w:t>
            </w:r>
          </w:p>
          <w:p>
            <w:pPr>
              <w:pStyle w:val="null3"/>
              <w:jc w:val="both"/>
              <w:outlineLvl w:val="2"/>
            </w:pPr>
            <w:r>
              <w:rPr>
                <w:rFonts w:ascii="仿宋_GB2312" w:hAnsi="仿宋_GB2312" w:cs="仿宋_GB2312" w:eastAsia="仿宋_GB2312"/>
                <w:sz w:val="28"/>
                <w:b/>
              </w:rPr>
              <w:t>五、服务保障与承诺</w:t>
            </w:r>
          </w:p>
          <w:p>
            <w:pPr>
              <w:pStyle w:val="null3"/>
              <w:ind w:firstLine="360"/>
              <w:jc w:val="both"/>
            </w:pPr>
            <w:r>
              <w:rPr>
                <w:rFonts w:ascii="仿宋_GB2312" w:hAnsi="仿宋_GB2312" w:cs="仿宋_GB2312" w:eastAsia="仿宋_GB2312"/>
                <w:sz w:val="24"/>
              </w:rPr>
              <w:t>投标人应承诺终验合格后，对项目产品实行</w:t>
            </w:r>
            <w:r>
              <w:rPr>
                <w:rFonts w:ascii="仿宋_GB2312" w:hAnsi="仿宋_GB2312" w:cs="仿宋_GB2312" w:eastAsia="仿宋_GB2312"/>
                <w:sz w:val="24"/>
                <w:b/>
              </w:rPr>
              <w:t>叁年</w:t>
            </w:r>
            <w:r>
              <w:rPr>
                <w:rFonts w:ascii="仿宋_GB2312" w:hAnsi="仿宋_GB2312" w:cs="仿宋_GB2312" w:eastAsia="仿宋_GB2312"/>
                <w:sz w:val="24"/>
              </w:rPr>
              <w:t>全方位免费质保和技术服务：根据学校业务发展的现实需要，持续完善本次数据分析应用功能，赋能学校治理决策。</w:t>
            </w:r>
          </w:p>
          <w:p>
            <w:pPr>
              <w:pStyle w:val="null3"/>
              <w:ind w:firstLine="360"/>
              <w:jc w:val="both"/>
            </w:pPr>
            <w:r>
              <w:rPr>
                <w:rFonts w:ascii="仿宋_GB2312" w:hAnsi="仿宋_GB2312" w:cs="仿宋_GB2312" w:eastAsia="仿宋_GB2312"/>
                <w:sz w:val="24"/>
              </w:rPr>
              <w:t>投标人应承诺根据对我校相关业务运做的规律来有计划地制定服务保障体系。</w:t>
            </w:r>
          </w:p>
          <w:p>
            <w:pPr>
              <w:pStyle w:val="null3"/>
              <w:ind w:firstLine="360"/>
              <w:jc w:val="both"/>
            </w:pPr>
            <w:r>
              <w:rPr>
                <w:rFonts w:ascii="仿宋_GB2312" w:hAnsi="仿宋_GB2312" w:cs="仿宋_GB2312" w:eastAsia="仿宋_GB2312"/>
                <w:sz w:val="24"/>
              </w:rPr>
              <w:t>该项目一旦运行起来，就占有很重要的地位，稍有差错就会引起各方面的反映和损失，所以系统的售后维护服务和技术支持工作也应有足够保障。投标方作为具有丰富信息化校园项目经验的系统集成和软件开发企业，应通过自身不断的努力和原厂商的鼎力支持；针对客户的不同的系统的需求，制定不同的运行保障方案，建立完善的本地售后服务体系，向我校提供充分考虑使用者利益的技术支持及售后服务模式。</w:t>
            </w:r>
          </w:p>
          <w:p>
            <w:pPr>
              <w:pStyle w:val="null3"/>
              <w:ind w:firstLine="360"/>
              <w:jc w:val="both"/>
            </w:pPr>
            <w:r>
              <w:rPr>
                <w:rFonts w:ascii="仿宋_GB2312" w:hAnsi="仿宋_GB2312" w:cs="仿宋_GB2312" w:eastAsia="仿宋_GB2312"/>
                <w:sz w:val="24"/>
              </w:rPr>
              <w:t>除了上述的有关承诺之外，投标人关于服务保障体系的描述应具体包括如下内容：</w:t>
            </w:r>
          </w:p>
          <w:p>
            <w:pPr>
              <w:pStyle w:val="null3"/>
              <w:ind w:firstLine="360"/>
              <w:jc w:val="both"/>
            </w:pPr>
            <w:r>
              <w:rPr>
                <w:rFonts w:ascii="仿宋_GB2312" w:hAnsi="仿宋_GB2312" w:cs="仿宋_GB2312" w:eastAsia="仿宋_GB2312"/>
                <w:sz w:val="24"/>
              </w:rPr>
              <w:t>1)</w:t>
            </w:r>
            <w:r>
              <w:rPr>
                <w:rFonts w:ascii="仿宋_GB2312" w:hAnsi="仿宋_GB2312" w:cs="仿宋_GB2312" w:eastAsia="仿宋_GB2312"/>
                <w:sz w:val="24"/>
              </w:rPr>
              <w:t>运行保障机构</w:t>
            </w:r>
          </w:p>
          <w:p>
            <w:pPr>
              <w:pStyle w:val="null3"/>
              <w:ind w:firstLine="360"/>
              <w:jc w:val="both"/>
            </w:pPr>
            <w:r>
              <w:rPr>
                <w:rFonts w:ascii="仿宋_GB2312" w:hAnsi="仿宋_GB2312" w:cs="仿宋_GB2312" w:eastAsia="仿宋_GB2312"/>
                <w:sz w:val="24"/>
              </w:rPr>
              <w:t>主要描述公司对于对我校本项目的运行保障能力描述。</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质保期内运行服务内容</w:t>
            </w:r>
          </w:p>
          <w:p>
            <w:pPr>
              <w:pStyle w:val="null3"/>
              <w:ind w:firstLine="360"/>
              <w:jc w:val="both"/>
            </w:pPr>
            <w:r>
              <w:rPr>
                <w:rFonts w:ascii="仿宋_GB2312" w:hAnsi="仿宋_GB2312" w:cs="仿宋_GB2312" w:eastAsia="仿宋_GB2312"/>
                <w:sz w:val="24"/>
              </w:rPr>
              <w:t>售后维护服务内容须包含但不限于定期走访或实行远程维护：提供定期维护的时间区间、周期和详细规划，规划包括：方式、人员和详细的维护内容。</w:t>
            </w:r>
          </w:p>
          <w:p>
            <w:pPr>
              <w:pStyle w:val="null3"/>
              <w:ind w:firstLine="360"/>
              <w:jc w:val="both"/>
            </w:pPr>
            <w:r>
              <w:rPr>
                <w:rFonts w:ascii="仿宋_GB2312" w:hAnsi="仿宋_GB2312" w:cs="仿宋_GB2312" w:eastAsia="仿宋_GB2312"/>
                <w:sz w:val="24"/>
              </w:rPr>
              <w:t>重大事项的及时响应：系统出现故障或意外情况导致系统不能正常运行时，投标 人响应的情况描述，针对不同响应级别的即时响应包括：人员、时间和内容等。</w:t>
            </w:r>
          </w:p>
          <w:p>
            <w:pPr>
              <w:pStyle w:val="null3"/>
              <w:ind w:firstLine="360"/>
              <w:jc w:val="both"/>
            </w:pPr>
            <w:r>
              <w:rPr>
                <w:rFonts w:ascii="仿宋_GB2312" w:hAnsi="仿宋_GB2312" w:cs="仿宋_GB2312" w:eastAsia="仿宋_GB2312"/>
                <w:sz w:val="24"/>
              </w:rPr>
              <w:t>服务请求的方式：在我方需要提供服务 (包括即时的和非即时的) 时，能够与投 标人联系沟通的方式描述，应包括：服务热线电话和联系人、联系单位信息、信函/ 传真、 电子邮件、服务网站。</w:t>
            </w:r>
          </w:p>
          <w:p>
            <w:pPr>
              <w:pStyle w:val="null3"/>
              <w:ind w:firstLine="360"/>
              <w:jc w:val="both"/>
            </w:pPr>
            <w:r>
              <w:rPr>
                <w:rFonts w:ascii="仿宋_GB2312" w:hAnsi="仿宋_GB2312" w:cs="仿宋_GB2312" w:eastAsia="仿宋_GB2312"/>
                <w:sz w:val="24"/>
              </w:rPr>
              <w:t>服务请求的流程：投标人对用户的支持或维护请求处理流程的流程图和详细描述。</w:t>
            </w:r>
          </w:p>
          <w:p>
            <w:pPr>
              <w:pStyle w:val="null3"/>
              <w:ind w:firstLine="360"/>
              <w:jc w:val="both"/>
            </w:pPr>
            <w:r>
              <w:rPr>
                <w:rFonts w:ascii="仿宋_GB2312" w:hAnsi="仿宋_GB2312" w:cs="仿宋_GB2312" w:eastAsia="仿宋_GB2312"/>
                <w:sz w:val="24"/>
              </w:rPr>
              <w:t>3)</w:t>
            </w:r>
            <w:r>
              <w:rPr>
                <w:rFonts w:ascii="仿宋_GB2312" w:hAnsi="仿宋_GB2312" w:cs="仿宋_GB2312" w:eastAsia="仿宋_GB2312"/>
                <w:sz w:val="24"/>
              </w:rPr>
              <w:t>质保期后运行服务内容</w:t>
            </w:r>
          </w:p>
          <w:p>
            <w:pPr>
              <w:pStyle w:val="null3"/>
              <w:ind w:firstLine="360"/>
              <w:jc w:val="both"/>
            </w:pPr>
            <w:r>
              <w:rPr>
                <w:rFonts w:ascii="仿宋_GB2312" w:hAnsi="仿宋_GB2312" w:cs="仿宋_GB2312" w:eastAsia="仿宋_GB2312"/>
                <w:sz w:val="24"/>
              </w:rPr>
              <w:t>提供质保期后的运行服务方案，以及后续收费标准，包含单次服务标准和续保收费标准。</w:t>
            </w:r>
          </w:p>
          <w:p>
            <w:pPr>
              <w:pStyle w:val="null3"/>
              <w:ind w:firstLine="360"/>
              <w:jc w:val="both"/>
            </w:pPr>
            <w:r>
              <w:rPr>
                <w:rFonts w:ascii="仿宋_GB2312" w:hAnsi="仿宋_GB2312" w:cs="仿宋_GB2312" w:eastAsia="仿宋_GB2312"/>
                <w:sz w:val="24"/>
              </w:rPr>
              <w:t>重大事项的即时响应：所需费用由双方协商。</w:t>
            </w:r>
          </w:p>
          <w:p>
            <w:pPr>
              <w:pStyle w:val="null3"/>
              <w:ind w:firstLine="360"/>
              <w:jc w:val="both"/>
            </w:pPr>
            <w:r>
              <w:rPr>
                <w:rFonts w:ascii="仿宋_GB2312" w:hAnsi="仿宋_GB2312" w:cs="仿宋_GB2312" w:eastAsia="仿宋_GB2312"/>
                <w:sz w:val="24"/>
              </w:rPr>
              <w:t>4)</w:t>
            </w:r>
            <w:r>
              <w:rPr>
                <w:rFonts w:ascii="仿宋_GB2312" w:hAnsi="仿宋_GB2312" w:cs="仿宋_GB2312" w:eastAsia="仿宋_GB2312"/>
                <w:sz w:val="24"/>
              </w:rPr>
              <w:t>运行服务的档案</w:t>
            </w:r>
          </w:p>
          <w:p>
            <w:pPr>
              <w:pStyle w:val="null3"/>
              <w:ind w:firstLine="360"/>
              <w:jc w:val="both"/>
            </w:pPr>
            <w:r>
              <w:rPr>
                <w:rFonts w:ascii="仿宋_GB2312" w:hAnsi="仿宋_GB2312" w:cs="仿宋_GB2312" w:eastAsia="仿宋_GB2312"/>
                <w:sz w:val="24"/>
              </w:rPr>
              <w:t>运行服务的详细记载，可以用于分析总结。</w:t>
            </w:r>
          </w:p>
          <w:p>
            <w:pPr>
              <w:pStyle w:val="null3"/>
              <w:ind w:firstLine="360"/>
              <w:jc w:val="both"/>
            </w:pPr>
            <w:r>
              <w:rPr>
                <w:rFonts w:ascii="仿宋_GB2312" w:hAnsi="仿宋_GB2312" w:cs="仿宋_GB2312" w:eastAsia="仿宋_GB2312"/>
                <w:sz w:val="24"/>
              </w:rPr>
              <w:t>5)</w:t>
            </w:r>
            <w:r>
              <w:rPr>
                <w:rFonts w:ascii="仿宋_GB2312" w:hAnsi="仿宋_GB2312" w:cs="仿宋_GB2312" w:eastAsia="仿宋_GB2312"/>
                <w:sz w:val="24"/>
              </w:rPr>
              <w:t>用户投诉</w:t>
            </w:r>
          </w:p>
          <w:p>
            <w:pPr>
              <w:pStyle w:val="null3"/>
              <w:ind w:firstLine="360"/>
              <w:jc w:val="both"/>
            </w:pPr>
            <w:r>
              <w:rPr>
                <w:rFonts w:ascii="仿宋_GB2312" w:hAnsi="仿宋_GB2312" w:cs="仿宋_GB2312" w:eastAsia="仿宋_GB2312"/>
                <w:sz w:val="24"/>
              </w:rPr>
              <w:t>要求投标人设立用户投诉受理电话，对用户的意见做出反应。</w:t>
            </w:r>
          </w:p>
          <w:p>
            <w:pPr>
              <w:pStyle w:val="null3"/>
              <w:ind w:firstLine="360"/>
              <w:jc w:val="both"/>
            </w:pPr>
            <w:r>
              <w:rPr>
                <w:rFonts w:ascii="仿宋_GB2312" w:hAnsi="仿宋_GB2312" w:cs="仿宋_GB2312" w:eastAsia="仿宋_GB2312"/>
                <w:sz w:val="24"/>
              </w:rPr>
              <w:t>售后方案中须描述以下内容： 电话号码 (或传真) 、投诉中心负责人和受理答复时间。</w:t>
            </w:r>
          </w:p>
          <w:p>
            <w:pPr>
              <w:pStyle w:val="null3"/>
              <w:ind w:firstLine="360"/>
              <w:jc w:val="both"/>
            </w:pPr>
            <w:r>
              <w:rPr>
                <w:rFonts w:ascii="仿宋_GB2312" w:hAnsi="仿宋_GB2312" w:cs="仿宋_GB2312" w:eastAsia="仿宋_GB2312"/>
                <w:sz w:val="24"/>
              </w:rPr>
              <w:t>6</w:t>
            </w:r>
            <w:r>
              <w:rPr>
                <w:rFonts w:ascii="仿宋_GB2312" w:hAnsi="仿宋_GB2312" w:cs="仿宋_GB2312" w:eastAsia="仿宋_GB2312"/>
                <w:sz w:val="24"/>
              </w:rPr>
              <w:t>）驻场服务</w:t>
            </w:r>
          </w:p>
          <w:p>
            <w:pPr>
              <w:pStyle w:val="null3"/>
              <w:ind w:firstLine="360"/>
              <w:jc w:val="both"/>
            </w:pPr>
            <w:r>
              <w:rPr>
                <w:rFonts w:ascii="仿宋_GB2312" w:hAnsi="仿宋_GB2312" w:cs="仿宋_GB2312" w:eastAsia="仿宋_GB2312"/>
                <w:sz w:val="24"/>
              </w:rPr>
              <w:t>★质保期内，提供不少于6人月的驻场技术服务，安排专业技术人员驻校保障，负责平台日常巡检、运维监控、隐患排查与环境优化，保障系统7×24小时稳定运行；及时处置任务异常、数据偏差、指标错误等问题并优化修复；完成突发问题排查处置、复盘加固及闭环管理；根据甲方需求开展数据模型、指标报表、接口规则等轻量化适配优化；同步提供技术答疑、操作指导及运维培训；配合各方对接协调及各类检查复盘工作，全面保障免维期内数据中台合规、稳定、高效支撑业务开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服务期限：合同生效后60个工作日内交付用户试运行，试运行1个月后提交验收。 质保期：三年。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其他，合同生效后，达到付款条件起10个工作日内，支付合同总金额的50.0%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1、纸质响应文件递交要求： ①供应商须线下提交纸质响应文件正本壹份、副本贰份、电子版壹份（U盘壹份），内容和通过电子化交易平台实施的政府采购项目提交的响应文件一致。 ②纸质响应文件正本、副本、电子版，标明供应商名称分开密封递交（纸质响应文件采用双面打印）。 ③线下纸质文件递交截止时间：同在线递交电子响应文件截止时间一致；线下纸质文件递交地点：西安市雁展路1111号莱安中心T6-15层。如需邮寄响应文件，仅接受顺丰速运（联系人：杭琨、联系电话：029-81206622-825）。 2、保证金的退还：自采购合同签订之日起5个工作日内退还成交供应商的投标保证金。 3、采购人应按照采购文件和成交供应商响应文件，在成交通知书发出之日起25日内签订合同。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4供应商资格证明文件.docx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1分项报价表.docx 7保证金交纳凭证保函.docx 中小企业声明函 3商务条款响应说明.docx 4供应商资格证明文件.docx 6供应商承诺书.docx 2服务内容及服务要求应答表.docx 5响应方案说明.docx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1分项报价表.docx 7保证金交纳凭证保函.docx 中小企业声明函 3商务条款响应说明.docx 4供应商资格证明文件.docx 6供应商承诺书.docx 2服务内容及服务要求应答表.docx 5响应方案说明.docx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1分项报价表.docx 3商务条款响应说明.docx 标的清单 4供应商资格证明文件.docx 报价表 响应函 6供应商承诺书.docx 2服务内容及服务要求应答表.docx 5响应方案说明.docx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系统支撑响应情况</w:t>
            </w:r>
          </w:p>
        </w:tc>
        <w:tc>
          <w:tcPr>
            <w:tcW w:type="dxa" w:w="2492"/>
          </w:tcPr>
          <w:p>
            <w:pPr>
              <w:pStyle w:val="null3"/>
            </w:pPr>
            <w:r>
              <w:rPr>
                <w:rFonts w:ascii="仿宋_GB2312" w:hAnsi="仿宋_GB2312" w:cs="仿宋_GB2312" w:eastAsia="仿宋_GB2312"/>
              </w:rPr>
              <w:t>供应商响应技术指标及参数、功能完全满足磋商文件要求，无负偏离的得20分；其中“★”项为废标项，负偏离按无效文件处理；“▲”项参数为重要技术指标，每负偏离一项扣1分，非“▲”项参数每负偏离一项扣0.2分。扣完为止。 注：“★”“▲”项技术参数需按磋商文件要求提供佐证材料或承诺函，否则视为负偏离。未提供有效证明材料或承诺函或提供内容不符合要求的，该指标按负偏离处理。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供应商针对本项目提供项目实施方案，方案内容包括但不限于：①项目实施范围及技术方案；②项目总体目标及阶段性目标；③项目实施进度安排及保障措施；④保密措施及资源管理。 各项内容全面详细、阐述条理清晰、对评审内容中的各项要求有详细描述及说明得12分，每有一项缺项扣3分，每有一项内容存在一处缺陷扣0.5分，扣完为止。 备注：缺陷是指内容不合理、虽有内容但不完善、技术服务标准要求与本项目不一致或逻辑不通、套用其他项目方案或与项目需求不匹配及其他不利于项目实施的等任意一种情形。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对接方案</w:t>
            </w:r>
          </w:p>
        </w:tc>
        <w:tc>
          <w:tcPr>
            <w:tcW w:type="dxa" w:w="2492"/>
          </w:tcPr>
          <w:p>
            <w:pPr>
              <w:pStyle w:val="null3"/>
            </w:pPr>
            <w:r>
              <w:rPr>
                <w:rFonts w:ascii="仿宋_GB2312" w:hAnsi="仿宋_GB2312" w:cs="仿宋_GB2312" w:eastAsia="仿宋_GB2312"/>
              </w:rPr>
              <w:t>供应商针对本项目提供与现有数据中台的融合或对接方案。 内容全面详细、阐述条理清晰、对评审内容中的要求有详细描述及说明得2分，每存在一处缺陷扣0.5分，扣完为止。 备注：缺陷是指内容不合理、虽有内容但不完善、技术服务标准要求与本项目不一致或逻辑不通、套用其他项目方案或与项目需求不匹配及其他不利于项目实施的等任意一种情形。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对接经验</w:t>
            </w:r>
          </w:p>
        </w:tc>
        <w:tc>
          <w:tcPr>
            <w:tcW w:type="dxa" w:w="2492"/>
          </w:tcPr>
          <w:p>
            <w:pPr>
              <w:pStyle w:val="null3"/>
            </w:pPr>
            <w:r>
              <w:rPr>
                <w:rFonts w:ascii="仿宋_GB2312" w:hAnsi="仿宋_GB2312" w:cs="仿宋_GB2312" w:eastAsia="仿宋_GB2312"/>
              </w:rPr>
              <w:t>供应商具有2023年1月1日至今的项目融合或对接经验，并提供相关证明材料，得2分。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供应商针对本项目提供质量与服务保证方案，方案内容包括但不限于：①质量保障措施；②数据安全承诺；③项目管理措施；④违约情况的承诺；⑤应急保障措施。 各项内容全面详细、阐述条理清晰、对评审内容中的各项要求有详细描述及说明得10分，每有一项缺项扣2分，每有一项内容存在一处缺陷扣0.5分，扣完为止。 备注：缺陷是指内容不合理、虽有内容但不完善、技术服务标准要求与本项目不一致或逻辑不通、套用其他项目方案或与项目需求不匹配及其他不利于项目实施的等任意一种情形。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售后服务及培训</w:t>
            </w:r>
          </w:p>
        </w:tc>
        <w:tc>
          <w:tcPr>
            <w:tcW w:type="dxa" w:w="2492"/>
          </w:tcPr>
          <w:p>
            <w:pPr>
              <w:pStyle w:val="null3"/>
            </w:pPr>
            <w:r>
              <w:rPr>
                <w:rFonts w:ascii="仿宋_GB2312" w:hAnsi="仿宋_GB2312" w:cs="仿宋_GB2312" w:eastAsia="仿宋_GB2312"/>
              </w:rPr>
              <w:t>1、供应商针对本项目提供具体的售后服务方案，内容包括但不限于：①售后承诺；②售后服务范围及保障措施；③系统修复及各类问题响应解决时效。 各项内容全面详细、阐述条理清晰、对评审内容中的各项要求有详细描述及说明得6分，每有一项缺项扣2分，每有一项内容存在一处缺陷扣0.5分，扣完为止。 2、供应商针对本项目提供培训方案，内容包括但不限于：①培训方式与计划；②培训材料；③培训内容设计安排。 各项内容全面详细、阐述条理清晰、对评审内容中的各项要求有详细描述及说明得3分，每有一项缺项扣1分，每有一项内容存在一处缺陷扣0.5分，扣完为止。 备注：缺陷是指内容不合理、虽有内容但不完善、技术服务标准要求与本项目不一致或逻辑不通、套用其他项目方案或与项目需求不匹配及其他不利于项目实施的等任意一种情形。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1、拟派项目经理具有信息系统项目管理师（高级）证书，得2分。 2、项目成员具有相关能力证明，具有①系统集成项目管理工程师、②注册信息安全专业人员 数据安全治理专业人员、③软件设计师证书（原高级程序员）、④信息安全工程师证书或信息安全管理人员证书、⑤信息处理技术员证书，满足一项得2分，最高得10分。 注：提供相关证书及在职证明材料并加盖供应商公章。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1.CCRC信息安全服务资质（信息系统安全集成服务）证书，满足得2分，未提供不得分。 2.供应商具有与本项目相关软件自主研发能力，能够提供“AI智能”、“元数据”、“数据质量”、“信息标准”、“数据集成”、“数据交换”、“数据脱敏与加密”、“数据开放服务”大类或相关的软件著作权证书，每提供一项得1分，满分8分。 注：提供证明材料并加盖供应商公章。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供应商承诺在项目服务周期内具备所在地现场快速服务保障能力，提供承诺函得3分，未提供不得分。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供应商提供2023年1月1日至今（以合同签订日期为准）类似项目的业绩合同，每份计2分，满分10分。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磋商报价得分=(评标基准价／磋商报价)×价格权值×100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详见附件：4供应商资格证明文件.docx</w:t>
      </w:r>
    </w:p>
    <w:p>
      <w:pPr>
        <w:pStyle w:val="null3"/>
        <w:ind w:firstLine="960"/>
      </w:pPr>
      <w:r>
        <w:rPr>
          <w:rFonts w:ascii="仿宋_GB2312" w:hAnsi="仿宋_GB2312" w:cs="仿宋_GB2312" w:eastAsia="仿宋_GB2312"/>
        </w:rPr>
        <w:t>详见附件：5响应方案说明.docx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