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5BF2E">
      <w:pPr>
        <w:spacing w:line="360" w:lineRule="auto"/>
        <w:ind w:left="0" w:leftChars="0" w:firstLine="0" w:firstLineChars="0"/>
        <w:jc w:val="center"/>
        <w:rPr>
          <w:rFonts w:hint="default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eastAsia="zh-CN" w:bidi="ar-SA"/>
        </w:rPr>
        <w:t>服务方案</w:t>
      </w:r>
      <w:r>
        <w:rPr>
          <w:rFonts w:hint="eastAsia" w:ascii="仿宋" w:hAnsi="仿宋" w:eastAsia="仿宋" w:cs="仿宋"/>
          <w:b/>
          <w:bCs/>
          <w:kern w:val="0"/>
          <w:sz w:val="32"/>
          <w:szCs w:val="22"/>
          <w:lang w:val="en-US" w:eastAsia="zh-CN" w:bidi="ar-SA"/>
        </w:rPr>
        <w:t>及其他资料</w:t>
      </w:r>
    </w:p>
    <w:p w14:paraId="75FBF98A">
      <w:pPr>
        <w:numPr>
          <w:ilvl w:val="0"/>
          <w:numId w:val="1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根据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磋商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文件要求及评审内容自行编制。</w:t>
      </w:r>
    </w:p>
    <w:p w14:paraId="55CE9F4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2、依据竞争性磋商文件要求，供应商认为有必要说明的其他内容。</w:t>
      </w:r>
    </w:p>
    <w:p w14:paraId="0817A9E2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仿宋" w:hAnsi="仿宋" w:eastAsia="仿宋" w:cs="仿宋"/>
          <w:kern w:val="2"/>
          <w:sz w:val="24"/>
          <w:szCs w:val="24"/>
          <w:lang w:val="zh-CN" w:eastAsia="zh-CN" w:bidi="ar-SA"/>
        </w:rPr>
        <w:t>、其他可以证明供应商实力的文件。</w:t>
      </w:r>
    </w:p>
    <w:p w14:paraId="03C59C2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4CD6CF"/>
    <w:multiLevelType w:val="singleLevel"/>
    <w:tmpl w:val="C34CD6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D27139"/>
    <w:rsid w:val="29D2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2026-07-06T08:16:00Z</dcterms:created>
  <dc:creator>四方衡裕</dc:creator>
  <cp:lastModifiedBy>四方衡裕</cp:lastModifiedBy>
  <dcterms:modified xsi:type="dcterms:W3CDTF">2026-07-06T08:16:35Z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42FC8719BDD94EA494EED38AB1393B6C_11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