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版本号：SBRTZ-202607420260818001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留坝县教育数字化能力提升项目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SBRTZ-2026074</w:t>
      </w:r>
      <w:r>
        <w:br/>
      </w:r>
      <w:r>
        <w:br/>
      </w:r>
      <w:r>
        <w:br/>
      </w:r>
    </w:p>
    <w:p>
      <w:pPr>
        <w:pStyle w:val="null3"/>
        <w:jc w:val="center"/>
        <w:outlineLvl w:val="2"/>
      </w:pPr>
      <w:r>
        <w:rPr>
          <w:rFonts w:ascii="仿宋_GB2312" w:hAnsi="仿宋_GB2312" w:cs="仿宋_GB2312" w:eastAsia="仿宋_GB2312"/>
          <w:sz w:val="28"/>
          <w:b/>
        </w:rPr>
        <w:t>留坝县教育体育局</w:t>
      </w:r>
    </w:p>
    <w:p>
      <w:pPr>
        <w:pStyle w:val="null3"/>
        <w:jc w:val="center"/>
        <w:outlineLvl w:val="2"/>
      </w:pPr>
      <w:r>
        <w:rPr>
          <w:rFonts w:ascii="仿宋_GB2312" w:hAnsi="仿宋_GB2312" w:cs="仿宋_GB2312" w:eastAsia="仿宋_GB2312"/>
          <w:sz w:val="28"/>
          <w:b/>
        </w:rPr>
        <w:t>陕西博锐特项目管理有限公司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陕西博锐特项目管理有限公司</w:t>
      </w:r>
      <w:r>
        <w:rPr>
          <w:rFonts w:ascii="仿宋_GB2312" w:hAnsi="仿宋_GB2312" w:cs="仿宋_GB2312" w:eastAsia="仿宋_GB2312"/>
        </w:rPr>
        <w:t>（以下简称“代理机构”）受</w:t>
      </w:r>
      <w:r>
        <w:rPr>
          <w:rFonts w:ascii="仿宋_GB2312" w:hAnsi="仿宋_GB2312" w:cs="仿宋_GB2312" w:eastAsia="仿宋_GB2312"/>
        </w:rPr>
        <w:t>留坝县教育体育局</w:t>
      </w:r>
      <w:r>
        <w:rPr>
          <w:rFonts w:ascii="仿宋_GB2312" w:hAnsi="仿宋_GB2312" w:cs="仿宋_GB2312" w:eastAsia="仿宋_GB2312"/>
        </w:rPr>
        <w:t>委托，拟对</w:t>
      </w:r>
      <w:r>
        <w:rPr>
          <w:rFonts w:ascii="仿宋_GB2312" w:hAnsi="仿宋_GB2312" w:cs="仿宋_GB2312" w:eastAsia="仿宋_GB2312"/>
        </w:rPr>
        <w:t>留坝县教育数字化能力提升项目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SBRTZ-2026074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留坝县教育数字化能力提升项目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加速教育新基建进程，打造数字化发展新生态，通过引入先进的教育管理模式与智能技术，为教师提供多元化的教学手段，为学生定制个性化的学习路径，从而全面提升师生的信息素养，切实培养适应信息社会发展需求的高素质人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1、供应商有效的主体资格证明;：供应商为具有独立承担民事责任能力的法人或其他组织或自然人，并出具营业执照(事业法人证)或证明文件或自然人的身份证明。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2、法定代表人授权书;：法定代表人或单位负责人授权书及被授权人身份证(法定代表人或单位负责人直接参加投标除外，但须出示法定代表人或单位负责人身份证及营业执照复印件)。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留坝县紫柏路331号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0916-3922638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陕西博锐特项目管理有限公司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陕西省西安市雁塔区科技六路高新时代广场B座10楼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0916-2233355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0916-3921596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开户名称：陕西博锐特项目管理有限公司汉中分公司</w:t>
            </w:r>
          </w:p>
          <w:p>
            <w:pPr>
              <w:pStyle w:val="null3"/>
            </w:pPr>
            <w:r>
              <w:rPr>
                <w:rFonts w:ascii="仿宋_GB2312" w:hAnsi="仿宋_GB2312" w:cs="仿宋_GB2312" w:eastAsia="仿宋_GB2312"/>
              </w:rPr>
              <w:t>开户银行：中国建设银行股份有限公司汉中天汉大道支行</w:t>
            </w:r>
          </w:p>
          <w:p>
            <w:pPr>
              <w:pStyle w:val="null3"/>
            </w:pPr>
            <w:r>
              <w:rPr>
                <w:rFonts w:ascii="仿宋_GB2312" w:hAnsi="仿宋_GB2312" w:cs="仿宋_GB2312" w:eastAsia="仿宋_GB2312"/>
              </w:rPr>
              <w:t>银行账号：6105 0165 5300 0000 0778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 2、采购代理服务费的缴纳方式：在领取《成交通知书》时向采购代理机构一次性全额缴纳采购代理服务费。 3、采购代理服务费以转账形式缴纳至以下账户： 开户名称：陕西博锐特项目管理有限公司汉中分公司 开户银行：中国建设银行股份有限公司汉中天汉大道支行 银行账号：6105 0165 5300 0000 0778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留坝县教育体育局</w:t>
      </w:r>
      <w:r>
        <w:rPr>
          <w:rFonts w:ascii="仿宋_GB2312" w:hAnsi="仿宋_GB2312" w:cs="仿宋_GB2312" w:eastAsia="仿宋_GB2312"/>
        </w:rPr>
        <w:t>和</w:t>
      </w:r>
      <w:r>
        <w:rPr>
          <w:rFonts w:ascii="仿宋_GB2312" w:hAnsi="仿宋_GB2312" w:cs="仿宋_GB2312" w:eastAsia="仿宋_GB2312"/>
        </w:rPr>
        <w:t>陕西博锐特项目管理有限公司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陕西博锐特项目管理有限公司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陕西博锐特项目管理有限公司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陕西博锐特项目管理有限公司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陕西博锐特项目管理有限公司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陕西博锐特项目管理有限公司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联系电话：0916-2233355</w:t>
      </w:r>
    </w:p>
    <w:p>
      <w:pPr>
        <w:pStyle w:val="null3"/>
      </w:pPr>
      <w:r>
        <w:rPr>
          <w:rFonts w:ascii="仿宋_GB2312" w:hAnsi="仿宋_GB2312" w:cs="仿宋_GB2312" w:eastAsia="仿宋_GB2312"/>
        </w:rPr>
        <w:t>地址：汉中市汉台区竹园天玺办公楼(汉台区桥北广场东北角)</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加速教育新基建进程，打造数字化发展新生态，通过引入先进的教育管理模式与智能技术，为教师提供多元化的教学手段，为学生定制个性化的学习路径，从而全面提升师生的信息素养，切实培养适应信息社会发展需求的高素质人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数字化能力提升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标的名称：数字化能力提升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96"/>
              <w:gridCol w:w="188"/>
              <w:gridCol w:w="232"/>
              <w:gridCol w:w="1403"/>
              <w:gridCol w:w="172"/>
              <w:gridCol w:w="198"/>
              <w:gridCol w:w="164"/>
            </w:tblGrid>
            <w:tr>
              <w:tc>
                <w:tcPr>
                  <w:tcW w:type="dxa" w:w="19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序号</w:t>
                  </w:r>
                </w:p>
              </w:tc>
              <w:tc>
                <w:tcPr>
                  <w:tcW w:type="dxa" w:w="18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名称</w:t>
                  </w:r>
                </w:p>
              </w:tc>
              <w:tc>
                <w:tcPr>
                  <w:tcW w:type="dxa" w:w="23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子名称</w:t>
                  </w:r>
                </w:p>
              </w:tc>
              <w:tc>
                <w:tcPr>
                  <w:tcW w:type="dxa" w:w="140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技术参数</w:t>
                  </w:r>
                </w:p>
              </w:tc>
              <w:tc>
                <w:tcPr>
                  <w:tcW w:type="dxa" w:w="17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数量</w:t>
                  </w:r>
                </w:p>
              </w:tc>
              <w:tc>
                <w:tcPr>
                  <w:tcW w:type="dxa" w:w="19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单位</w:t>
                  </w:r>
                </w:p>
              </w:tc>
              <w:tc>
                <w:tcPr>
                  <w:tcW w:type="dxa" w:w="16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备注</w:t>
                  </w:r>
                </w:p>
              </w:tc>
            </w:tr>
            <w:tr>
              <w:tc>
                <w:tcPr>
                  <w:tcW w:type="dxa" w:w="1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一</w:t>
                  </w:r>
                </w:p>
              </w:tc>
              <w:tc>
                <w:tcPr>
                  <w:tcW w:type="dxa" w:w="2357"/>
                  <w:gridSpan w:val="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教育数字基座子系统</w:t>
                  </w: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w:t>
                  </w:r>
                </w:p>
              </w:tc>
              <w:tc>
                <w:tcPr>
                  <w:tcW w:type="dxa" w:w="18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统一门户</w:t>
                  </w:r>
                </w:p>
              </w:tc>
              <w:tc>
                <w:tcPr>
                  <w:tcW w:type="dxa" w:w="23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统一登录</w:t>
                  </w:r>
                </w:p>
              </w:tc>
              <w:tc>
                <w:tcPr>
                  <w:tcW w:type="dxa" w:w="140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1、针对管理员角色，提供账号密码登录方式。通过统一登录组件，针对不同角色提供聚合的登录方式。实现全局统一登录。</w:t>
                  </w:r>
                </w:p>
              </w:tc>
              <w:tc>
                <w:tcPr>
                  <w:tcW w:type="dxa" w:w="17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w:t>
                  </w:r>
                </w:p>
              </w:tc>
              <w:tc>
                <w:tcPr>
                  <w:tcW w:type="dxa" w:w="19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套</w:t>
                  </w:r>
                </w:p>
              </w:tc>
              <w:tc>
                <w:tcPr>
                  <w:tcW w:type="dxa" w:w="164"/>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singl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2、支持按用户名、密码登录PC端、手机端统一信息门户主页；支持PC端微信扫码登录。</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组织架构管理</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1、可支持学校自定义排序。</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2、支持机构信息查询、获取机构信息、获取机构职位列表。</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3、通过教工号查询用户信息获取教师的其他身份持组织架构查询，包括获取架构年级、班级等相关组织架构内容。</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消息管理</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支持各学校可通过平台发布各类消息信息直达家长，消息应能自动推送到站能消息页面。</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应用审核管理</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1、审核管理，支持开发者审核、应用上架审核。</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2、支持应用管理、开发者管理。</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3、支持基础信息管理，运营人员管理、账号权限配置、应用分类设置。</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平台角色管理</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角色是一组特定权限的集合，管理员可通过给对应层级的成员分配角色来赋予成员权限，支持创建自定义角色。为区级管理平台提供平台角色管理的能力。平台管理员可以为不同的用户指定不同的角色，通过基于角色的权限控制体系实现用户权限控制。角色包括：超级管理员、普通管理员角色名称：角色名称是根据角色的用途与权限来定义的。角色来源：分为自定义和预定义两种。预定义即系统预置的角色，不可更改；自定义角色为用户在角色管理界面所创建的角色。</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2、支持按角色权限、特殊权限进行用户权限配置。</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3、支持创建新角色、编辑新角色名称，且系统角色不能删除。</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4、支持对每个角色进行成员管理、授权、应用分类别名设置、编辑、删除、添加常用应用操作。</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5、成员管理包含新增用户、批量删除用户，支持按姓名、登录名、手机号搜索成员信息。</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平台日志</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1、登录日志：支持查询平台登录日志。</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2、审计日志：支持按树形结构查询平台审计日志。</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教师网络空间</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1、空间主页：为教师提供一体化的办公场所，用户可在空间主页查看当前待办事项、使用已添加的应用。</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2、个人信息：支持展示教师个人身份信息，包括身份头像、姓名、用户类型。</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3、待办事项：支持展示基础平台和各应用的通知消息，支持快捷查看通知消息。</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5、应用管理：提供老师应用的管理页面，包括搜索查询，支持后台管理员对教师空间进行应用的分类与排序管理。</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7、我的应用：展示用户个人常用应用，支持个人自定义常用应用。</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10、设置：支持设置个人手机号码。</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学生网络空间</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1、空间主页：为学生提供一体化的个人空间，用户可在空间主页查看当前通知公告、使用已添加的应用。</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2、个人信息：支持展示学生个人身份信息，包括身份头像、姓名、用户类型。</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3、待办事项：提供消息统一管理模块，用户可在此查看各类消息。</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4、我的应用：展示用户个人常用应用，支持个人自定义常用应用。</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6、设置：支持设置个人手机号码。</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w:t>
                  </w:r>
                </w:p>
              </w:tc>
              <w:tc>
                <w:tcPr>
                  <w:tcW w:type="dxa" w:w="18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组织中心</w:t>
                  </w: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统一账号管理</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1、统一帐号管理通过建立统一的帐号存储中心，支持学校管理员作为学校所有帐号管理行为的中央控制枢纽以安全和便捷作为核心目标来实现帐号管理的功能。</w:t>
                  </w:r>
                </w:p>
              </w:tc>
              <w:tc>
                <w:tcPr>
                  <w:tcW w:type="dxa" w:w="17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w:t>
                  </w:r>
                </w:p>
              </w:tc>
              <w:tc>
                <w:tcPr>
                  <w:tcW w:type="dxa" w:w="1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套</w:t>
                  </w:r>
                </w:p>
              </w:tc>
              <w:tc>
                <w:tcPr>
                  <w:tcW w:type="dxa" w:w="1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2、帐号的创建基于统一身份认证进行，管理员可以实现帐号的统一创建，实现基础数据的录入和修改，创建成功后，就可以实现所有业务系统的登录操作。</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3、帐号的变更和修改由学校管理员进行统一操作。</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4、帐号的授权。在统一身份认证平台里。高级别的帐号如管理员帐号可以对普通用户的帐号进行帐号的授权操作。经过帐号的授权后，可实现统一的访问操作。</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7、统一帐号登录实现各类用户全生命周期的管理，平台把所有帐号的创建、信息变更事件都由统一身份库来触发，帐号管理事件发生后，根据既定的策略在相应的应用系统中创建变更。无须再在各个应用系统中部署开发独立的帐号管理模块。</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8、支持按树形结构查看系统账号信息，信息包含：序号、用户名、姓名、角色、手机号。</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9、支持单个/批量操作账号信息，包含重置密码、禁用账户、启用账户、锁定账户、解锁账户。</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10、支持按正常、已禁用查询、统计系统账号信息；11、支持按正常、已锁定状态查询、统计所有账户信息；</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11、支持按姓名、登录名、手机号搜索账户信息。</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统一单点登录</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1、平台具有完善的单点登录体系，一次主帐号登录后，可安全地在应用系统之间传递，用户不必重复输入凭证来确定身份。不仅带来了更好的用户体验，更重要的是降低了安全的风险和管理的消耗。</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上级单位管理</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支持针对该区域下的学校进行学校管理。支持新增学校，新增学校类型包含单校、集团校。点击新增学校支持编辑学校信息和联系人信息，学校信息包含Logo上传、名称填写、排序、网址、上级机构选择、所在地区选择、学校等级选择、是否公立学校选择、简介编写。联系人信息包含姓名、职务、身份证号码、手机号码、邮箱。支持以树形结构展示该区域下的所有学校，支持针对列表内的学校进行编辑、初始化、删除、应用授权。点击针对不同的学校进行应用授权，即支持针对单个学校授权使用该区域上架的各类应用。</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统一成员管理</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1、学校架构管理：包括教职工组织架构。</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2、学校成员管理：包括教职工、学生的添加查询修改删除等功能。</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3、组织架构：提供组织架构树管理，管理员可以自由增、删、改组织架构 树的节点层级、名称、数量等，并可以通过节点管理用户。支持按模板批量导入组织架构信息。</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4、成员管理</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1）教职工管理：支持添加、编辑、查询、删除学校教师信息。 支持按部门、姓名、手机号查询筛选。支持数据的批量导入和部分信息的批量导出。支持教师帐号的锁定和开启，锁定后教师将不能登录使用系统。</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学生/家长管理：支持对学生/家长进行增删改查操作；支持批量导入学生，通过下载Excel模板，填写学生信息。支持添加、编辑、查询、删除学校学生信息。支持按年级、班级、姓名查询筛选。支持数据的批量导入和部分信息的批量导出。支持学生及家长帐号的锁定和开启，锁定后学生及家长将不能登录使用系统。</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统一权限管理</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1、授权支持按管理员身份授权。</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2、支持管理者设置权限有误时按角色一键恢复默认授权。</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3</w:t>
                  </w:r>
                </w:p>
              </w:tc>
              <w:tc>
                <w:tcPr>
                  <w:tcW w:type="dxa" w:w="18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应用中心</w:t>
                  </w: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开发者管理</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1、支持查看开发者信息，包括序号、账号、姓名、手机号码、公司、申请时间、审批状态、支持禁用、锁定、重置密码操作；</w:t>
                  </w:r>
                </w:p>
              </w:tc>
              <w:tc>
                <w:tcPr>
                  <w:tcW w:type="dxa" w:w="17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w:t>
                  </w:r>
                </w:p>
              </w:tc>
              <w:tc>
                <w:tcPr>
                  <w:tcW w:type="dxa" w:w="1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套</w:t>
                  </w:r>
                </w:p>
              </w:tc>
              <w:tc>
                <w:tcPr>
                  <w:tcW w:type="dxa" w:w="1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2、支持点击开发者名称，支持查看开发者详细信息，包括姓名、邮箱、昵称、所属租户、手机号、身份证号码、接入接口秘钥（app_id、secret_key）；</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3、支持对具体开发者进行端口授权；</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4、支持按待审批、已通过、不通过状态查询汇总开发者信息；支持搜索开发者信息；</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应用管理</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支持添加第三方公司应用信息；支持第三方应用接入，支持开发者在平台注册，后台通过审批即支持上架第三方应用；支持第三方开发者登录平台，支持查看个人信息，我的应用等；支持开发者管理自己上架的应用，支持上下架自己的应用，设置应用的使用对象、PC端和移动端的访问域名地址，备注说明等。</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2、支持查看全部应用信息，包括应用类型、应用图标、应用名称、应用状态、管理员、开发者公司、应用来源、支持PC端、手机端应用预览；</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3、支持维护应用管理员信息，包括修改应用管理员信息；支持预览应用手机端、电脑端实际上线效果；支持手机端预览效果通过生成手机二维码进行扫码查看；</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支持对应用进行编辑、上线、下线操作；编辑内容包含应用信息：logo（支持在logo图标库进行选择）、应用名称、appCode、排序、应用类型（支持在已有应用类型进行选择）、应用来源、PC端访问链接；手机端访问链接、应用简介；菜单信息：支持新增或者修改菜单信息，信息包含：序号、菜单名称、菜单类型（PC端、手机端）、menuCode、菜单图标、删除操作。</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4</w:t>
                  </w:r>
                </w:p>
              </w:tc>
              <w:tc>
                <w:tcPr>
                  <w:tcW w:type="dxa" w:w="18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消息中心</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集成消息</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1、提供第三方平台集成消息，支持提供专门的调用接口。</w:t>
                  </w:r>
                </w:p>
              </w:tc>
              <w:tc>
                <w:tcPr>
                  <w:tcW w:type="dxa" w:w="17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w:t>
                  </w:r>
                </w:p>
              </w:tc>
              <w:tc>
                <w:tcPr>
                  <w:tcW w:type="dxa" w:w="1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套</w:t>
                  </w:r>
                </w:p>
              </w:tc>
              <w:tc>
                <w:tcPr>
                  <w:tcW w:type="dxa" w:w="1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消息微连接</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1、统一的消息中心通过接入通知消息、待办消息，实现微连接。</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5</w:t>
                  </w:r>
                </w:p>
              </w:tc>
              <w:tc>
                <w:tcPr>
                  <w:tcW w:type="dxa" w:w="18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安全中心</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密码设置</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1、支持设置每天重置密码总次数，支持设置用手机号码、姓名+身份证号，支持全部方式全选或者选择其中一种或者几种方式。</w:t>
                  </w:r>
                </w:p>
              </w:tc>
              <w:tc>
                <w:tcPr>
                  <w:tcW w:type="dxa" w:w="17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w:t>
                  </w:r>
                </w:p>
              </w:tc>
              <w:tc>
                <w:tcPr>
                  <w:tcW w:type="dxa" w:w="1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套</w:t>
                  </w:r>
                </w:p>
              </w:tc>
              <w:tc>
                <w:tcPr>
                  <w:tcW w:type="dxa" w:w="1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密码管理</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1、密码安全管理：强制过期支持开启、关闭、时间设置</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6</w:t>
                  </w:r>
                </w:p>
              </w:tc>
              <w:tc>
                <w:tcPr>
                  <w:tcW w:type="dxa" w:w="18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报表中心</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任务列表</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提供强大的线上任务式数据采集功能，用户可灵活定义及发布线上填报内容。支持新增操作，支持以列表形式进行填报信息展示，新增：设置任务信息，第一步：序号、任务名称、采集开始时间、结束时间、、备注。下一步：采集数据字段，支持按PC端、移动设备适配界面进行填报字段的设置，支持预览，支持全屏，支持字段内容的自动拖拽操作，支持编辑与删除操作）。第三步：支持设置采集人员，支持进行各学校管理人员。</w:t>
                  </w:r>
                </w:p>
              </w:tc>
              <w:tc>
                <w:tcPr>
                  <w:tcW w:type="dxa" w:w="17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w:t>
                  </w:r>
                </w:p>
              </w:tc>
              <w:tc>
                <w:tcPr>
                  <w:tcW w:type="dxa" w:w="1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套</w:t>
                  </w:r>
                </w:p>
              </w:tc>
              <w:tc>
                <w:tcPr>
                  <w:tcW w:type="dxa" w:w="1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任务详情</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1、点击任务详情，支持查询各类发布任务的详情，如包含学校名称、学校类型、任务时间、创建时间、采集进度。</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一键催收</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1、提供各类消息触达方式进行消息提醒。支持管理员查看已上传人员及未上传人员，可根据任务需要进行一键催收提醒，提高资料收集速度。</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学校数据统计</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1、支持局端管理员查看所有数据统计任务，支持点击某项统计任务能够查询各个学校数据统计汇总及详情。</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7</w:t>
                  </w:r>
                </w:p>
              </w:tc>
              <w:tc>
                <w:tcPr>
                  <w:tcW w:type="dxa" w:w="18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教育基础库</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学校基础信息数据库</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1、支持存储区域内机构信息、学校基本信息、校区信息、学校部门信息、年级基本信息、班级基本信息、课程信息、资产信息。</w:t>
                  </w:r>
                </w:p>
              </w:tc>
              <w:tc>
                <w:tcPr>
                  <w:tcW w:type="dxa" w:w="17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w:t>
                  </w:r>
                </w:p>
              </w:tc>
              <w:tc>
                <w:tcPr>
                  <w:tcW w:type="dxa" w:w="1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套</w:t>
                  </w:r>
                </w:p>
              </w:tc>
              <w:tc>
                <w:tcPr>
                  <w:tcW w:type="dxa" w:w="1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教职工基础信息数据库</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支持存储区域内各个学校教师的基本信息，含姓名、登录账号、教师工号、一卡通卡号、身份证号码、学历、民族、学位、部门、职务、邮箱、性别、籍贯、出生日期、政治面貌、教师类型、教师编制、通讯地址、手机号码。</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学生基础信息数据库</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1、支持存储区域内各个学校学生的基础信息，含登录账户、姓名、性别、一卡通卡号、出生日期、学号、学生学级、手机号、证件类型、证件号码、邮箱的信息。</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数据字典</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包括血型、户口类型、户籍范围、教育程度、外籍、健康状况、家庭关系、毕业院校、专业、学位、婚姻状况、民族、政治面貌、区域、性别、省市管理、出生地、籍贯、证件类型、教师编制、教师类型、职务、学生学级、系统类型查询、教师异动类型、学生异动类型等数据类型。</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8</w:t>
                  </w:r>
                </w:p>
              </w:tc>
              <w:tc>
                <w:tcPr>
                  <w:tcW w:type="dxa" w:w="18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数据分析与专题画像</w:t>
                  </w: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管理驾驶舱</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1、支持可视化展示该区域学校各个流程应用流程中各个校领导及老师的审批效率，支持根据可视化战术每个流程的审批平均时长及审批次数，并且支持查询到该审批流程里谁的审批平均时长最短</w:t>
                  </w:r>
                </w:p>
              </w:tc>
              <w:tc>
                <w:tcPr>
                  <w:tcW w:type="dxa" w:w="17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w:t>
                  </w:r>
                </w:p>
              </w:tc>
              <w:tc>
                <w:tcPr>
                  <w:tcW w:type="dxa" w:w="1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套</w:t>
                  </w:r>
                </w:p>
              </w:tc>
              <w:tc>
                <w:tcPr>
                  <w:tcW w:type="dxa" w:w="1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教育概览数据</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支持了解全区域学校的基本情况。</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1、师生比：支持查看各所属学校师生比例情况。</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2、办学类型：支持查看各所属学校办学类型情况，包括小学，初中，高中，九年一贯制，十二年一贯制。</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3、学校等级：支持查看各所属学校学校等级情况，包括国家重点学校，省一级学校，省二级学校，市一级学校，市二级学校，普通学校，职业学校。</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4、办学规模：支持查看各所属学校班级总数，学生人数，班级学生比。</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应用监测数据</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1、支持监测区域内用户在线及应用使用数据。</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数据统计：支持展示日活跃用户数据，包含今日活跃用户数量、本周活跃用户数量、本月活跃用户数量、本年活跃用户数量。支持展示新用户注册量，包含今日新用户注册量、本周新用户注册量、本月新用户注册量、本年新用户注册量。支持战术用户总数据量，包含用户数、教师、学生、家长用户数。支持展示学校数据量，包含单校、集团校。支持展示功能模块使用数据。包含功能模块名称、打开次数、支持按日期筛选，支持导出排行。便于区域了解各个应用的使用活跃度情况。</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学校画像</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1、各学科学段教师人数分布：各学科学段教师人数分布模块以图表的形式展现各个科目教师人数。</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2、教师学历分布：教师学历分布模块以图表的形式展示全校教师的学历情况，系统统计博士研究生、硕士研究生、大学本科生的人数占比。</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3、教师职称分布：教师职称分布模块以图表的形式展示全校教师的职称评定人数及占比情况，教师职称的主要类型有“特级教师”、“高级教师”、“一级教师”、“二级教师”、“三级教师”、“其他”。</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4、教学成果数量：教学成果数据模块以图表的形式展示了学校各个学科的教学成果情况。</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5、教师性别比例：教师性别比例模块以图表形式展示教师男女占比情况。</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6、教师年龄段分布：教师年龄段分布模块以图表的形式展现各个年龄层的在校教师数据。</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7、师生获奖情况：支持展现学校、教师、学生的最新获奖信息，字段内容包括“序号”、“名称”、“获奖身份”、“获奖项目”、“获奖类型”。</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教师基础画像</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1、支持展示教师个人画像，内容包括：个人信息、学习经历、工作经历、教师资格证、技能证书、师德、综合荣誉。</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学生基础画像</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1、支持展示学生个人画像，内容包括：个人基本信息、班级信息、成绩信息、过程评价、考勤记录、德育报告、荣誉展示、处分汇总、实践活动、体质健康、学期评语。</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二</w:t>
                  </w:r>
                </w:p>
              </w:tc>
              <w:tc>
                <w:tcPr>
                  <w:tcW w:type="dxa" w:w="2357"/>
                  <w:gridSpan w:val="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数字校园云应用云服务子系统</w:t>
                  </w: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w:t>
                  </w:r>
                </w:p>
              </w:tc>
              <w:tc>
                <w:tcPr>
                  <w:tcW w:type="dxa" w:w="18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智慧办公</w:t>
                  </w:r>
                </w:p>
              </w:tc>
              <w:tc>
                <w:tcPr>
                  <w:tcW w:type="dxa" w:w="23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教师通讯录</w:t>
                  </w:r>
                </w:p>
              </w:tc>
              <w:tc>
                <w:tcPr>
                  <w:tcW w:type="dxa" w:w="140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1、支持学校教师通过校内系统通讯录拨打电话，支持通过教师组织架构查询教师电话号码。</w:t>
                  </w:r>
                </w:p>
              </w:tc>
              <w:tc>
                <w:tcPr>
                  <w:tcW w:type="dxa" w:w="17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3</w:t>
                  </w:r>
                </w:p>
              </w:tc>
              <w:tc>
                <w:tcPr>
                  <w:tcW w:type="dxa" w:w="19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套</w:t>
                  </w:r>
                </w:p>
              </w:tc>
              <w:tc>
                <w:tcPr>
                  <w:tcW w:type="dxa" w:w="164"/>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公文助手</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发送文件：支持填写校内公文发送文件表，系统自动读取发起人、所属部门，填写人可选择收文日期、公文类型、紧急程度、保密、文种类型、来文文号、来文机关、文件标题、主要内容，支持添加附件，支持从行政组织架构中选择下一步处理人、抄送人。</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发送列表：系统支持选择时间段进行信息筛选，支持按标题进行信息搜索，支持以列表的形式展示发送的公文，主要内容包括：文件标题、收文日期、已处理、未处理、审批节点、流程状态、支持撤回、删除；系统支持公文内容详情查看以及流程步骤详情查看，支持公文信息内容在线打印。</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接收列表：接收列表内容包含待办、已办、全部；系统支持待办、已办、全部公文信息按时间段进行信息筛选，支持按发起人或标题进行信息搜索；支持审批、撤回操作；支持查看具体公文信息，支持打印公文信息。</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流程统计：系统支持以报表明细、公文构成、审批效率、发文排行榜的形式展示统计信息；支持报表明细按时间段以全校或部门的维度进行统计，支持导出总表、导出详情操作；系统支持以图表的形式展示校内公文的构成情况，支持按时间段、姓名搜索审批效率的统计情况，支持以时间段、姓名搜索发文排行榜。</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5、常用语：系统支持新增、编辑、删除常用语；支持搜索常用语。</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6、流程初始化：系统支持流程初始化设置，主要内容包含：发文类型、文种类型、紧急程度、密级程度、审批分组、流程控制设置。</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1）发文类型：系统支持新增、编辑、删除校内公文的发文类型；支持发文类型默认设置，支持按类型名称搜索。</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2）文种类型：系统支持新增、编辑、删除校内公文的文种类型，支持文种类型默认设置，支持按文种类型搜索。</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3）紧急程度：系统支持新增、编辑、删除校内公文的紧急程度类型，支持紧急程度默认设置，支持按紧急程度名称搜索。</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4）保密程度：系统支持新增、编辑、删除校内公文的保密程度类型，支持保密程度默认设置，支持按保密名称搜索。</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5）审批分组：系统支持新增、编辑、删除审批分组，支持设置自定义分组和公共分组，支持按组名进行搜索，支持选择具体组名查看分组信息，系统支持分组信息导入用户、下载模板、新增、删除等操作。</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6）流程控制：系统支持新增、删除流程控制内容，支持按申请人、处理人进行信息搜索。</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教师请假</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请假申请：系统支持老师在线填写请假申请，系统默认申请人和所属部门；支持选择请假类型、是否离市、开始时间、开始节次、结束时间、结束节次、请假总天数、请假总天数、请假事由，支持添加附件、支持在行政组织机构中选择处理人、抄送人。</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我的申请：系统支持查看我的请假申请记录，包括进行中和已结束的记录；支持按时间段进行信息筛选，支持按请假类型、事由进行信息搜索，支持对进行中的请假申请做撤销、删除操作；系统支持点击请假申请功能快捷进入填写页面。</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3、待我审批：系统支持审批人查看待办、已办、全部的审批信息，支持按时间段、申请人、请假类型进行信息检索，支持以列表形式展示待办、已办、全部信息，支持查看请假申请详细信息，并支持打印。</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流程查询：系统支持按时间段进行信息筛选，支持按申请人等进行信息搜索，支持导出总表、导出详情；支持查看申请人的请假明细信息；支持列表展示流程查询信息，内容包含：申请人、部门、请假次数、累计天数、请假总天数；支持对请假天数、请假次数做升序、降序排列。</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统计报表：系统支持以报表明细、请假构成、审批效率、申请排行的形式展示统计信息；支持报表明细按时间段以全校、部门、类型的维度进行展示，支持导出总表、导出详情操作；系统支持以图表的形式展示请假构成情况，支持按时间段、姓名搜索审批效率的统计情况，支持以时间段、姓名搜索申请排行统计情况。</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6、请假类型：系统支持新增、编辑、删除请假类型，支持请假类型默认设置，支持关键字搜索请假类型。</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7、常用语：系统支持新增、编辑、删除常用语操作，支持关键字搜索常用语。</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8、流程初始化：系统支持流程初始化设置，内容包括：审批条件、审批分组、流程控制。</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1）审批条件：系统支持新增、编辑、删除不同的审批条件，以便设置不同的审批。</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2）审批分组：系统支持新增、编辑、删除审批分组，支持设置自定义分组和公共分组，支持按组名进行搜索，支持选择具体组名查看分组信息，系统支持分组信息导入用户、新增、删除等操作。</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3）流程控制：系统支持新增、删除流程控制内容，支持按申请人、处理人进行信息搜索。</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值</w:t>
                  </w:r>
                  <w:r>
                    <w:rPr>
                      <w:rFonts w:ascii="仿宋_GB2312" w:hAnsi="仿宋_GB2312" w:cs="仿宋_GB2312" w:eastAsia="仿宋_GB2312"/>
                      <w:sz w:val="21"/>
                      <w:color w:val="333333"/>
                      <w:shd w:fill="FFFFFF" w:val="clear"/>
                    </w:rPr>
                    <w:t>/ 加班申请</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1、值/加班申请：支持申请人在线填写所属部门、开始时间、结束时间、值/加班类型、工作日值/加班天数、周末值/加班天数、节假日值/加班天数、值/加班事由、设置处理人和抄送人；支持上传附件。</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我的申请：支持在此菜单中查看自己进行中和已结束的流程情况，支持按照日期选择查看，并支持加班类型、事由搜索功能；页面设置有申请按钮，支持快速回到申请页面；界面内容包含：值/加班类型、开始日期、结束日期、值/加班总天数、流程状态、查看；支持查看详细信息；支持撤销、删除。</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值/加班审批：支持快速查看自己审批的流程，并进行处理；支持根据不同的审批状态进行分类查看，根据待办、已办和全部查看，支持按照选择时间段查看流程，并支持输入申请人、加班类型进行搜索；审批页面信息包含：申请人、值/加班类型、开始时间、结束时间、值/加班总天数、流程状态、审批操作。</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流程查询：支持快速查看流程信息，导出总表、导出详情操作；支持按照选择时间段查看流程，通过选择部门快速筛选，输入申请人进行搜索；页面信息包含：申请人、申请加班次数、值/加班总天数、作日值/加班天数、周末值/加班天数、节假日值/加班天数。支持点击申请人跳转到待我审批查看申请人详细信息。</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5、常用语：系统支持新增、编辑、删除常用语操作，支持关键字搜索常用语；</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统计报表：系统支持以报表明细、值/加班构成、审批效率、申请排行的形式展示统计信息；支持报表明细按时间段以全校、部门、类型的维度进行展示，支持导出总表、导出详情操作；系统支持以图表的形式展示，支持按时间段、姓名搜索审批效率的统计情况，支持以时间段、姓名搜索申请排行统计情况；</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7、流程初始化：系统支持流程初始化设置，内容包括：加班类型、审批条件、审批分组、流程控制；</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公章使用</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使用申请：系统支持填写公章使用申请，系统默认申请人和所属部门；支持选择使用时间、联系方式、用印文件（点击添加，内容包括：文件名、用印类型、用印次数）、使用事由，支持添加附件、支持在行政组织机构选择处理人、抄送人；</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我的申请：系统支持查看我的公章使用记录，包括进行中和已结束的记录；支持按文件名、用印事由、用印类型进行搜索，支持选择使用申请功能，快捷进入填写页面，支持对进行中的公章申请做撤销、删除操作；支持查看进行中、已结束的申请详细信息，并支持打印；</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待我审批：系统支持审批人查看待办、已办、全部的审批信息，支持按时间段、申请人、用印文件名、用印类型进行信息检索，支持以列表形式展示待办、已办、全部信息，支持查看公章使用的申请信息，并支持打印；</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统计报表：系统支持以报表明细、使用构成、审批效率、申请排行的形式展示统计信息；支持报表明细按时间段以全校、部门的维度进行展示，支持导出总表、导出详情操作；支持按时间段、姓名搜索审批效率的统计情况，支持以时间段、姓名搜索申请排行统计情况；</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流程查询：系统支持按时间段、流程状态（进行中、已撤销、已结束）进行信息筛选，支持按姓名进行信息搜索，支持查看申请人公章使用的详细信息；并支持打印；支持列表展示流程查询信息，内容包含：申请人、使用日期、流水编号、流程状态、审批状态等；</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6、常用语：系统支持新增、编辑、删除常用语操作，支持关键字搜索常用语；</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7、流程初始化：系统支持流程初始化设置，内容包括：用印类型、审批分组、流程控制；</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公章借用</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借用申请：支持填写公章借用申请，系统默认申请人和所属部门；支持选择借用时间、结束时间、联系方式、用印文件（点击添加，内容包括：文件名、用印类型）、借用事由，支持添加附件、支持在行政组织机构选择处理人、抄送人；</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我的申请：系统支持查看我的公章借用记录，包括进行中和已结束的记录；支持按文件名、用印事由、用印类型进行搜索，支持选择借用申请功能，快捷进入填写页面，支持对进行中的公章借用做撤销、删除操作；支持查看进行中、已结束的申请详细信息，并支持打印；</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借用审批：系统支持审批人查看待办、已办、全部的审批信息，支持按时间段、申请人、用印文件名、用印类型进行信息检索，支持以列表形式展示待办、已办、全部信息，支持查看公章借用的申请信息，并支持打印；</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统计报表：系统支持以报表明细、借用构成、审批效率、申请排行的形式展示统计信息；支持报表明细按时间段以全校、部门的维度进行展示，支持导出总表、导出详情操作；支持按时间段、姓名搜索审批效率的统计情况，支持以时间段、姓名搜索申请排行统计情况；</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流程查询：系统支持按时间段、流程状态（进行中、已撤销、已结束）进行信息筛选，支持查看申请人公章借用的详细信息；并支持打印；支持列表展示流程查询信息，内容包含：申请人、借用日期、归还日期、流水编号、流程状态、审批状态等；</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6、常用语：系统支持新增、编辑、删除常用语操作，支持关键字搜索常用语；</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7、流程初始化：系统支持流程初始化设置，内容包括：用印类型、审批分组、流程控制；</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经费申报</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1、经费申请：系统支持填写经费申请表，系统默认申请人和所属部门；支持填写联系方式、预算金额（元）、项目名称、需求内容、支持添加附件、支持在行政组织机构中选择处理人。</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我的申请：系统支持查看我的经费申请记录，包括进行中和已结束的记录；支持按时间段进行信息筛选，支持按项目名称进行信息搜索，支持对进行中的经费申请做撤销、删除操作；系统支持点击填写申请功能快捷进入经费申请填写页面。</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3、待我审批：系统支持审批人查看待办、已办、全部的审批信息，支持按时间段、发起了、项目名称进行信息检索，支持以列表形式展示待办、已办、全部信息，支持查看经费申报的详细信息，并支持打印。</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统计报表：系统支持以报表明细、审批效率、申请排行的形式展示统计信息；支持报表明细按时间段以全校、部门的维度进行展示，支持导出总表、导出详情操作；系统支持以图表的形式展示服务构成情况，支持按时间段、姓名搜索审批效率的统计情况，支持以时间段、姓名搜索申请排行统计情况。</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5、常用语：系统支持新增、编辑、删除常用语操作，支持关键字搜索常用语。</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6、流程初始化：系统支持流程初始化设置，内容包括：审批条件、审批分组、流程控制。</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1）审批条件：系统支持新增、编辑、删除不同的审批条件，以便设置不同的审批。</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2）审批分组：系统支持新增、编辑、删除审批分组，支持设置自定义分组和公共分组，支持按组名进行搜索，支持选择具体组名查看分组信息，系统支持分组信息导入用户、下载模板、新增、删除等操作。</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3）流程控制：系统支持新增、删除流程控制内容，支持按申请人、处理人进行信息搜索。</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8、流程查询：系统支持按时间段、流程状态（进行中、已撤销、已结束）进行信息筛选，支持按项目名称、申请人进行信息搜索，支持查看申请人经费申请的详细信息；支持列表展示流程查询信息，内容包含：项目名称、申请人、预算金额、流程状态、审批状态。</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会议管理</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1、会议申请：系统支持填写会议申请表，系统默认申请人和所在部门；支持选择联系方式、会前提醒、会议主题、会议地点；开始时间、结束时间、会议内容，支持添加附件，支持从组织架构中选择参会人员；</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2、我发起的：系统支持查看我发起的会议记录，包括进行中和已结束的记录；支持按关键字进行搜索，支持对进行中的会议做取消、一键提醒操作；支持查看会议主题的会议详情和会议考勤信息；</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3、我参与的：系统支持查看我参与的会议，包括进行中和已结束的记录；支持按时间段、关键字进行搜索，支持对我参与的会议做不参会或参会响应；支持查看我参与的会议主题详情和参会人员情况；</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会议统计：系统支持按会议标题进行信息搜索，支持会议统计信息导出操作；支持会议统计以列表形式展示，内容包括：会议主题、开始时间、结束时间、参会总人数、参会正常人数、参会迟到人数、未参会人数；</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统计报表：系统支持以报表明细、会议构成、申请排行的形式展示统计信息；支持报表明细按时间段以全校、部门的维度进行展示，支持导出报表操作；系统支持以图表的形式展示会议构成情况，支持按时间段、姓名搜索申请排行的统计情况；</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外出管理</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外出申请：系统支持填写外出申请，系统默认申请人和所属部门；支持选择外出地点、联系方式、开始时间、结束时间、外出类型、交通工具、途径城市、外出事由；支持添加附件、支持在组织机构选择处理人、抄送人。</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我的申请：系统支持查看我的外出申请记录，包括进行中和已结束的记录；支持按外出地点、类型、事由进行搜索，支持选择外出申请功能，快捷进入填写页面，支持对进行中的外出做撤销、删除操作；支持查看进行中、已结束的申请详细信息，并支持打印。</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外出审批：系统支持审批人查看待办、已办、全部的审批信息，支持按时间段、申请人、外出地点、外出类型进行信息检索，支持以列表形式展示待办、已办、全部信息，支持查看外出的申请信息，并支持打印。</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流程查询：系统支持按时间段、流程状态（进行中、已撤销、已结束）进行筛选，支持外出类型、申请人或事由等进行信息搜索，支持查看申请人外出的详细信息；并支持打印；支持列表展示流程查询信息，内容包含：申请人、外出类型、交通工具、途径城市、流程状态、审批状态等。</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5、常用语：系统支持新增、编辑、删除常用语操作，支持关键字搜索常用语。</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6、流程初始化：系统支持流程初始化设置，内容包括：外出类型、审批分组、流程控制。</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1）外出类型：系统支持新增、编辑、删除外出类型，支持类型搜索，支持外出类型默认设置。</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2）审批分组：系统支持新增、编辑、批量编辑、删除审批分组，支持设置自定义分组和公共分组，支持按组名进行搜索，支持选择具体组名查看分组信息，系统支持分组信息导入用户、新增、删除等操作。</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3）流程控制：系统支持新增、删除流程控制内容，支持按申请人、处理人进行信息搜索。</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8、统计报表：系统支持以报表明细、外出构成、审批效率、申请排行的形式展示统计信息；支持报表明细按时间段以全校、部门的维度进行展示，支持导出总表、导出详情操作；系统支持以图表的形式展示外出构成情况，支持按时间段、姓名搜索审批效率的统计情况，支持以时间段、姓名搜索申请排行统计情况。</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问卷调查</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问卷调查：系统支持新增、删除问卷调查项目，支持按时间段、问卷名称进行信息检索，支持以列表形式展示问卷调查项目，内容包括：排序、问卷名称、问卷来源、开始时间、结束时间、是否发布等；选择新增问卷，系统支持创建空白问卷（内容包括：序号、问卷名称、问卷时间、问卷来源、备注、选择人员（支持从行政组织机构中选择相关人员）），支持编辑提交问卷（内容包括：排序、题目、备注），支持预览发布文件；</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问卷结果：系统支持按时间段、问卷名称进行问卷信息搜索，支持以列表形式展示问卷结果信息，内容包括：排序、问卷名称、问卷来源、开始时间、结束时间等；支持选择问卷名称查看详细内容，支持按表格、图表的形式展示问卷结果，支持导出未填写名单、导出问卷调查详细结果；</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投票管理</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投票设置：系统支持新增、删除投票设置，支持按时间段、名称进行信息搜索，支持以列表形式展示投票设置，内容包括：名称、开始时间、结束时间、投票形式、投票方式、状态等；选择投标名称，系统支持基本设置（内容包括：排序、投票名称、投票时间、投票形式、投票说明、添加封面等）、支持其他设置（内容包括：投票方式、选项排序、投票次数、每次投票数、查看结果）、支持投票选项编号设置、选项名称及选项描述设置；</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2、投票统计：系统支持按时间段、名称进行搜索，支持投票统计详细信息查看，支持导出操作；</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流程设计器</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1、流程信息</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1）系统支持流程图标自定义设置；支持用户选择电脑本地应用图标或系统内置图标；支持排序设置（最多只能申请5个自定义流程）；</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2）支持自定义应用名称；</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3）支持适用人员选择，包括教师发起或学生发起；（教师发起的流程只能是系统内的教师账号才能进行使用；学生发起类型只能是系统内的学生或家长才能进行使用；）</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4）支持审批方式选择：包括任意通过或全部通过；（任意通过在流程审批过程中如果提交给多个人审批，只要其中任一审批人员选择同意就会继续进行流转；全部通过在流程审批过程中如果提交给多个人审批，必须全部人员选择同意才会继续，如果有人选择不同意，该流程则会直接结束）。</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5）系统支持用户对流程信息做简要说明；</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2、表单设计</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系统支持用户自定义设置流程表单；支持表单电脑端、移动端设置，支持表单设计效果预览、切换全屏以及生成</w:t>
                  </w:r>
                  <w:r>
                    <w:rPr>
                      <w:rFonts w:ascii="仿宋_GB2312" w:hAnsi="仿宋_GB2312" w:cs="仿宋_GB2312" w:eastAsia="仿宋_GB2312"/>
                      <w:sz w:val="21"/>
                      <w:color w:val="333333"/>
                      <w:shd w:fill="FFFFFF" w:val="clear"/>
                    </w:rPr>
                    <w:t>JSON；系统在表单设计中默认申请人、所属部门、联系电话；用户可根据需求在左侧导航栏中选择所需字段进行任意添加；</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1）固定字段：主要包括申请人、所属部门、所属班级、联系电话；在固定字段中，系统会根据用户填写流程信息时选择的适用人员而自动判定表单所默认固定字段内容；</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2）基础字段：主要包括单行文本、多行文本、计数器、数值、单选框组、多选框组、日期选择器、时间选择器、长日期控件、下拉选择框、开关、文字；</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3）高级字段：内容包括编辑器控件、级联选择器、自动编号器；</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3、页面布局：系统根据用户表单设计自定义好的内容，支持对页面布局做自定义设置，内容包括：电脑端页面布局和移动端页面布局设置；支持按时间段进行筛选，支持输入关键字进行搜索；</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1）电脑端页面布局设置菜单内容包括：我的申请、待我审批、流程查询；系统支持对菜单字段位置进行自定义设置，并以列表形式预览展示；</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2）移动端页面布局设置菜单内容包括：我的申请、我的申请详情、待我审批、待我审批详情；系统支持对菜单字段位置进行自定义设置，并以手机页面效果预览展示；</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4、流程控制：系统支持新增、配置下一步、删除、审批分组配置、审批条件配置、默认抄送设置；支持申请人修改操作；</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1）新增：支持提交人来源、处理人来源设；</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2）配置下一步：系统支持新增（新增审批流转配置）、编辑、删除等操作；</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3）审批分组配置：系统支持自定义组或公共分组设置，支持按组名进行搜索，支持新增、编辑、删除操作；支持点击组名查看分组成员，系统支持导入用户、下载模板、新增、删除等操作；</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4）审批条件配置：系统支持新增、删除审批条件配置操作，支持按组名进行搜索查询；</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5）默认抄送配置：系统支持默认抄送配置设置；</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w:t>
                  </w:r>
                </w:p>
              </w:tc>
              <w:tc>
                <w:tcPr>
                  <w:tcW w:type="dxa" w:w="18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后勤管理</w:t>
                  </w: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资产库管理</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资产入库管理：支持借用资产库、领用资产库和固定资产库的数据导入和导出，并对导入的资料进行管理和设置，支持导出入库记录，可可物品进行编辑和操作入库。页面支持展示资产名称、资产类型、库存总数和剩余库存等资产状态。</w:t>
                  </w:r>
                </w:p>
              </w:tc>
              <w:tc>
                <w:tcPr>
                  <w:tcW w:type="dxa" w:w="17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3</w:t>
                  </w:r>
                </w:p>
              </w:tc>
              <w:tc>
                <w:tcPr>
                  <w:tcW w:type="dxa" w:w="1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套</w:t>
                  </w:r>
                </w:p>
              </w:tc>
              <w:tc>
                <w:tcPr>
                  <w:tcW w:type="dxa" w:w="1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2、资产统计管理：支持统计和查看借用中和已领用的资产，可导出资产汇总和按照时间段导出领用明细。</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3、资产变更：包括借用资产库、领用资产库、固定资产库。</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借用资产库：以列表的形式展示，内容包括序号、资产名称、资产类型、资产编码、品牌类型、库存总数、剩余库存、正在借用、累计损坏、累计丢失、单位、单价、供应商、操作（变更库存总数）；变更库存总数支持自动填写原库存总数、手动输入新库存总数，变更原因；变更库存总数后，库存总数列数字变为蓝色，点击支持查看变更记录；剩余库存支持点击从多到少、从少到多排列。</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领用资产库：以列表的形式展示，内容包括序号、资产名称、资产类型、资产编码、品牌类型、库存总数、剩余库存、累计领用、单位、单价、供应商、操作（变更库存总数）；变更库存总数支持自动填写原库存总数、手动输入新库存总数，变更原因；变更库存总数后，库存总数列数字变为蓝色，点击支持查看变更记录；剩余库存支持点击从多到少、从少到多排列。</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固定资产库：以列表的形式展示，内容包括序号、资产名称、资产类型、资产编码、品牌类型、库存总数、单位、单价、供应商、资产位置、部门（已关联【数字】个部门）、操作（变更库存总数）；已关联【数字】个部门为蓝字，鼠标移到此位置即可查看具体哪些部门；变更库存总数支持自动填写原库存总数、手动输入新库存总数，变更原因；变更库存总数后，库存总数列数字变为蓝色，点击支持查看变更记录。</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物品领用</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1、领用申请：系统支持填写物品领用申请表，系统默认申请人和所属部门；支持填写联系方式、是否加急、添加物品、用途说明、支持添加附件，支持从行政组织机构中选择处理人和抄送人。</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我的申请：系统支持查看我的物品领用申请记录，包括进行中和已结束的记录；支持按时间段进行搜索，支持选择申请领用功能，快捷进入填写页面，支持对进行中的申请做撤销、删除操作；支持查看进行中、已结束的申请详细信息，并支持打印。</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3、领用审批：系统支持审批人查看待办、已办、全部的审批信息，支持按时间段、申请人进行信息检索，支持以列表形式展示待办、已办、全部信息，支持查看物品领用的申请信息，并支持打印。</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流程查询：系统支持按时间段、流程状态（进行中、已撤销、已结束）进行信息筛选，支持按申请人等进行信息搜索，支持查看申请人物品领用详细信息；并支持打印；支持列表展示流程查询信息，内容包含：申请人、申请日期、流程状态、审批状态等。</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5、常用语：系统支持新增、编辑、删除常用语操作，支持关键字搜索常用语。</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6、单位管理：系统支持物品单位管理，支持新增、编辑、删除物品单位，支持单位名称搜索。</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8、流程初始化：系统支持流程初始化设置，内容包括：类型、资产管理、发放管理、审批分组、流程控制。</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1）类型：系统支持领用申请的类型设置，支持新增、编辑、删除操作，支持按类型名称进行搜索，支持是否固定资产设置（是/否）。</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2）资产管理：系统支持新增、编辑、删除资产名称，支持资产名称在线启用操作，支持按资产名称进行搜索。</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3）发放管理：系统支持资产发放管理教师名单的新增、删除操作；点击新增，支持快捷搜索资产管理教师的姓名。</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4）审批分组：系统支持新增、编辑、批量编辑、删除审批分组，支持设置自定义分组和公共分组，支持按组名进行搜索，支持选择具体组名查看分组信息，系统支持分组信息导入用户、新增、删除等操作。</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5）流程控制：系统支持新增、删除流程控制内容，支持按申请人、处理人进行信息搜索。</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物品借用</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1、填写申请：系统支持填写物品借用申请表，系统默认申请人和所属部门；支持填写联系方式、选择物品、借用时间、物品数量、申请原因，支持添加附件，支持从行政组织机构中选择处理人和抄送人。</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我的申请：系统支持查看我的物品借用申请记录，包括进行中和已结束的记录；支持按物品名称进行搜索，支持选择填写申请功能，快捷进入填写页面，支持对进行中的申请做撤销、删除操作；支持查看进行中、已结束的申请详细信息，并支持打印。</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待我审批：系统支持审批人查看待办、已办、全部的审批信息，支持按时间段、申请人、物品名称、型号进行信息检索，支持以列表形式展示待办、已办、全部信息，支持查看物品借用的申请信息，并支持打印。</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统计报表：系统支持以报表明细、借用构成、审批效率、申请排行的形式展示统计信息；支持报表明细按时间段以全校、部门的维度进行展示，支持导出总表、导出详情操作；系统支持以图表等形式展示采购构成情况，支持按时间段、姓名搜索审批效率的统计情况，支持以时间段、姓名搜索申请排行统计情况。</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流程查询：系统支持按时间段、流程状态（进行中、已撤销、已结束）进行信息筛选，支持按姓名等进行信息搜索，支持查看申请人物品借用详细信息；并支持打印；支持列表展示流程查询信息，内容包含：物品名称、发起人。</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6、常用语：系统支持新增、编辑、删除常用语操作，支持关键字搜索常用语。</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7、流程初始化：系统支持流程初始化设置，内容包括物品管理、仓管人员、审批分组、流程控制。</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1）物品管理：系统支持物品新增、编辑、删除操作，支持按物品名称进行搜索，支持点击物品名称查看物品型号以及对物品型号做启用设置；支持新增、编辑、删除物品型号等内容。</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2）仓管人员：系统支持做仓管人员设置，支持点击新增在行政组织机构中选择对应仓管人员；支持快捷搜索仓库管理人员名单。</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3）审批分组：系统支持新增、编辑、批量编辑、删除审批分组，支持设置自定义分组和公共分组，支持按组名进行搜索，支持选择具体组名查看分组信息，系统支持分组信息导入用户、新增、删除等操作。</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4）流程控制：系统支持新增、删除流程控制内容，支持按申请人、处理人进行信息搜索。</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报修管理</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1、填写申请：系统支持填写报修申请表，系统默认申请人和所属部门；支持填写联系方式、是否加急、类型、名称、所在位置、问题说明及附件，支持添加附件，支持从行政组织机构中选择处理人和抄送人。</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我的申请：系统支持查看我的报修申请记录，包括进行中和已结束的记录；支持按名称、类型、说明进行搜索，支持选择填写申请功能，快捷进入填写页面，支持对进行中的申请做撤销、删除操作；支持查看进行中、已结束的申请详细信息，并支持打印。</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待我审批：系统支持审批人查看待办、已办、全部的审批信息，支持按时间段、发起人、名称、类型、说明进行信息检索，支持以列表形式展示待办、已办、全部信息，支持查看报修管理的申请信息，并支持打印。</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统计报表：系统支持以报表明细、报修构成、审批效率、申请排行的形式展示统计信息；支持报表明细按时间段以全校、部门的维度进行展示，支持导出总表、导出详情操作；系统支持以图表等形式展示，支持按时间段、姓名搜索审批效率的统计情况，支持以时间段、姓名搜索申请排行统计情况。</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5、常用语：系统支持新增、编辑、删除常用语操作，支持关键字搜索常用语。</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6、流程初始化：系统支持流程初始化设置，内容包括：维修人管理、审批分组、流程控制。</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场地预约</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场地预约：系统支持场地预约信息填写，系统默认申请人、所属部门，支持填写联系方式、预计人数，支持选择节次模式或时间模式、支持场地选择、支持选择时间模式（单日期/多日期）；支持选择使用日期、选择节次、所需器材和预约事由，支持添加附件，支持从行政组织机构中选择处理人和抄送人；</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我的预约：系统支持查看我的场地预约申请记录，包括进行中和已结束的记录；支持按场地、预约事由进行搜索，支持选择填写申请功能，快捷进入填写页面，支持对进行中的申请做撤销、删除操作；支持查看进行中、已结束的场地预约申请详细信息，并支持打印；</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待我审批：系统支持审批人查看待办、已办、全部的审批信息，支持按时间段、发起人、场地、预约事由进行信息检索，支持以列表形式展示待办、已办、全部信息，支持查看场地预约的申请信息，并支持打印；</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报表统计：系统支持以报表明细、预约构成、审批效率、申请排行的形式展示统计信息；支持报表明细按时间段以全校、部门的维度进行展示，支持导出总表、导出详情操作；系统支持以图表等形式展示预约构成情况，支持按时间段、姓名搜索审批效率的统计情况，支持以时间段、姓名搜索申请排行；</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5、流程查询：支持选择开始日期和结束日期、流程状态进行查询，支持申请人、场地名称查询；</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6、常用语：系统支持新增、编辑、删除常用语操作，支持关键字搜索常用语；</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7、流程初始化:系统支持流程初始化设置，内容包括：审批分组、流程控制；</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工资查询</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shd w:fill="FFFFFF" w:val="clear"/>
                    </w:rPr>
                    <w:t>1、我的工资：系统支持我的工资以月表、年表和汇总的形式进行查看，支持月表按月、工资分组的形式进行搜索查看；支持年表按年份、工资分组的形式进行查看，支持汇总表按年、工资分组、关键字等进行搜索。</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shd w:fill="FFFFFF" w:val="clear"/>
                    </w:rPr>
                    <w:t>2、工资汇总：系统支持按年、工资分组、教师姓名、工号进行信息检索，支持工资汇总表导出操作，支持以列表的形式展示工资汇总表。</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shd w:fill="FFFFFF" w:val="clear"/>
                    </w:rPr>
                    <w:t>3、工资设置：系统支持新增、编辑、删除工资设置内容；支持按年月进行信息搜索；支持点击工资设置名称查看工资详情，支持工资详情导入操作。</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shd w:fill="FFFFFF" w:val="clear"/>
                    </w:rPr>
                    <w:t>4、工资分组：系统支持工资分组新增、编辑、删除操作。</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物品采购</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填写申请：系统支持填写零星采购单，系统默认申请人和所属部门；支持填写联系方式、采购编码、申请名称、估价人、申请日期、申请类别、采购事由，支持添加附件，支持填写采购物品（内容包含：序号、物资名称、品牌/规格型号、单位、数量、估价（元）、用途说明、预计金额（元））和继续添加采购物品单，支持下载模板、导入数据；支持从行政组织机构中选择处理人和抄送人；</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我的申请：系统支持查看我的申请记录，包括进行中和已结束的记录；支持按采购事由、采购编号进行搜索，支持选择填写申请功能，快捷进入填写页面，支持对进行中的申请做撤销、删除操作；支持查看进行中、已结束的申请详细信息，并支持打印；</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待我审批：系统支持审批人查看待办、已办、全部的审批信息，支持按时间段、申请人、采购事由、采购编号进行信息检索，支持以列表形式展示待办、已办、全部信息，支持查看零星采购的申请信息，并支持打印；</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统计报表：系统支持以报表明细、采购构成、审批效率、申请排行的形式展示统计信息；支持报表明细按时间段以全校、部门的维度进行展示，支持导出总表、导出详情操作；系统支持以图表等形式展示采购构成情况，支持按时间段、姓名搜索审批效率的统计情况，支持以时间段、姓名搜索申请排行统计情况；</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流程查询：系统支持按时间段、流程状态（进行中、已撤销、已结束）进行筛选，支持按姓名、申请名称进行信息搜索，支持查看申请人采购的详细信息；并支持打印；支持列表展示流程查询信息，内容包含：申请名称、申请日期、申请人、估价人、采购编码、流程状态、审批状态等；</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6、常用语：系统支持新增、编辑、删除常用语操作，支持关键字搜索常用语；</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7、物品单位：系统支持新增、编辑、删除物品单位名称，支持物品单位信息搜索，支持物品单位默认设置；</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8、流程初始化：系统支持流程初始化设置，内容包括：申请类别、审批条件、审批分组、流程控制；</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3</w:t>
                  </w:r>
                </w:p>
              </w:tc>
              <w:tc>
                <w:tcPr>
                  <w:tcW w:type="dxa" w:w="18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智慧教务</w:t>
                  </w: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课表管理</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1、科研组长：系统支持新增、删除、编辑科研组长信息</w:t>
                  </w:r>
                </w:p>
              </w:tc>
              <w:tc>
                <w:tcPr>
                  <w:tcW w:type="dxa" w:w="17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3</w:t>
                  </w:r>
                </w:p>
              </w:tc>
              <w:tc>
                <w:tcPr>
                  <w:tcW w:type="dxa" w:w="1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套</w:t>
                  </w:r>
                </w:p>
              </w:tc>
              <w:tc>
                <w:tcPr>
                  <w:tcW w:type="dxa" w:w="1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2、年级组长：系统支持新增、删除、编辑年级组长信息</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3、备课组长：系统支持新增、删除、编辑备课组长信息</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教学班：系统支持新增、删除、编辑、查询和查看各科教学班，支持按照学期、课程组别、班级类型、学期类型、年级、科目、班级模式、学生模式、考勤等进行信息的筛选，支持按列表形式展示教学班信息，主要包括：序号、教学班（点击教学班，系统支持教学班数据的导出，支持教学班信息以列表形式展示，内容包括：学生姓名、学号、性别、座位号、行政班、班主任；）、课程、班级类型、学期类型（支持按学期课或学段课显示）、年级、教室、教师、学生人数（点击学生人数，支持显示班级全部学生信息，且支持信息导出）、课表（点击课表，支持课表详情的展示）、绑定行政班（支持绑定行政班或走班模式设置）、学生模式（支持绑定班级学生、或自定义学生）、停课状态；支持查看。</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5、课程管理：主要包括课程管理、科目管理、课程类型、课程组别、课程领域。</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①课程管理：系统支持课程管理的导入、导出、新增、编辑、删除操作，支持按科目、课程类型、学期类型、课程组别进行信息筛选，支持按课程名称或课程编码进行信息搜索，支持以列表的形式展示信息：主要包括：序号、课程名称、课程编码、课程简称、课程类型、课程组别、学期类型、课程领域、科目、学分、学时、课程说明等信息。</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②科目管理：系统支持导入、导出、新增、编辑、删除操作，支持按科目名称进行信息搜索，支持科目以列表形式展示，主要内容包括：序号、科目名称、必修学分、选修学分、是否高考选课、科目领域等。</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③课程类型：系统支持导入、导出、新增、编辑、删除操作，支持按课程类型进行信息搜索，支持以列表形式展示课程类型，主要包括：序号、课程类型、代表色等。</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④课程组别：系统支持新增、编辑、删除以及组别子项设置，支持按课程组别进行信息搜索，支持按列表展示，主要内容包括：序号、课程组别、组别子项等内容。</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⑤课程领域：系统支持新增、编辑、删除操作，支持按课程领域进行信息搜索，支持以列表的形式展示信息，主要内容包括：序号、课程领域等。</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6、全校课表：主要包括行政班、教学班、教师、教室课表的显示；</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①行政班：系统支持课表明细导出、分班导出、总表导出，支持按学期、学段，年级，班级进行信息检索，支持按明细、总表进行课表查看；支持行政班课表以星期、节次的形式展现。</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②教学班：系统支持课表明细导出、分班导出、总表导出，支持按学期、学段、年级、科目进行信息检索，支持按明细、总表进行课表查看；支持教学班课表以星期、节次的形式展现。</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③教师：系统支持教师课表明细导出、分班导出、总表导出，支持按学期、学段、科目、教师进行信息检索，支持按明细、总表进行课表查看，支持教师课表以星期、节次的形式展现。</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④教室：系统支持教室课表明细导出、分班导出、总表导出，支持按学期、学段、楼栋、教室进行信息检索，支持按明细、总表进行课表查看，支持教室课表以星期、节次的形式展现。</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7、学生课表：支持按照学年进行信息筛选，支持按学号和姓名进行信息查询，支持查看日课表（当天）、日课表（本周）、周课表三种模式。支持课表导出。</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8、班级课表：系统支持按学期学段、班级进行班级课表检索，支持查看班级周课表、日课表，支持班级课表导出操作。</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9、课表查询：系统支持按学期学段，教师工号、姓名，学生学号、姓名，班级名称进行课表查询，系统支持查看单个教师的周课表、日课表；支持查看单个学生的周课表、日课表，支持查看具体班级的周课表、日课表。</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10、科组课表：系统支持按学期、学段、科目、教师姓名进行科组课表查询，支持科组课表导出；支持科组课表以列表形式和课表形式展示。</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11、校历：支持管理员编辑校历，发布课表；普通老师支持按照时间段查看校历。</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选课管理</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shd w:fill="FFFFFF" w:val="clear"/>
                    </w:rPr>
                    <w:t>1、选课设置：系统支持新增、删除、清除缓存，支持选择选课名称对其进行编辑；支持按选课名称的搜索，支持选课项目以列表形式展示，主要内容包括：序号、选课名称、学年、选课模式（列表选课、课表选课）、开始时间、结束时间、是否开启按人限制、测试状态、是否激活、以及发送消息或操作（发布课表）。</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shd w:fill="FFFFFF" w:val="clear"/>
                    </w:rPr>
                    <w:t>①列表选课：支持选课设定，内容包括：排序、学期、选课名称、选课时间、选课模式、是否开启按人限制、选课说明；支持参选班级选课，以树形结构选择参选班级；支持参选科目选择（开启所有/关闭所有）；支持选班分组设置，系统可新增、编辑、删除分组，支持列表展示分组，内容包括：序号、分组名称、最小选课数、最大选课数等；支持选课开班设置，系统支持新增、删除、编辑以及更多选择（如：班级类型设置、选课班级导入、预选名单导入、选课班级导出）；系统支持列表展示选课开班项目内容，主要包括：序号、所属分组、班级名称、班级类型、课程、总名额、剩余名额、任课老师、教室、选课对象、授权状态、预选名单、黑名单、退课限制状态等内容。</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shd w:fill="FFFFFF" w:val="clear"/>
                    </w:rPr>
                    <w:t>②课表选课：支持选课设定，内容包括：排序、学期、选课名称、选课时间、选课模式、是否开启按人限制、选课说明；支持参选班级选课，以树形结构选择参选班级；支持参选科目选择（开启所有/关闭所有）；支持选班分组设置，系统可新增、编辑、删除分组，支持列表展示分组，内容包括：序号、分组名称、最小选课数、最大选课数等；支持选课开班设置，系统支持新增、删除、编辑以及更多选择（如：班级类型设置、选课班级导入、预选名单导入、选课班级导出）；系统支持列表展示选课开班项目内容，主要包括：序号、所属分组、班级名称、班级类型、课程、总名额、剩余名额、任课老师、教室、星期节次、选课对象、授权状态、预选名单、黑名单、退课限制状态等内容。</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shd w:fill="FFFFFF" w:val="clear"/>
                    </w:rPr>
                    <w:t>2、学生选课：支持学生登录系统进行当前选课和历史选课查看，在当前选课功能中选择进入选课，学生可根据自己的喜好进行选择，当前选课以列表的形式展现，主要内容包括：序号、选课分组、班级名称、课程说明、任课教师、教室、剩余名额、选课状态、选课操作。</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shd w:fill="FFFFFF" w:val="clear"/>
                    </w:rPr>
                    <w:t>①列表选课：支持学生登录系统后进行当前选课和历史选课信息查看，支持在当前选课状态下进行选课，支持以列表形式展示选课内容，内容包括：序号、选课分组、班级名称、课程说明、任课教师、教室、剩余名额、选课状态等内容。</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shd w:fill="FFFFFF" w:val="clear"/>
                    </w:rPr>
                    <w:t>②课表选课：支持学生登录系统后进行当前选课和历史选课信息查看，支持在当前选课状态下进行选课，支持以星期形式展示选课内容，选课的课程以弹框形式展示，内容包括：序号、班级名称、课程说明、任课教师、教室、星期节次、剩余名额等信息。</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shd w:fill="FFFFFF" w:val="clear"/>
                    </w:rPr>
                    <w:t>3、选课调整：系统支持学生选课调整，通过选择选课项目名称、输入学生姓名、学号可进行信息选课调整信息筛选，系统支持选课调整信息以列表形式展示：</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shd w:fill="FFFFFF" w:val="clear"/>
                    </w:rPr>
                    <w:t>①列表选课：支持列表展示课表选课：主要包括：序号、学号、姓名、性别、行政班、选课班级、班级类型、选课分组、任课教师、选课时间、预选状态，支持点击学生姓名进行学生选课详情查看等操作。</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shd w:fill="FFFFFF" w:val="clear"/>
                    </w:rPr>
                    <w:t>②课表选课：支持列表展示列表选课：主要包括：序号、学号、姓名、性别、行政班、选课班级、班级类型、选课分组、任课教师、星期节次、选课时间、预选等信息；支持点击学生姓名进行学生选课详情查看等操作。</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shd w:fill="FFFFFF" w:val="clear"/>
                    </w:rPr>
                    <w:t>4、选课统计：选课统计主要包含课程统计、学生统计、未选统计。</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333333"/>
                      <w:shd w:fill="FFFFFF" w:val="clear"/>
                    </w:rPr>
                    <w:t>5、选课预览：系统支持按选课方案、学生姓名进行选课预览查看，支持预览结果以列表形式展示。</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退课管理</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1、退课申请：支持学生进行退课申请，含学生名字、家长姓名、年级、班级、退课课程、退课原因、处理人；支持添加附件。</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我的申请：支持在此菜单中查看自己进行中和已结束的退课流程情况，支持按照日期选择查看，并支持搜索功能；页面设置有申请按钮，支持快速回到申请页面；界面内容包含：学号、学生名字、退课班级、退课课程、流程状态、查看、操作；操作支持撤销、删除。</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待我审批：支持快速查看自己审批的退课流程，并进行处理；支持根据不同的审批状态进行分类查看，根据待办、已办和全部查看，支持按照选择时间段申请人、学号、学生姓名、退课班级、退课课程、流程状态、审批操作。</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流程查询：支持快速查看流程信息；支持按照选择时间段查看流程，通过选择流程状态快速筛选，输入项目名称、申请人进行搜索；页面信息包含：申请人、学号、学生姓名、退课班级、退课课程、流程状态、审批状态。支持查看申请人详细信息。</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5、常用语：系统支持新增、编辑、删除常用语操作，支持关键字搜索常用语；</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统计报表：系统支持以报表明细、审批效率、申请排行的形式展示统计信息；支持报表明细按时间段以全校、班级的维度进行展示，支持导出总表、导出详情操作；系统支持以图表的形式展示请假构成情况，支持按时间段、姓名搜索审批效率的统计情况，支持以时间段、姓名搜索申请排行统计情况；</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7、流程初始化：系统支持流程初始化设置，内容包括：审批分组、流程控制；</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调代课管理</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1、我的调代课：系统支持按时间段、上课日期、类型、状态、节次进行信息筛选，支持按教师姓名进行信息搜索，系统支持教师选择“我要调课、我要代课、我要合班、换教室”操作。</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1）我要调课：支持教师选择“我要调课”功能，支持教师选择具体要调课的时间、需要调课的节次，与可调课的教师进行调课操作。</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我要代课：支持教师选择“我要代课“功能，支持教师选择具体要代课的时间、需要代课的节次，在系统弹框中选择科目、教师姓名进行代课教师信息检索，在确定代课教师后填写代课原因，确定即可完成代课操作。</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3）我要合班：系统支持教师选择“我要合班”功能，支持教师选择原有上课班级，以及可合班的班级，在系统弹框中输入合班原因，即可完成合班操作。</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4）我要换教室：系统支持教师选择“我要换教室”功能，支持教师选择原有教室后，在系统弹框中选择需要更换的教室，输入原因，即可完成换教室操作。</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调代课操作：系统支持按时间段，上课日期，类型、状态、节次进行信息筛选，支持按教师姓名进行信息搜索，支持选择新增调课、新增代课、新增换课、新增合班、换教室操作。系统支持以列表形式展示调代课操作内容，主要包括：序号、类型、调代课班级、原教学计划，新代课方案等。</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调代课确认：系统支持按时间段、上课日期进行信息筛选，支持按教师姓名进行信息搜索，支持以列表的形式展示调（代）课确认结果；主要内容包括：序号、类型、申请人、调代课班级、课程时间、节次、原课程时间、原节次、原课程、申请时间、状态等。</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调代课审批：系统支持查看待处理和已处理信息，支持待处理按时间段、上课日期、类型（调课、代课、换课、合班、换教室）、节次进行信息筛选，支持按教师姓名进行搜索，支持已处理按时间段、上课日期、类型、状态、节次进行信息筛选，支持按教师信息进行信息搜索，系统支持以列表的形式展示待处理信息，主要包括：序号、类型、申请人、调代课班级、课程时间、节次、课程、教室、调（代）课老师、原课程时间、原节次、原课程、教室、申请时间、状态、审批；支持查看已处理信息，主要包括：序号、类型、申请人、调代课班级、课程时间、节次、课程、调（代）课老师、原课程时间、原节次、原课程、申请时间、状态、审批人员等。</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统计查看：系统支持按学年、科组、时间段进行信息筛选，支持按教师姓名进行信息搜索，支持统计结果以列表形式展示，主要包括：序号、教师姓名、计划课时量、代课时量、被代课时量、超课时量、事假课时量。</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6、调代课设置：调代课设置包括：个人调代课审批设置、调代课操作审批设置、审批消息。</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个人调代课审批设置：系统支持参数配置内容包括：是否允许教师个人发起【调课】申请；是否允许教师个人发起【代课】申请；是否允许教师个人【合班】申请；是否允许教师个人发起【换教室】申请；是否开启领导审批；添加审批人员；领导审批是否默认发送消息；代课选人组件是否默认显示本班任课教师。</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2）调代课操作审批设置：系统支持调代课操作审批设置内容包括：是否开启领导审批，添加审批人员。</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3）审批消息：系统支持调课、代课、换课、合班、换教室参数配置发送消息角色设置。</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4）系统支持以业务逻辑图的形式展示调代课流程。</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课时量管理</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课时量统计：系统支持按时间、部门、科目、年级或教师姓名、工号进行信息筛选；支持课时汇总导出列表、导出详情以及保存；支持以列表形式展示课时汇总信息；主要包括：序号、教师姓名、工号、科目、年级、部门、多个课程、周节数、系数、小计、社会性工作、周课时、月课时、增加课时（由管理员自定义增加，可备注增加原因）、实际课时。</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2、人员角色：系统支持新增、编辑、删除人员角色，支持以列表的形式展示角色信息；主要内容包括：序号、角色名称、教师数量、折算课时等。</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3、学科系数：系统支持按学科、年级进行学科系统搜索，支持学科系统保存、删除；支持通过点击单元格数字修改的方式进行快速编辑。</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成绩管理</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1、参数设置：支持设置开始等级，等级模式支持选择按分数段设置、按百分比设置、按分数段+百分比设置。</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成绩录入：系统支持按学年、科目、班级进行信息筛选，支持按学号进行信息搜索，支持保存、导入、导出成绩；支持以列表形式展示成绩录入信息，包括：学号、姓名、状态、过程分、考试成绩、综合成绩、等级。</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3、成绩调整：支持对学生成绩进行调整；支持按学生学号进行信息搜索；支持删除。支持以列表形式展示成绩调整信息，包括：学号、姓名、考试、课程、过程分、考试分、综合分、等级等。</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成绩汇总：系统支持按学年、科目等进行信息筛选，支持按学号进行信息搜索，支持发送成绩汇总消息；支持以列表形式展示成绩汇总信息，包括：序号、学号、姓名、班级、过程分、考试成绩、综合成绩、综合成绩班名、考试成绩班名、考试成绩级名、等级。</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5、个人单次成绩查询：支持学生、家长手机端查询学生个人单次考试成绩以及单次学业雷达图。</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6、个人历史成绩查询：支持学生、家长手机端查询学生个人历次考试成绩以及历次趋势图。</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7、按班级查询：支持查看行政班班级成绩报表，选择考试名称、行政班级进行成绩查询，支持通过学号或姓名查询学生成绩；支持筛选导出功能；支持以折线图展示学生所有科目分数趋势、班级排名趋势、年级排名趋势。</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8、按科组查询：支持查看教学班班班级成绩报表，选择考试名称、教学班级进行成绩查询，支持通过学号或姓名查询学生成绩；支持筛选导出功能；支持以折线图展示学生任课科目分数趋势、班级排名趋势、年级排名趋势。</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9、个人查询报表模式设置：支持对报表的显示进行设置，包括：对学生家长成绩是仅显示分数或者等级或者分数和等级都显示；对行政班和教学班成绩成绩是仅显示分数或者等级或者分数和等级都显示，是否显示排名信息，是否允许导出成绩。</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10、期末报表设置：支持针对期末成绩设置过程分比例、期中分比例。</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11、个人学期成绩报告单查询：学生在电脑端查询个人成绩以及趋势图。</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在线评教（教学满意度调查、作业调查）</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评教设置：支持评价列表展示，内容包含序号、评价名称、开始时间、结束时间、发布状态、测试状态、是否开启、操作（导出结果包括：导出评教汇总结果、导出教师明细结果、导出教师问答结果、导出评教原始数据）；支持输入评价名称搜索；支持新增、删除。新增评价包含评价设定（排序、选择学段、评价名称、评价时间、评价说明）；参选班级（按树形结构勾选）、评价分组（序号、分组名称、评价方式、分组类型）；评价项目（序号、评价分组、评价内容、选项数、试题类型、是否必填，支持评价项目新增、删除、评价项目导入、评价分段导入、评价项目导出、评价分段导出）、题目组合（序号、分组、题目组合、已关联题目，支持新增、编辑、删除操作）。</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2、学生评教：支持学生登录系统对已设置的评教方案进行评教录入；分当前评价与历史评价。点击当前评教学生可进行评教录入，录入的教师全部是通过课表自动关联的任课教师。</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教师排名：系统支持按年级、科组进行教师排名，支持教师排名信息导出；支持按学期、年级、教师姓名进行信息搜索，支持按列表形式展示年级教师排名，内容包括：教师姓名、科目、年级、参评人数、教师均分、排名、年级均分、离均率；支持点击具体教师姓名查看评价详情。</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4、未录统计：系统支持按班主任、教师、学生进行未录统计信息查看，支持未录统计结果导出；支持按学期、年级进行信息筛选，支持按班级名称进行信息搜索，支持以列表形式展示未录统计结果。</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我的评价：支持教师查看自己的评价汇总和明细，评价汇总包含班主任统计（主要内容包括：项目内容、班主任、个人总均分、全校平均分、校内排名、总人数）、考试学科-班级分析（主要内容包括：评教组、项目内容、年级、班级类型、行政班、科组名、课程类别、教学班、教师得分、班内教师均分）、考试学科-学科分析（主要内容包括：评教组、项目内容、年级、班级类型、科组名、个人总均分、年级考试学科均分、全校考试学科均分、同学科均分）、考试学科年级分析（主要内容包括：评教组、项目内容、年级、班级类型、科组名、教师得分）、考查学科统计（主要内容包括：评教组、项目内容、科组名、个人总均分、科组内均分、考查学科总均分）、校本课程统计（主要内容包括：评教组、项目内容、科组名、个人总均分、校本课程总均分）。评价明细支持按学期、课程、按教学班查询。</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班主任排名：系统支持按学期、年级进行信息筛选，支持按教师姓名进行信息搜索，支持班主任排名结果导出，支持班主任排名以列表形式展示，主要内容包括：教师姓名、年级、参评人数、排名、评价分、离均率。</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7、统计报表：统计维度包含考试学科-班级分析（支持任课教师、项目、项目内容范围、年级、班级、教师姓名搜索；统计内容包含：项目内容、教师名、年级、班级类型、行政班、科组名、课程类别、课程、教学班、教师得分、班内教师均分、离均率、班内离均率排名、班内被评教师数、离均率年级排名）；考试学科-学科分析（支持任课教师、项目、项目内容范围、年级、班级、教师姓名搜索；统计内容包含：项目内容、教师名、年级、班级类型、科组名、个人总均分、年级考试学科内排名、年级考试学科受评人数、年级考试学科均分、全校考试学科内排名、全校考试学科受评人数、全校考试学科均分、科组内排名、科组受评人数、同学科均分）；考试学科-年级分析（支持任课教师、项目、项目内容范围、科目、年级、教师姓名搜索；统计内容包含：项目内容、教师名、年级、班级类型、科组名、所教班级各科均分、教师得分、离均率、教师满意率排名、离均率排名）；考查学科—统计（支持任课教师、项目、项目内容范围、科目、教师姓名搜索；统计内容包含：项目内容、教师名、科组名、个人总均分、科组内排名、科组人数、科组内均分、考查学科内排名、总人数、考查学科总均分）；校本课程—统计（支持任课教师、项目、项目内容范围、教师姓名搜索；统计内容包含：项目内容、教师名、科组名、个人总均分、校本课程内排名、总人数、校本课程总均分）；班主任组—统计（支持班主任、项目、项目内容范围、教师姓名搜索；统计内容包含：项目内容、班主任、个人总均分、全校平均分、校内排名、总人数）；评分题—统计（支持按任课教师、课程、教学班、年级、班级、教师进行搜索；统计内容包含：教师名、年级、类型、科组名、课程、教学班、项目序号、项目内容、总人数、平均分；支持添加分段：各段&gt;=最小分值、&lt;最大分值的设置）。系统支持导出。</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4</w:t>
                  </w:r>
                </w:p>
              </w:tc>
              <w:tc>
                <w:tcPr>
                  <w:tcW w:type="dxa" w:w="18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教师管理应用</w:t>
                  </w: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教师基本信息</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1、基本信息包括：个人信息、学习经历、工作经历、教师资格证、技能证书、考核/师德、综合荣誉。支持教师填写提交。</w:t>
                  </w:r>
                </w:p>
              </w:tc>
              <w:tc>
                <w:tcPr>
                  <w:tcW w:type="dxa" w:w="17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3</w:t>
                  </w:r>
                </w:p>
              </w:tc>
              <w:tc>
                <w:tcPr>
                  <w:tcW w:type="dxa" w:w="1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套</w:t>
                  </w:r>
                </w:p>
              </w:tc>
              <w:tc>
                <w:tcPr>
                  <w:tcW w:type="dxa" w:w="1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1.1 个人信息：姓名、性别、出生日期、年龄、国籍、民族、政治面貌、入党时间、学历、学位、证件类型、证件号码、手机号码、邮箱、籍贯、部门、工号、科组、教职工类别、编制类型、工作职称、人员状态</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1.2 学习经历：获得学历、院校名称、所学专业、在学单位类别、入学年月、毕业年月、学位等级、学位名称、学位授予年月、学习方式、学历证书、学位证书</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1.3工作经历：开始年月、结束年月、所在单位、职务</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1.4教师资格证：签发单位、批准日期、具有教师资格证、是否双师型、教师资格证编号、教师资格证</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1.5 技能证书：签发单位、批准日期、证书编号、技能证书</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1.2 综合荣誉：评选名称、获取时间、评选类型、评选级别、荣誉等级、名师(特级)称号、教师姓名、佐证材料</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教师异动</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1、支持新增教师异动：选择教师、异动时间、类型、填写异动说明。</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教科研成果管理</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1、包括：研究成果、科学技术成果、公开课、竞赛、著作、论文、专利发明、建设项目、课题、听课与评课。支持教师填写提交。</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1.1研究成果：成果名称、成果评审部门、成果主持人、持有人单位、其他成果持有人、获奖时间、成果等级、成果类别、佐证材料</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1.2科学技术成果：成果名称、成果评审部门、成果主持人、持有人单位、其他成果持有人、获奖时间、成果等级、成果类别、本人角色、佐证材料</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1.3公开课：课题名称、课程类别、授课人姓名、学科/专业、授课时间、授课地点、授课等级、授课等级、佐证材料</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1.4竞赛：参赛内容类型、参赛类型、名称、主办单位、获奖等级、获奖时间、参赛人类型、参赛人、指导教师姓名、佐证材料</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1.5著作：著作名称、著作类型、著作书号、作者、本人角色、出版社、出版(印刷)时间、佐证材料</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1.2论文：作品名称、作品类型、作者、本人角色、刊物名称、刊物等级、刊物类型、发表时间、卷期、期刊号、佐证材料</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1.7专利发明：专利或软件著作权类型、专利号、专利或软件著作权名称、学科领域、批准日期、本人角色、佐证材料</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1.8建设项目：项目名称、项目主持人、其他持有人、持有人单位、项目等级、项目类别、评审部门、评审时间、佐证材料</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1.9课题、课题名称、课题类别、承担项目单位名称、联合承担项目单位、负责人/主持人、、本人角色、项目管理部门、佐证材料</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2、培训经历：开始时间、结束时间、培训名称、主办机构、培训方式、培训学时、类别、培训学分、佐证材料（附件上传）。支持教师填写提交。</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档案统计</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1、支持按日期检索，以列表的形式展示，内容包括：序号、发起人、部门、审核项目、发起时间、审核状态、操作，操作支持查看详情。支持档案打印。</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5</w:t>
                  </w:r>
                </w:p>
              </w:tc>
              <w:tc>
                <w:tcPr>
                  <w:tcW w:type="dxa" w:w="18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学生管理应用</w:t>
                  </w: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入学填报</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权限编辑：班级：支持按班级进行权限编辑，支持按年级进行筛选；支持按列表进行展示，包括：排序、班级、开始时间、结束时间、操作；个人：支持按个人进行权限编辑，支持按年级、姓名或学号进行查询；支持列表展示，包括：排序、姓名、学号、班级、开始时间、结束时间、操作。</w:t>
                  </w:r>
                </w:p>
              </w:tc>
              <w:tc>
                <w:tcPr>
                  <w:tcW w:type="dxa" w:w="17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3</w:t>
                  </w:r>
                </w:p>
              </w:tc>
              <w:tc>
                <w:tcPr>
                  <w:tcW w:type="dxa" w:w="1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套</w:t>
                  </w:r>
                </w:p>
              </w:tc>
              <w:tc>
                <w:tcPr>
                  <w:tcW w:type="dxa" w:w="1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2、信息查询：支持按年级、班级、姓名或学号进行查询，支持按列表展示信息，包括：排序、姓名、学号、年级、班级。</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请假管理</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请假申请：系统支持填写请假申请表，系统默认申请人和所属班级；支持填写开始时间、开始节次、结束时间、结束节次、请假类型、请假总天数、联系方式、请假事由，支持添加附件，支持从行政组织机构中选择处理人。</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我的申请：系统支持查看我的请假申请记录，包括进行中和已结束的记录；支持按请假类型、事由进行搜索，支持选择请假申请功能，快捷进入填写页面，支持对进行中的请假申请做撤销、删除操作；支持查看进行中、已结束的请假申请详细信息，并支持打印。</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3、待我审批：系统支持审批人查看待办、已办、全部的审批信息，支持按时间段、申请人、请假类型进行信息检索，支持以列表形式展示待办、已办、全部信息，支持查看学生请假的申请信息，并支持打印。</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流程查询：系统支持按申请人进行流程信息搜索，支持导出总表、导出详情操作，支持列表形式展示流程查询内容，主要内容包括：申请人、学号、联系方式、班级、请假次数、累计天数；支持点击申请人查看具体详细请假明细信息。</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5、请假类型：系统支持新增、编辑、删除请假类型，支持按关键字进行请假类型搜索，支持将请假类型做默认设置。</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7、常用语：系统支持新增、编辑、删除常用语操作，支持关键字搜索常用语。</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8、流程初始化：系统支持流程初始化设置，内容包括：审批条件、审批分组、流程控制。</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1）审批条件：系统支持新增、编辑、删除不同的审批条件，以便设置不同的审批。</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审批分组：系统支持新增、编辑、批量编辑、删除、创建家长分组操作，支持设置自定义分组和公共分组，支持按组名进行搜索，支持选择具体组名查看分组信息，系统支持分组信息导入用户、新增、删除等操作。</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3）流程控制：系统支持新增、删除流程控制内容，支持按申请人、处理人进行信息搜索。</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9、请假查询：支持选择日期、请假类型、流程状态进行信息检索，支持输入学号、姓名搜索，支持以列表的形式显示，内容包括序号、学号、姓名、班级、联系方式、请假类型、请假开始时间、请假开始节次、请假结束时间、请假结束节数、请假总天数、请假自然天数、请假总节次、请假事由、流程发起时间、流程结束时间、流程状态、审批状态；支持查看详细信息。</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请假出校管理</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请假进出校：支持显示学生请假的记录；支持按照时间、班级、学号或姓名进行筛选；页面内容包含：学生学号、学生姓名、班级、班主任、班主任联系方式、离校方式、请假开始时间、结束时间、操作（进校、离校）。</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2、设置：支持选择消息接收人员（家长、班主任）。</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考勤管理</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日常考勤：支持教师通过课表模式进行日常考勤，系统直观展示当周的课表，每个节次中提示是否已考勤，教师点击对应节次可进入详细的节次进行考勤。支持名单列表和座位表2种模式进行考勤，页面可直接下载课堂考勤操作手册。教师可按照自己的操作习惯将名单列表模式设置为默认显示，也可将座位表设置为默认显示。</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未录考勤：查看任课教师未录考勤的次数，支持按时间段、年级进行筛选查询，支持通过搜索教师姓名进行查询。查询内容包含教师姓名、职工号、未录次数等。点击未录次数的数字可查看该教师详细的未录节次，包含班级名称、课程名称、上课日期、节次。系统支持导出、发送消息，支持按列表模式查看，支持切换通过曲线图、柱状图或者保存为图片查看。</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考勤查询：支持按时间段、年级、班级进行筛选查询，支持通过搜索学生姓名进行查询。支持通过考勤异常类型进行筛选查询；查询内容包含学生学号、姓名、性别、年级、班级、异常次数。点击异常次数可查看该学生考勤状态、课程名称、上课时间、节次、录入人员、录入时间。支持通过列表模式查询，也支持切换课表模式上一周、本周的考勤查询。支持导出。</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我的考勤：支持学生、家长以课表模式查看个人考勤情况。支持按学段查询考勤情况。支持查看本周异常和扣分总情况，其中，扣分汇总的内容包含课程、扣除分数，详细情况。点击查看详情可了解该课程名下的考勤状态、考勤时间、扣分分数。</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5、考勤统计：系统支持按时间段进行考勤统计查询，支持按年级查看异常考勤的统计情况，支持通过列表或课表模式展示。支持统计结果导出操作。</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6、考勤设置：系统支持新增、编辑、删除考勤支持考勤状态设置，内容包含序号、显示名称、是否正常状态、是否参加统计、是否请假状态、扣减分数设置、代表色等。支持按角色授权考勤类型。</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7、异常查询：系统支持通过时间段、年级、班级筛选考勤异常数据，支持通过搜索学生姓名查询具体某个学生的考勤异常项。支持导出考勤明细，支持导出汇总表。</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8、座位设置：支持班主任设置本班座位表，班主任设置成功后所有行政班任课教师可共享该座位表。支持走班任课教师设置自己所教班级的座位表。支持通过模板导入的模式以及单个添加的模式进行座位表设置。对于已经设置好的座位表可通过插入、清除、移动的方式进行座位微调。</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9、考勤调整：支持按学期、时间进行学生考勤信息筛选，支持按学号姓名进行查询，支持课表模式、列表模式展示考勤调整信息。</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10、批量考勤：支持对学生进行批量考勤，支持限制节次、选择日期、选择节次、限制星期、考勤类型、支持选择多选行政班、教学班、学生设置。</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学生评价</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评价设置：系统支持新增、编辑、删除评价设置内容；支持标题快捷搜索；点击新增，系统支持评价设置内容包括：排序、学期、标题、录入时间、状态（不开启/开启）、备注；支持按树形结构选择参评班级；支持班级指标添加(内容包括：排序、分组类别、项目名称、项目类型、默认分数、最小分数、最大分数、量化类型、审批方式、是否拥有子项、评分权限等)；支持学生指标添加（内容包括：排序、分组类别、项目名称、项目类型、默认分数、最小分数、最大分数、量化类型、汇总模式、审批方式、是否拥有子项、评分权限等）；支持快捷原因设置（内容包括：排序、所属项目、快捷原因、量化类型、分数等）；</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评价录入：系统支持按班级、学生进行评价录入，支持评价录入结果导出操作；支持按评价项目、时间、年级、班级名称进行信息搜索，支持班级不同维度的评价分数录入，且支持分数填写（内容包括：评价日期、快捷原因、扣分、备注、上传图片）；支持学生按评价项目、时间、年级、班级、学号或姓名进行学生评价录入信息搜索，支持学生按照不同维度进行评价分数在线录入（内容包括：评价日期、快捷原因、扣分、备注、上传图片等）；支持学生评价录入结果导出；</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评价统计：支持按班级、学生进行评价统计；支持班级按评价项目、时间、年级、班级名称进行信息检索；支持按班级、按学生导出评价统计结果；支持查看班级不同维度的统计结果，支持学生评价统计按评价项目、时间、年级、班级、学号或姓名进行信息搜索；支持查看学生不同维度的统计结果；</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评价审核：系统支持按评价项目、审核状态（未审核、已通过、未通过）等进行信息搜索；支持批量审批操作；支持以列表形式展示评价审批结果，内容包括：序号、评价对象（班级/学生）、行政班、学号、姓名、评价日期、量化类型、分数、快捷原因、备注、评价图片、录入人员、审核状态、审批人员、审批时间、审批备注、操作（修改）。</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评语管理</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评语设置：支持新增、编辑、删除评语设置，点击新增，系统支持填写序号、评语类型（学期评语/学段评语）、选择学段、评价名称、开始时间、结束时间、是否启用（不启用、启用），支持通过输入评语名称进行搜索。</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录入统计：系统支持按学期或年级长姓名进行统计检索，支持统计结果导出，支持以列表形式展示录入统计结果，主要包括：年级、年级长、年级人数、已录人员、未录人员、进度情况，选择年级，可查看具体年级的录入统计情况，内容包括：班级名称、班主任、年级人数、已录人员、未录人员、进度，支持按年级、按班主任姓名进行检索，支持班级录入统计情况导出。</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3、我的评语：支持家长、学生查看学生的评语及过往评语。支持班主任查看本班学生的评语。</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评语录入：系统支持导入、导出学生评语，支持按学期、班级、学生姓名进行评语录入检索，支持学生评语以列表形式展示，包括：学号、姓名、座位号、性别、状态（已评/未评）。支持点击具体学生查看学生评语和荣誉内容。</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6</w:t>
                  </w:r>
                </w:p>
              </w:tc>
              <w:tc>
                <w:tcPr>
                  <w:tcW w:type="dxa" w:w="18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智慧家校</w:t>
                  </w: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学校通知</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1、发送通知:手机端支持通知标题的编写，通知类型的选择、内容的在线填写，支持添加附件，支持按角色发送、支持按人员发送、支持从学校行政组织机构、自定义分组、公告分组中选择相关人员；</w:t>
                  </w:r>
                </w:p>
              </w:tc>
              <w:tc>
                <w:tcPr>
                  <w:tcW w:type="dxa" w:w="17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3</w:t>
                  </w:r>
                </w:p>
              </w:tc>
              <w:tc>
                <w:tcPr>
                  <w:tcW w:type="dxa" w:w="1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套</w:t>
                  </w:r>
                </w:p>
              </w:tc>
              <w:tc>
                <w:tcPr>
                  <w:tcW w:type="dxa" w:w="1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2、通知列表：手机端支持在通知列表中按关键字搜索相关通知，支持通知发送人员和接收人员查看通知列表，点击列表内通知查看具体通知内容。</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作业通知</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1、接收列表：支持家长、学生查看作业通知；</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2、布置作业：支持教师移动端发布作业通知；支持插入图片、标题、内容；支持保存草稿箱。</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3、我的草稿：查看我的作业通知草稿；支持编辑、删除。</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班级通知</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1、接收列表：支持家长、学生查看班级通知；支持关键字搜索；</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2、发布通知：支持教师移动端发布通知，支持通知标题、内容的在线输入，支持插入图片以及选择发布范围（学生/家长）；支持正式发布或保存草稿；</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3、我的草稿：查看我的班级通知草稿；支持编辑、删除；</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课表查询</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1、我的课表：支持学生/家长登录移动端查看周课表、日课表（当天）、日课表（本周）；</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学生请假</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1、请假申请：支持学生/家长移动端提交请假申请，内容包括：申请人、所属班级、联系方式、请假类型、开始日期、开始节次、结束日期、结束节次、请假总天数、请假事由及附件；</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2、我的申请：支持学生/家长移动端查看待审、已审的请假信息，支持待审请假信息撤销操作，支持查看待审、已审请假的详细信息；</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考勤查询</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我的考勤：支持移动端查看我的考勤记录，支持按学年进行筛选查看，支持查看扣分汇总信息（内容包括：课程、异常次数、扣除分数（支持点击扣除分数查看详细扣分情况））；和异常汇总信息（内容包括：类型、异常次数、扣除分数（支持点击扣除分数查看详细扣分情况））；</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评语查询</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1、我的评语：支持学生、家长移动端查看我的评语，内容包括学生姓名、班级、学号、学年、评语内容、荣誉内容、评价老师及日期；</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成绩查询</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1、成绩查询：支持按学期进行成绩筛选，支持学生、家长移动端查看各学科成绩详情，包含综合成绩、等级、等级值、获得学分、学分积点、任课老师；支持查看总的综合分；</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188"/>
                  <w:vMerge/>
                  <w:tcBorders>
                    <w:top w:val="none" w:color="000000" w:sz="4"/>
                    <w:left w:val="none" w:color="000000" w:sz="4"/>
                    <w:bottom w:val="single" w:color="000000" w:sz="4"/>
                    <w:right w:val="single" w:color="000000" w:sz="4"/>
                  </w:tcBorders>
                </w:tcPr>
                <w:p/>
              </w:tc>
              <w:tc>
                <w:tcPr>
                  <w:tcW w:type="dxa" w:w="2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评价教师</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1、在线评教：支持家长、学生在移动端进行评教。</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三</w:t>
                  </w:r>
                </w:p>
              </w:tc>
              <w:tc>
                <w:tcPr>
                  <w:tcW w:type="dxa" w:w="2357"/>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数字教育基座云服务器子系统</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w:t>
                  </w:r>
                </w:p>
              </w:tc>
              <w:tc>
                <w:tcPr>
                  <w:tcW w:type="dxa" w:w="4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云主机服务</w:t>
                  </w:r>
                </w:p>
              </w:tc>
              <w:tc>
                <w:tcPr>
                  <w:tcW w:type="dxa" w:w="14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虚拟主机服务（</w:t>
                  </w:r>
                  <w:r>
                    <w:rPr>
                      <w:rFonts w:ascii="仿宋_GB2312" w:hAnsi="仿宋_GB2312" w:cs="仿宋_GB2312" w:eastAsia="仿宋_GB2312"/>
                      <w:sz w:val="21"/>
                      <w:color w:val="333333"/>
                      <w:shd w:fill="FFFFFF" w:val="clear"/>
                    </w:rPr>
                    <w:t>vCPU :≥16 核；内存:≥ 32GB；系统盘: ≥500GB；</w:t>
                  </w:r>
                  <w:r>
                    <w:rPr>
                      <w:rFonts w:ascii="仿宋_GB2312" w:hAnsi="仿宋_GB2312" w:cs="仿宋_GB2312" w:eastAsia="仿宋_GB2312"/>
                      <w:sz w:val="21"/>
                      <w:color w:val="333333"/>
                      <w:shd w:fill="FFFFFF" w:val="clear"/>
                    </w:rPr>
                    <w:t>数据</w:t>
                  </w:r>
                  <w:r>
                    <w:rPr>
                      <w:rFonts w:ascii="仿宋_GB2312" w:hAnsi="仿宋_GB2312" w:cs="仿宋_GB2312" w:eastAsia="仿宋_GB2312"/>
                      <w:sz w:val="21"/>
                      <w:color w:val="333333"/>
                      <w:shd w:fill="FFFFFF" w:val="clear"/>
                    </w:rPr>
                    <w:t>盘</w:t>
                  </w:r>
                  <w:r>
                    <w:rPr>
                      <w:rFonts w:ascii="仿宋_GB2312" w:hAnsi="仿宋_GB2312" w:cs="仿宋_GB2312" w:eastAsia="仿宋_GB2312"/>
                      <w:sz w:val="21"/>
                      <w:color w:val="333333"/>
                      <w:shd w:fill="FFFFFF" w:val="clear"/>
                    </w:rPr>
                    <w:t>: ≥1000GB；出口带宽：≥30M）</w:t>
                  </w:r>
                </w:p>
              </w:tc>
              <w:tc>
                <w:tcPr>
                  <w:tcW w:type="dxa" w:w="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3</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台</w:t>
                  </w:r>
                </w:p>
              </w:tc>
              <w:tc>
                <w:tcPr>
                  <w:tcW w:type="dxa" w:w="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3年</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w:t>
                  </w:r>
                </w:p>
              </w:tc>
              <w:tc>
                <w:tcPr>
                  <w:tcW w:type="dxa" w:w="42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云安全</w:t>
                  </w:r>
                  <w:r>
                    <w:rPr>
                      <w:rFonts w:ascii="仿宋_GB2312" w:hAnsi="仿宋_GB2312" w:cs="仿宋_GB2312" w:eastAsia="仿宋_GB2312"/>
                      <w:sz w:val="21"/>
                      <w:color w:val="333333"/>
                      <w:shd w:fill="FFFFFF" w:val="clear"/>
                    </w:rPr>
                    <w:t>服务</w:t>
                  </w:r>
                </w:p>
              </w:tc>
              <w:tc>
                <w:tcPr>
                  <w:tcW w:type="dxa" w:w="1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云服务器备份：容量</w:t>
                  </w:r>
                  <w:r>
                    <w:rPr>
                      <w:rFonts w:ascii="仿宋_GB2312" w:hAnsi="仿宋_GB2312" w:cs="仿宋_GB2312" w:eastAsia="仿宋_GB2312"/>
                      <w:sz w:val="21"/>
                      <w:color w:val="333333"/>
                      <w:shd w:fill="FFFFFF" w:val="clear"/>
                    </w:rPr>
                    <w:t>≥1000G</w:t>
                  </w:r>
                  <w:r>
                    <w:rPr>
                      <w:rFonts w:ascii="仿宋_GB2312" w:hAnsi="仿宋_GB2312" w:cs="仿宋_GB2312" w:eastAsia="仿宋_GB2312"/>
                      <w:sz w:val="21"/>
                      <w:color w:val="333333"/>
                      <w:shd w:fill="FFFFFF" w:val="clear"/>
                    </w:rPr>
                    <w:t>B；</w:t>
                  </w:r>
                </w:p>
                <w:p>
                  <w:pPr>
                    <w:pStyle w:val="null3"/>
                    <w:jc w:val="left"/>
                  </w:pPr>
                  <w:r>
                    <w:rPr>
                      <w:rFonts w:ascii="仿宋_GB2312" w:hAnsi="仿宋_GB2312" w:cs="仿宋_GB2312" w:eastAsia="仿宋_GB2312"/>
                      <w:sz w:val="21"/>
                      <w:color w:val="333333"/>
                      <w:shd w:fill="FFFFFF" w:val="clear"/>
                    </w:rPr>
                    <w:t>云安全中心：高级版</w:t>
                  </w:r>
                  <w:r>
                    <w:rPr>
                      <w:rFonts w:ascii="仿宋_GB2312" w:hAnsi="仿宋_GB2312" w:cs="仿宋_GB2312" w:eastAsia="仿宋_GB2312"/>
                      <w:sz w:val="21"/>
                      <w:color w:val="333333"/>
                      <w:shd w:fill="FFFFFF" w:val="clear"/>
                    </w:rPr>
                    <w:t>；</w:t>
                  </w:r>
                </w:p>
                <w:p>
                  <w:pPr>
                    <w:pStyle w:val="null3"/>
                    <w:jc w:val="left"/>
                  </w:pPr>
                  <w:r>
                    <w:rPr>
                      <w:rFonts w:ascii="仿宋_GB2312" w:hAnsi="仿宋_GB2312" w:cs="仿宋_GB2312" w:eastAsia="仿宋_GB2312"/>
                      <w:sz w:val="21"/>
                      <w:color w:val="333333"/>
                      <w:shd w:fill="FFFFFF" w:val="clear"/>
                    </w:rPr>
                    <w:t>下一代防火墙</w:t>
                  </w:r>
                  <w:r>
                    <w:rPr>
                      <w:rFonts w:ascii="仿宋_GB2312" w:hAnsi="仿宋_GB2312" w:cs="仿宋_GB2312" w:eastAsia="仿宋_GB2312"/>
                      <w:sz w:val="21"/>
                      <w:color w:val="333333"/>
                      <w:shd w:fill="FFFFFF" w:val="clear"/>
                    </w:rPr>
                    <w:t>：带宽</w:t>
                  </w:r>
                  <w:r>
                    <w:rPr>
                      <w:rFonts w:ascii="仿宋_GB2312" w:hAnsi="仿宋_GB2312" w:cs="仿宋_GB2312" w:eastAsia="仿宋_GB2312"/>
                      <w:sz w:val="21"/>
                      <w:color w:val="333333"/>
                      <w:shd w:fill="FFFFFF" w:val="clear"/>
                    </w:rPr>
                    <w:t>≥50M，防火墙主机</w:t>
                  </w: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vCPU≥2 核，内存≥4GB</w:t>
                  </w: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，系统盘</w:t>
                  </w:r>
                  <w:r>
                    <w:rPr>
                      <w:rFonts w:ascii="仿宋_GB2312" w:hAnsi="仿宋_GB2312" w:cs="仿宋_GB2312" w:eastAsia="仿宋_GB2312"/>
                      <w:sz w:val="21"/>
                      <w:color w:val="333333"/>
                      <w:shd w:fill="FFFFFF" w:val="clear"/>
                    </w:rPr>
                    <w:t>≥100GB</w:t>
                  </w:r>
                  <w:r>
                    <w:rPr>
                      <w:rFonts w:ascii="仿宋_GB2312" w:hAnsi="仿宋_GB2312" w:cs="仿宋_GB2312" w:eastAsia="仿宋_GB2312"/>
                      <w:sz w:val="21"/>
                      <w:color w:val="333333"/>
                      <w:shd w:fill="FFFFFF" w:val="clear"/>
                    </w:rPr>
                    <w:t>；</w:t>
                  </w:r>
                </w:p>
              </w:tc>
              <w:tc>
                <w:tcPr>
                  <w:tcW w:type="dxa" w:w="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项</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3年</w:t>
                  </w:r>
                </w:p>
              </w:tc>
            </w:tr>
            <w:tr>
              <w:tc>
                <w:tcPr>
                  <w:tcW w:type="dxa" w:w="1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四</w:t>
                  </w:r>
                </w:p>
              </w:tc>
              <w:tc>
                <w:tcPr>
                  <w:tcW w:type="dxa" w:w="2357"/>
                  <w:gridSpan w:val="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云展示教学中枢子系统</w:t>
                  </w: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w:t>
                  </w:r>
                </w:p>
              </w:tc>
              <w:tc>
                <w:tcPr>
                  <w:tcW w:type="dxa" w:w="420"/>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智慧黑板</w:t>
                  </w:r>
                </w:p>
              </w:tc>
              <w:tc>
                <w:tcPr>
                  <w:tcW w:type="dxa" w:w="140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一、整体设计</w:t>
                  </w:r>
                </w:p>
              </w:tc>
              <w:tc>
                <w:tcPr>
                  <w:tcW w:type="dxa" w:w="17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6</w:t>
                  </w:r>
                </w:p>
              </w:tc>
              <w:tc>
                <w:tcPr>
                  <w:tcW w:type="dxa" w:w="19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套</w:t>
                  </w:r>
                </w:p>
              </w:tc>
              <w:tc>
                <w:tcPr>
                  <w:tcW w:type="dxa" w:w="164"/>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1、整机屏幕采用不小于86英寸超高清LED 液晶屏，显示比例16:9，屏幕分辨率不低于3840*2160。</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2、整机尺寸宽度不小于4200mm，高度不小于1200mm。</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3、整机设备内置2.2声道扬声器，前朝向发声，12W高音扬声器2个，上朝向30W中低音扬声器2个，最大功率≥80W。</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4、屏幕显示灰度分辨等级达到256灰阶以上。</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5、屏幕与屏幕保护层紧密贴合，减少显示面板与玻璃间的偏光、散射，画面显示更加清晰通透、可视角度更广。</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6、整机听力模式下具备AI人声语言增强功能，支持三挡强弱调节。扩声系统语言传输指数（STIPA）≥0.75。</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二、接口及按键</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1、整机具备不少于2路前置双系统USB3.0接口。</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2、整机具备不少于1路前置Typec接口，方便学校扩展使用。</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3、电源键为三合一按键，可实现开机、关机、待机三种功能，方便老师操作设备。</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4、整机支持发出超声波信号，智能手机与整机可实现高效配对。</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5、整机具备减滤蓝光功能，可通过前置物理功能按键一键启用减滤蓝光模式，有效减少蓝光对学生危害。</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6、整机具备班级视力检测功能，学⽣站在距离屏幕前5m处，可通过⼿势识别方式来标识方向进行视力测试，测试完成后可直接⽣成视⼒检测结果，并建⽴学⽣视⼒档案，对学⽣视⼒情况进⾏管理。</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三、整机功能</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1、整机内置非独立摄像头，采用一体化集成设计，可拍摄≥5000万像素数的照片。</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2、整机内置非独立外扩展的≥8阵列麦克风，拾音角度≥170°。</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3、支持无线传屏功能，可以将外部电脑的屏幕画面通过无线方式传输到整机上显示。</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4、支持纸质护眼模式，在任意通道任意画面任意软件所在显示内容下可实时调整画面纹理，如素描纸、宣纸、水彩纸等；同时支持透明度调节。</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5、整机侧边栏内置朗读工具，通过整机麦克风内置音频检测算法监测教室中学生的朗读情况，以游戏化界面呈现朗读积极性。</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6、为保证传输效果，整机支持蓝牙Bluetooth 5.4标准。</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四、电脑配置</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1、▲采用抽拉内置式模块化电脑，按压式卡扣方式，无需工具即可快速拆卸电脑模块。</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2、搭载Intel 酷睿 i5或以上配置CPU。内存：8 GB DDR4笔记本内存或以上配置。硬盘：256 GB SSD固态硬盘或以上配置。</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五、嵌入式备份系统</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1、整机嵌入式系统版本≥Android 15，内存≥2GB，存储空间≥32GB。</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2、▲整机CPU芯片，WIFI与蓝牙芯片、摄像头图像处理芯片、均采用国产自主芯片。</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六、内置摄像头</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1、▲整机内置摄像头，像素≥5000万。</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2、摄像头具备人脸识别、远程巡课等功能。</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3、整机内置智能体AI图像生成功能 ，支持大屏开展职业主题对话交互，大屏可同步生成对应职业形象。</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4、整机具备视力检测功能，测试完成后可直接生成视力检测档案。</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七、白板软件</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1、备授课一体化，具有备课模式及授课模式，且操作界面根据备课和授课使用场景不同而区别设计，符合用户使用需求。</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2、支持个人账号注册登录使用，也可通过USB key进行身份快速识别登录，还可以通过微信绑定账号后扫码，形成一体的信息化教学账号体系；根据教师账号信息将教师云空间匹配至对应学校、学科校本资源。</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3、提供白板软件手机移动版，方便用户随时随地查看课件。</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4、提供在线云课堂功能，无需额外安装部署直播软件，可实现语音直播、课件同步、互动工具等远程教学功能。</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5、云课堂可以通过生成二维码海报的方式发送给学生用于远程在线教学。</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6、互动教学课件支持分享至学校校本资源库，学段学科根据教师个人信息自动匹配，分享后课件全校教师可见，并可直接下载使用。校本资源库支持按学科、学段进行快速查找，同时支持关键词精准检索。</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7、为老师提供可扩展，易于学校管理，安全可靠的云存储空间，根据教师使用时长与教学资料制作频率提供可扩展升级至不小于500G的个人云空间。</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8、互动教学课件支持开放式云分享：分享者可将互动课件、课件组以公开或加密的web链接和二维码形式进行分享，分享链接可设置访问有效期。</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9、备授课平台对接教学数据管理平台，可将教学平台的教案关联至教师课件，支持课件同时关联多份教案，关联后教师可在备课界面调用查看教案，便于教研工作开展。</w:t>
                  </w:r>
                  <w:r>
                    <w:rPr>
                      <w:rFonts w:ascii="仿宋_GB2312" w:hAnsi="仿宋_GB2312" w:cs="仿宋_GB2312" w:eastAsia="仿宋_GB2312"/>
                      <w:sz w:val="24"/>
                      <w:color w:val="333333"/>
                      <w:shd w:fill="FFFFFF" w:val="clear"/>
                    </w:rPr>
                    <w:t xml:space="preserve">    </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10、课堂互动游戏支持云储存，编辑完成的活动可一键存储至教师云空间，便于在不同课件中直接调用，无需反复编辑。</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11、提供柱状图、扇形图、折线图等互动图表，每类图表预置不少于5种样式，支持图表文字、背景、透明度设置；柱状图、折线图可一键转置互换坐标轴类别；图表支持三维模式旋转展示，生动形象。</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12、提供多种翻页按键布局，翻页按键可分布于屏幕单侧或左右两侧，支持上下翻页、课件页面预览及页面非线性跳转。</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13、支持课件内所有的元素对象创建超链接，可链接到对象所在课件的相关页面、网页、文档等。</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14、白板软件支持老师发起集体备课功能，老师可自行选择对应课件、资源等发起线上备课，邀请其他老师共同参加，参与的老师可在评论区发表个人观点以及对其他老师的观点进行点赞等，参与老师还可以实时对课件内容进行打点批注，以及引用到个人云空间，研讨备课结束后，可自动生成信息化报告，方便老师获取查看。</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15、提供直线、箭头、正方形、圆角四边形、平行四边形、圆形、等腰三角形、直角三角形、菱形、梯形、五边形等基本几何图形以及对话框、五角星、大括号、旗子等特殊图形，特殊图形插入后支持顶点位置编辑；图形总数量不少于40种，可直接插入课件供教师使用。</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16、提供多学科实验资源，包括物理化学生物等。</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17、软件支持电子化听评课功能，老师可在授课模式下在线发起听评课，其他老师可通过二维码进行评价以及获取课件，发起老师可在我的学校中查看历史评课记录并进行文档导出，至少支持word及pdf或其他常见的文档格式等。</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18、AI智能纠错：软件内置的AI智能语义分析模块，可对输入的英文文本的拼写、句型、语法进行错误检查，并支持一键纠错。</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19、软件提供不少于90节党建微课视频，包括国家要求学习的革命、建设、改革、复兴等内容，支持在线点播及下载，支持视频关键帧打点标记，播放过程中可一键跳转，同时支持对频频随时截图方便老师插入课件。</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20、在备课场景中支持搜索课件库课件资源，具有不少于15万份的课件资源，支持整份课件或按照课件页插入课件中。支持按照教学环节筛选对应课件页一键插入课件中，可导课入新课、作者简介。支持按照元素类型思维导图、课堂活动选取需要的部分补充课件缺失的部分。支持在查看部分课件的同时查看对应整份课件，了解作者整体教学思路。</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w:t>
                  </w:r>
                </w:p>
              </w:tc>
              <w:tc>
                <w:tcPr>
                  <w:tcW w:type="dxa" w:w="420"/>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展台</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1、设备≥800万像素摄像头；采用 USB供电</w:t>
                  </w:r>
                </w:p>
              </w:tc>
              <w:tc>
                <w:tcPr>
                  <w:tcW w:type="dxa" w:w="17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6</w:t>
                  </w:r>
                </w:p>
              </w:tc>
              <w:tc>
                <w:tcPr>
                  <w:tcW w:type="dxa" w:w="1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台</w:t>
                  </w:r>
                </w:p>
              </w:tc>
              <w:tc>
                <w:tcPr>
                  <w:tcW w:type="dxa" w:w="1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2、支持不小于A4大小拍摄幅面，1080P动态视频预览达到30帧/秒。</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3、支持展台成像画面实时批注，预设多种笔划供选择。</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4、具有故障自动检测功能，可自动出现检测链接。</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5、展示托板正上方具备LED补光灯，适应环境变化。</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6、外壳在摄像头部分带保护镜片密封，防止灰尘沾染摄像头。</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五</w:t>
                  </w:r>
                </w:p>
              </w:tc>
              <w:tc>
                <w:tcPr>
                  <w:tcW w:type="dxa" w:w="2357"/>
                  <w:gridSpan w:val="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智慧录播</w:t>
                  </w: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w:t>
                  </w:r>
                </w:p>
              </w:tc>
              <w:tc>
                <w:tcPr>
                  <w:tcW w:type="dxa" w:w="420"/>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录播主机</w:t>
                  </w:r>
                </w:p>
              </w:tc>
              <w:tc>
                <w:tcPr>
                  <w:tcW w:type="dxa" w:w="140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1、主机采用Linux操作系统。内置8核心ARM架构处理器，最高主频不低于1.8GHz。硬盘存储≥1TB。</w:t>
                  </w:r>
                </w:p>
              </w:tc>
              <w:tc>
                <w:tcPr>
                  <w:tcW w:type="dxa" w:w="17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w:t>
                  </w:r>
                </w:p>
              </w:tc>
              <w:tc>
                <w:tcPr>
                  <w:tcW w:type="dxa" w:w="19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台</w:t>
                  </w:r>
                </w:p>
              </w:tc>
              <w:tc>
                <w:tcPr>
                  <w:tcW w:type="dxa" w:w="164"/>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主机采用高度集成化设计，内置导播系统、互动系统、视频处理系统。具备音视频采集、音视频编解码、音视频处理、录制、直播、远程互动、视频会议、导播、行为分析、物联控制、远程运维参数设置等能力。</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3、主机采用≥15英寸触控电容屏，表面硬度≥7H，屏幕分辨率≥1920*1080。主机内置跟踪功能，无需额外配置跟踪主机即可实现智能图像识别跟踪分析与处理功能。</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4、主机支持≥5个HDMI高清接口，HDMI输入接口≥2个。支持HDMI输入通道具备音频采集能力，可通过系统设置音频采集打开或者关闭。HDMI输出接口≥3个。</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5.主机支持≥5个USB接口，其中USB-A接口≥3个，Type-C接口≥2个。</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6、▲主机支持通过HDMI输出接口及Type-C接口，实现≥4路不同的视频画面输出。支持输出画面自定义设置，具有≥7种输出画面可自定义选择。</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7、主机支持≥5个RJ45接口，≥3个支持POE。支持10/100/1000Mbps自适应，支持 IPV4，IPV6设置。</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8、支持≥1个复位按钮，可实现整机设置恢复出厂设置。</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9、主机支持≥4个音频接口。其中线路立体声音频输入接口≥2个，线路立体声音频输出接口≥2个。</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10、支持设置视频录制计时，计时设置支持≥5种计时时间选择。最长计时时间≥12小时。开启计时后，在录制过程中可查看已录制时长。</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11.支持设置AI降噪强度，可选择高、中、低、自定义、关闭。自定义参数支持≥100级AI降噪等级设置及≥100级传统降噪等级设置。</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12.支持拾音麦克风采集音量大小调节，并通过音量条动态显示麦克风拾音情况 。</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13.▲主机内置无线麦克风音频接收模块。无需外接无线音频接收模块，即可完成无线麦克风的连接及音频信号传输，并支持同时≥2个无线麦克风接入，支持≥2种对频模式。支持显示无线麦克风音量程度大小。</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14.主机内置数字调音台功能，通过网页及客户端均可以进行主机音频输入、输出矩阵调整，可独立设置任意一个音频通道的混音模式。支持单独调节每一路音频输入、输出通道的音量，或选择是否开启静音。</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15.支持内置网络监测功能，无需安装第三方软件，可检测主机的服务联通性、网络稳定性、上下行速度、网络追踪性、网卡信息。支持各项单独检测及一键检测，检测时可动态展示实时数据变化。</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16.主机支持 H.264、H.265视频编码/解码。支持AAC音频编码协议。</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17.主机支持录制清晰度设置，分辨率可设置1080P、720P，并估算视频录制的大小。支持录制清晰度自定义设置，可设置分辨率为1080P、720P、VGA、QVGA。</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18. 支持单个视频文件、多个文件、单个文件夹、多个文件夹批量拷贝；拷贝时动态显示进度条，完成时自动提醒。支持对录制的视频文件的名称进行重命名。</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19.主机支持直播清晰度设置，分辨率可设置1080P、720P。支持直播清晰度自定义设置，可设置分辨率为1080P、720P、VGA、QVGA，可设置帧率为60、30、25FPS，可设置画质≥4种档位，可设置码率为静态码率、动态码率。设置后可显示对应码流大小。</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20.主机平均噪声小于13dB（A）</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21.支持互动清晰度设置，分辨率可设置1080P、720P。支持互动清晰度自适应，在互动时根据网络情况选择最优清晰度。</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22.支持设置主机互动模式，可选择开启或关闭互动双流设置，开启后可选择第二路流的画面，支持≥6个画面选择。</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23.支持互动状态下的导播模式设置，可设置手动、半自动、全自动导播模式。</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24.支持"1+3+直播接入"的互动授课模式，可接入1个主讲教室、3个互动教室和直播听课教室。支持≥4个成员同时开麦和上台。</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25、支持≥2种邀请模式。支持通过手机号进行邀请，可同时邀请多人，如听课端不在线则提示邀请失败。支持通过自动生成的房间号进行邀请，房间号≤8位数。</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26、支持共享画面设置。主讲端可开启电脑画面、课件和白板共享。支持听讲端申请开麦发言，申请后主讲端可提醒该发言申请，主讲端通过后听讲端声音即可被主讲端听到。</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27、支持≥2种画面布局设置。可设置为一大多小的经典模式或同等大小的均衡模式。</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28、支持互动过程中，进行性能监控，可监控网络丢包率、上行带宽、下行带宽、最大虚拟内存、当前虚拟内存、当前物理内存、当前句柄数量、当前进程数量、当前CPU使用率。</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29、支持互动过程中，进行推流质量查看。可查看视频分辨率、视频质量、延时、丢包率、视频帧率、视频码率、音频帧率、音频码率。</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30、支持在系统总丢包率 50%的网络环境下，视频清晰流畅无卡顿，语音连贯。支持双向互动过程中，支持设置1080P@60fps视频双向互动。</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31、支持教师端跟踪区域、快照区域、板书区域、屏蔽区域设置，勾选后可通过鼠标绘制对应区域，不同区域通过不同颜色画框展现。支持智能检测，系统可自动框选跟踪区域，快速清除快照区域，调用相机配置，自动确定跟踪区域。</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32、支持教师端预置位设置，可通过按钮实现镜头的上下左右转动、拉近拉远，并设定≥6个摄像机预置位。</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33、支持开启板书功能，并设置板书检测时间及板书保持时间。</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34、支持学生端预置位设置。支持学生端开启人脸检测。</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35、支持导播设置参数备份，可导出保存至调试电脑中。支持导入已备份的参数。</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36、支持≥2种视频码率控制方式，支持CBR（Constant Bit Rate）、VBR（Variable Bit Rate）。</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37、支持接入POE网络摄像机，可通过RTSP协议接入第三方摄像机视频信号。</w:t>
                  </w:r>
                </w:p>
                <w:p>
                  <w:pPr>
                    <w:pStyle w:val="null3"/>
                    <w:jc w:val="left"/>
                  </w:pPr>
                  <w:r>
                    <w:rPr>
                      <w:rFonts w:ascii="仿宋_GB2312" w:hAnsi="仿宋_GB2312" w:cs="仿宋_GB2312" w:eastAsia="仿宋_GB2312"/>
                      <w:sz w:val="21"/>
                      <w:color w:val="333333"/>
                      <w:shd w:fill="FFFFFF" w:val="clear"/>
                    </w:rPr>
                    <w:t>导播系统：</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38、支持通过浏览器及电脑应用程序，对主机进行画面切换控制。设置主机的输入配置，调整麦克风音量及设置摄像机信号。设置主机录制清晰度、音频码率；设置本地录制画面及互动课录制画面的保存画面；设置直播清晰度、直播GOP、互动清晰度；音频输出音量。</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39、支持通过浏览器访问主机，进行视频管理，可对主机中录制的视频进行下载及预览。</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40、支持通过浏览器，设置≥3种导播模式；设置主机网络ip；设置主机存储空间覆盖模式；查看主机系统、设备、软件等信息。</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41、录制模式支持电影模式、资源模式两种，能同时支持1路电影模式加6路资源录制，实时录制合成画面、教师全景、教师特写、学生全景、学生特写、板书画面、电脑画面。可通过勾选录制对应画面，实现资源模式录制。录制的所有视频均有声音。</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42、支持开始录制、暂停录制、停止录制。录制开始后系统自动计时。支持开启直播或关闭直播。</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43、支持选择≥3种导播模式，具备手动、半自动、全自动可选。支持通过鼠标点击切换按钮或双击画面进行画面导播切换。</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44、支持≥9种多画面合成布局选择，可自定义选择布局中的画面，选择后自动更新布局种画面的名称。</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45、支持片头播放/播放并开始录制，可调节图片播放时间为1~10秒任意值。支持批量管理片头片尾，可批量勾选并删除。</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46、支持显示/隐藏控制，支持拖拽调节字幕任意位置，或通过≥6个预设位置调整字体位置;支持通过≥3个预设字号调整字体大小；支持通过≥5种预设颜色调整字体颜色。支持批量管理字幕，可批量勾选并删除。</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47、支持显示/隐藏控制，支持拖拽调节台标任意位置，或48、通过≥5个预设位置调整台标位置。支持批量管理台标，可批量勾选并删除。</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w:t>
                  </w:r>
                </w:p>
              </w:tc>
              <w:tc>
                <w:tcPr>
                  <w:tcW w:type="dxa" w:w="420"/>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4K教师摄像机</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1、采用全景特写双镜头，全景镜头水平视场角≥40°，特写镜头水平视场角≥20°。</w:t>
                  </w:r>
                </w:p>
              </w:tc>
              <w:tc>
                <w:tcPr>
                  <w:tcW w:type="dxa" w:w="17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w:t>
                  </w:r>
                </w:p>
              </w:tc>
              <w:tc>
                <w:tcPr>
                  <w:tcW w:type="dxa" w:w="1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台</w:t>
                  </w:r>
                </w:p>
              </w:tc>
              <w:tc>
                <w:tcPr>
                  <w:tcW w:type="dxa" w:w="1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2、摄像机采用一体化集成设计，支持4K超高清，可提供3840×2160图像分辨率，同时兼容1920×1080和1280×720分辨率。</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3、内置图像识别跟踪算法，搭配隐藏式云台，保证清晰度的同时，也减小对课堂的干扰。</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4、为保证拍摄画面效果，采用低畸变设计，全景畸变≤±1%，特写畸变≤±1%，减少畸变校正造成的图像质量损失。</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5、摄像机接口支持RJ45接口≥1路，Type-C接口≥1路，Line in接口≥1路。</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6、支持POE有线网络供电，只需要1路网线，即可实现供电及信号传输，支持同时输出特写和全景等多路画面。</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7、传感器尺寸 CMOS ≥ 1/2.8英寸。</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8、全景图像传感器有效像素≥400万，特写图像传感器有效像素≥800万。</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9、摄像机采用逐行扫描方式 。</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10、摄像机最低照度：0.5 Lux@（F2.0, AGC ON）</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11、摄像机电子快门：1/30s ~ 1/10000s。</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12、支持自动白平衡。</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13、支持2D&amp;3D数字降噪，信噪比≥55dB。</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14、支持H.264、H.265、MJPEG视频编码格式。</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15、▲支持标准USB音视频信号输出，可以同时支持UVC和UAC协议，通过主机TypeC接口可以实现图像和声音同步输出，最大支持4K@30fps输出，兼容主流视频会议软件。</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16、无需单独安装定位跟踪主机及其他任何辅助拍摄设备，即可实现跟踪定位控制功能。</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17、系统应采用智能图像识别算法，高清摄像机同时输出2路场景画面并分析计算，实现1台摄像机的2景位拍摄，通过导播跟踪系统，实现所有画面的自动导播切换：</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18、支持设置摄像机分辨率、帧率、码率。</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19、支持设置摄像机亮度、饱和度、对比度、锐度、色度、快门速度。</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20、图像支持垂直翻转、水平翻转，默认不开启。</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21、支持对摄像机网络进行管理，包括设置IP地址/网关/DNS等，支持组播协议搜索IP地址，并修改摄像机IP。</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22、支持RTMP推流，推流地址可设置。</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23、支持RTSP拉流，拉流地址可设置。</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24、支持ONVIF协议，可预览ONVIF画面。</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25、支持GB28181协议，可使用GB28181协议设置。</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26、支持摄像机内部导播，支持外部导播。</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27、 支持≥1个矩形导播跟踪区划定。</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28、支持≥4个导播屏蔽区划定。</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29、支持跟随模式、混合模式、双镜模式、三预置位等多种导播模式。</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30、支持跟踪灵敏度设置，可适配不同的灵敏度要求场景。</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3</w:t>
                  </w:r>
                </w:p>
              </w:tc>
              <w:tc>
                <w:tcPr>
                  <w:tcW w:type="dxa" w:w="420"/>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4K学生摄像机</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1、采用全景特写双镜头，全景镜头水平视场角≥110°，特写镜头水平视场角≥40°。</w:t>
                  </w:r>
                </w:p>
              </w:tc>
              <w:tc>
                <w:tcPr>
                  <w:tcW w:type="dxa" w:w="17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w:t>
                  </w:r>
                </w:p>
              </w:tc>
              <w:tc>
                <w:tcPr>
                  <w:tcW w:type="dxa" w:w="1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台</w:t>
                  </w:r>
                </w:p>
              </w:tc>
              <w:tc>
                <w:tcPr>
                  <w:tcW w:type="dxa" w:w="1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2、摄像机采用一体化集成设计，支持4K超高清，可提供3840×2160图像分辨率，同时兼容1920×1080和1280×720分辨率。</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3、内置图像识别跟踪算法，搭配隐藏式云台，保证清晰度的同时，也减小对课堂的干扰。</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4、为保证拍摄画面效果，采用低畸变设计，全景畸变≤±2.5%，特写畸变≤±1%，减少畸变校正造成的图像质量损失。</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5、摄像机接口支持RJ45接口≥1路，Type-C接口≥1路，Line in接口≥1路。</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6、支持POE有线网络供电，只需要1路网线，即可实现供电及信号传输，支持同时输出特写和全景等多路画面。</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7、传感器尺寸 CMOS ≥ 1/2.8英寸。</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8、全景图像传感器有效像素≥400万，特写图像传感器有效像素≥800万。</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9、摄像机采用逐行扫描方式 。</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10、摄像机最低照度：0.5 Lux@（F2.0, AGC ON） 。</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11、摄像机电子快门：1/30s ~ 1/10000s。</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12、支持自动白平衡。</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13.、支持2D&amp;3D数字降噪，信噪比≥55dB。</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14、支持H.264、H.265、MJPEG视频编码格式。</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15、▲支持标准USB音视频信号输出，可以同时支持UVC和UAC协议，通过主机TypeC接口可以实现图像和声音同步输出，最大支持最大支持4K@30fps输出，兼容主流视频会议软件。</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16、无需单独安装定位跟踪主机及其他任何辅助拍摄设备，即可实现跟踪定位控制功能。</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17、系统应采用智能图像识别算法，高清摄像机同时输出2路场景画面并分析计算，实现1台摄像机的2景位拍摄，通过导播跟踪系统，实现所有画面的自动导播切换：a) 学生起立发言时，首先切换为学生全景，再切换为发言学生的特写画面，当多名学生站立时，自动切换到学生全景；b) 学生跟踪具备人脸检测设置。</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18、支持设置摄像机分辨率、帧率、码率。</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19、支持设置摄像机亮度、饱和度、对比度、锐度、色度、快门速度。</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20、图像支持垂直翻转、水平翻转，默认不开启。</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21、支持对摄像机网络进行管理，包括设置IP地址/网关/DNS等，支持组播协议搜索IP地址，并修改摄像机IP。</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22、支持RTMP推流，推流地址可设置。</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23、支持RTSP拉流，拉流地址可设置。</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24、支持ONVIF协议，可预览ONVIF画面。</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25、支持GB28181协议，可使用GB28181协议设置。</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4</w:t>
                  </w:r>
                </w:p>
              </w:tc>
              <w:tc>
                <w:tcPr>
                  <w:tcW w:type="dxa" w:w="420"/>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数字阵列麦克风</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1、麦克风内置≥8个传感器单元。</w:t>
                  </w:r>
                </w:p>
              </w:tc>
              <w:tc>
                <w:tcPr>
                  <w:tcW w:type="dxa" w:w="17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w:t>
                  </w:r>
                </w:p>
              </w:tc>
              <w:tc>
                <w:tcPr>
                  <w:tcW w:type="dxa" w:w="1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套</w:t>
                  </w:r>
                </w:p>
              </w:tc>
              <w:tc>
                <w:tcPr>
                  <w:tcW w:type="dxa" w:w="1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2、麦克风支持≥2个数字音频接口，支持数字音频传输，每个接口都具备输入接口和输出接口能力，支持盲插。</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3、支持状态指示灯，指示灯显示蓝色表示阵列麦克风处于工作状态正常，指示灯显示红色表示阵列麦克风处于无法正常拾音的状态。</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4、麦克风频率响应范围不低于50Hz~16KHz。</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5、麦克风拾音半径≥8m。 麦克风信噪比≥68dB。</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6、麦克风声压级≥130dBSPL，10%THD@1 KHz， 麦克风无需额外适配器供电，能够通过网线实现麦克风供电、音频信号传输、参数调整。</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7、麦克风采用标准1/4吋螺口，适配各种类型标准吊杆， 麦克风支持≥1个Type-C接口。</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8、麦克风支持在线OTA，可在线对麦克风进行升级，无需人员现场维护。</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9、麦克风支持降噪、回声抵消、混响抑制、自动增益控制、多麦融合多种音频算法。</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10、麦克风支持数字音频传输。</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11、支持全频带全双工自适应回声消除算法。</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12、支持全频自适应AI降噪技术，降噪电平≥24dB。</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13、支持自动增益控制。</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14、支持啸叫抑制。</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15、支持智能混音，可智能选择最佳麦克风采集音频。</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16、支持多通道音频矩阵，可根据场景需求进行相应设置。</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17、支持音频参数调节。</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18、支持波束成形。</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19、支持远程OTA升级。</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20、支持连接录播主机作为录播音频输入设备使用，也可连接Windows系统，并为其提供音频输入。</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5</w:t>
                  </w:r>
                </w:p>
              </w:tc>
              <w:tc>
                <w:tcPr>
                  <w:tcW w:type="dxa" w:w="420"/>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无线麦克风</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1、标配一个充电仓、两个无线麦克风，且两个麦克风支持同时工作。</w:t>
                  </w:r>
                </w:p>
              </w:tc>
              <w:tc>
                <w:tcPr>
                  <w:tcW w:type="dxa" w:w="17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w:t>
                  </w:r>
                </w:p>
              </w:tc>
              <w:tc>
                <w:tcPr>
                  <w:tcW w:type="dxa" w:w="1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套</w:t>
                  </w:r>
                </w:p>
              </w:tc>
              <w:tc>
                <w:tcPr>
                  <w:tcW w:type="dxa" w:w="1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2、支持任意两个麦克风放入同一个充电仓完成配对，配对后两个麦克风可同时连接一个接收端。</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3、支持红外和无线2.4G同时配对，实现远距离配对的同时，防止误配对。</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4、支持领夹佩戴、手持、挂脖佩戴、头戴佩戴等多种使用方式，满足不同场景需求。</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5、麦克风自带全彩显示屏，支持显示显示麦克风电池电量、麦克风配对状态、麦克风所连接的设备、显示当前麦克风接收声音强度、无线连接信号强度。</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6、支持抗干扰能力，支持自动跳频技术，避免同频干扰问题，同一空间内有多个无线麦克风不会产生相互干扰。</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7、支持在空旷环境下，有效传输距离≥100m，适用于多种场景。</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8、支持充电仓快速充电，1小时充满麦克风。</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9、麦克风续航时间不低于6小时</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10、麦克风音频编码方式采用LC3 plus。</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11、支持啸叫抑制算法，本地扩声时不产生啸叫现象。</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12、支持降噪功能设置。</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13、支持多通道输入混音。</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6</w:t>
                  </w:r>
                </w:p>
              </w:tc>
              <w:tc>
                <w:tcPr>
                  <w:tcW w:type="dxa" w:w="420"/>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有源音箱</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1、采用功放与互动音箱一体化设计，帮助教师实现多媒体扩音以及本地扩声功能。</w:t>
                  </w:r>
                </w:p>
              </w:tc>
              <w:tc>
                <w:tcPr>
                  <w:tcW w:type="dxa" w:w="17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2</w:t>
                  </w:r>
                </w:p>
              </w:tc>
              <w:tc>
                <w:tcPr>
                  <w:tcW w:type="dxa" w:w="1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对</w:t>
                  </w:r>
                </w:p>
              </w:tc>
              <w:tc>
                <w:tcPr>
                  <w:tcW w:type="dxa" w:w="1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2、双音箱有线连接，机箱采用塑胶材质，保护设备免受环境影响。</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3、输出额定功率≥2*15W。</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4、配置独立音频数字信号处理芯片，支持啸叫抑制功能。</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六</w:t>
                  </w:r>
                </w:p>
              </w:tc>
              <w:tc>
                <w:tcPr>
                  <w:tcW w:type="dxa" w:w="2357"/>
                  <w:gridSpan w:val="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会议系统服务</w:t>
                  </w: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w:t>
                  </w:r>
                </w:p>
              </w:tc>
              <w:tc>
                <w:tcPr>
                  <w:tcW w:type="dxa" w:w="420"/>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显示大屏</w:t>
                  </w:r>
                </w:p>
              </w:tc>
              <w:tc>
                <w:tcPr>
                  <w:tcW w:type="dxa" w:w="140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1、屏幕尺寸≥98寸</w:t>
                  </w:r>
                </w:p>
              </w:tc>
              <w:tc>
                <w:tcPr>
                  <w:tcW w:type="dxa" w:w="17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w:t>
                  </w:r>
                </w:p>
              </w:tc>
              <w:tc>
                <w:tcPr>
                  <w:tcW w:type="dxa" w:w="19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套</w:t>
                  </w:r>
                </w:p>
              </w:tc>
              <w:tc>
                <w:tcPr>
                  <w:tcW w:type="dxa" w:w="164"/>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3年</w:t>
                  </w: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2、显示分辨率≥3840x2160（4K UHD）</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3、存配置≥4GB RAM + 32GB ROM</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▲4、整机内置≥4阵列麦克风</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▲5、整机配备Type-C 4K接口，支持快速投屏</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6、整机具备防蓝光护眼技术</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7、操作系统Android 11.0及以上</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8、支持2.4GHz/5GHz双频WiFi</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9、标配会议专属遥控器</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10、支持4K无线投屏</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11、四核CPU处理器</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12、内置专业视频会议软件</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w:t>
                  </w:r>
                </w:p>
              </w:tc>
              <w:tc>
                <w:tcPr>
                  <w:tcW w:type="dxa" w:w="420"/>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会议终端</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1、多媒体框架协议：支持 ITU-T H.323 和 IETF SIP 标准协议</w:t>
                  </w:r>
                </w:p>
              </w:tc>
              <w:tc>
                <w:tcPr>
                  <w:tcW w:type="dxa" w:w="17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4</w:t>
                  </w:r>
                </w:p>
              </w:tc>
              <w:tc>
                <w:tcPr>
                  <w:tcW w:type="dxa" w:w="1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套</w:t>
                  </w:r>
                </w:p>
              </w:tc>
              <w:tc>
                <w:tcPr>
                  <w:tcW w:type="dxa" w:w="1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3年</w:t>
                  </w: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2、视频编解码协议：支持H.264 HP 视频编解码协议</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w:t>
                  </w:r>
                  <w:r>
                    <w:rPr>
                      <w:rFonts w:ascii="仿宋_GB2312" w:hAnsi="仿宋_GB2312" w:cs="仿宋_GB2312" w:eastAsia="仿宋_GB2312"/>
                      <w:sz w:val="21"/>
                      <w:color w:val="333333"/>
                      <w:shd w:fill="FFFFFF" w:val="clear"/>
                    </w:rPr>
                    <w:t>3、音频处理功能：支持自动回声消除(AEC)、自动增益控制(AGC)、自动噪声抑制(ANS)</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4、视频编解码协议：支持 H.265 视频编解码协议</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5、数据辅流分辨率：支持 4K 分辨率数据辅流共享（3840×2160）</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6、无线网络接入：支持双频 Wi-Fi（2.4GHz 和 5GHz）</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7、终端整机功耗：终端整机功耗 ≤25W，节能低功耗设计</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8、双流协议支持 BFCP 和 H.239 双流协议，支持双屏异显</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9、视频分辨率：支持1080P 全高清视频分辨率（1920×1080）</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10、音频编解码：支持 G.722 / G.722.1 / Opus 宽频音频编解码协议</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11、安全加密：支持 AES 加密、TLS 和 SRTP 信令与媒体流加密</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12、管理方式：支持 Web 远程管理、遥控器操控和终端集中网管</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13、会议带宽：支持 64Kbps ~ 8Mbps 会议呼叫带宽自适应</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3</w:t>
                  </w:r>
                </w:p>
              </w:tc>
              <w:tc>
                <w:tcPr>
                  <w:tcW w:type="dxa" w:w="420"/>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互联网专线</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互联网线路，上下行对等，带宽</w:t>
                  </w:r>
                  <w:r>
                    <w:rPr>
                      <w:rFonts w:ascii="仿宋_GB2312" w:hAnsi="仿宋_GB2312" w:cs="仿宋_GB2312" w:eastAsia="仿宋_GB2312"/>
                      <w:sz w:val="21"/>
                      <w:color w:val="333333"/>
                      <w:shd w:fill="FFFFFF" w:val="clear"/>
                    </w:rPr>
                    <w:t>10M</w:t>
                  </w:r>
                </w:p>
              </w:tc>
              <w:tc>
                <w:tcPr>
                  <w:tcW w:type="dxa" w:w="1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4</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条</w:t>
                  </w:r>
                </w:p>
              </w:tc>
              <w:tc>
                <w:tcPr>
                  <w:tcW w:type="dxa" w:w="1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shd w:fill="FFFFFF" w:val="clear"/>
                    </w:rPr>
                    <w:t>3年</w:t>
                  </w:r>
                </w:p>
              </w:tc>
            </w:tr>
            <w:tr>
              <w:tc>
                <w:tcPr>
                  <w:tcW w:type="dxa" w:w="19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七</w:t>
                  </w:r>
                </w:p>
              </w:tc>
              <w:tc>
                <w:tcPr>
                  <w:tcW w:type="dxa" w:w="2357"/>
                  <w:gridSpan w:val="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智慧门禁系统</w:t>
                  </w: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w:t>
                  </w:r>
                </w:p>
              </w:tc>
              <w:tc>
                <w:tcPr>
                  <w:tcW w:type="dxa" w:w="420"/>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智慧门禁</w:t>
                  </w:r>
                  <w:r>
                    <w:rPr>
                      <w:rFonts w:ascii="仿宋_GB2312" w:hAnsi="仿宋_GB2312" w:cs="仿宋_GB2312" w:eastAsia="仿宋_GB2312"/>
                      <w:sz w:val="21"/>
                      <w:color w:val="333333"/>
                      <w:shd w:fill="FFFFFF" w:val="clear"/>
                    </w:rPr>
                    <w:t>1</w:t>
                  </w:r>
                </w:p>
              </w:tc>
              <w:tc>
                <w:tcPr>
                  <w:tcW w:type="dxa" w:w="140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1、304不锈钢材料，上盖国标1.2mm、机身0.8mm</w:t>
                  </w:r>
                </w:p>
              </w:tc>
              <w:tc>
                <w:tcPr>
                  <w:tcW w:type="dxa" w:w="172"/>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w:t>
                  </w:r>
                </w:p>
              </w:tc>
              <w:tc>
                <w:tcPr>
                  <w:tcW w:type="dxa" w:w="198"/>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组</w:t>
                  </w:r>
                </w:p>
              </w:tc>
              <w:tc>
                <w:tcPr>
                  <w:tcW w:type="dxa" w:w="164"/>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2、不锈钢或亚克力</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3、标配4对/通道（可扩展）</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4、≤90%（无凝露）</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5、直流无刷电机，额定功率40W</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6、-25℃～70℃</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7、配备人脸识别</w:t>
                  </w:r>
                  <w:r>
                    <w:rPr>
                      <w:rFonts w:ascii="仿宋_GB2312" w:hAnsi="仿宋_GB2312" w:cs="仿宋_GB2312" w:eastAsia="仿宋_GB2312"/>
                      <w:sz w:val="21"/>
                      <w:color w:val="333333"/>
                      <w:shd w:fill="FFFFFF" w:val="clear"/>
                    </w:rPr>
                    <w:t>终端（</w:t>
                  </w:r>
                  <w:r>
                    <w:rPr>
                      <w:rFonts w:ascii="仿宋_GB2312" w:hAnsi="仿宋_GB2312" w:cs="仿宋_GB2312" w:eastAsia="仿宋_GB2312"/>
                      <w:sz w:val="21"/>
                      <w:color w:val="333333"/>
                      <w:shd w:fill="FFFFFF" w:val="clear"/>
                    </w:rPr>
                    <w:t>4套）</w:t>
                  </w:r>
                </w:p>
              </w:tc>
              <w:tc>
                <w:tcPr>
                  <w:tcW w:type="dxa" w:w="172"/>
                  <w:vMerge/>
                  <w:tcBorders>
                    <w:top w:val="single" w:color="000000" w:sz="4"/>
                    <w:left w:val="none" w:color="000000" w:sz="4"/>
                    <w:bottom w:val="single" w:color="000000" w:sz="4"/>
                    <w:right w:val="single" w:color="000000" w:sz="4"/>
                  </w:tcBorders>
                </w:tcPr>
                <w:p/>
              </w:tc>
              <w:tc>
                <w:tcPr>
                  <w:tcW w:type="dxa" w:w="198"/>
                  <w:vMerge/>
                  <w:tcBorders>
                    <w:top w:val="single" w:color="000000" w:sz="4"/>
                    <w:left w:val="none" w:color="000000" w:sz="4"/>
                    <w:bottom w:val="single" w:color="000000" w:sz="4"/>
                    <w:right w:val="single" w:color="000000" w:sz="4"/>
                  </w:tcBorders>
                </w:tcPr>
                <w:p/>
              </w:tc>
              <w:tc>
                <w:tcPr>
                  <w:tcW w:type="dxa" w:w="164"/>
                  <w:vMerge/>
                  <w:tcBorders>
                    <w:top w:val="single" w:color="000000" w:sz="4"/>
                    <w:left w:val="none" w:color="000000" w:sz="4"/>
                    <w:bottom w:val="single" w:color="000000" w:sz="4"/>
                    <w:right w:val="single" w:color="000000" w:sz="4"/>
                  </w:tcBorders>
                </w:tcPr>
                <w:p/>
              </w:tc>
            </w:tr>
            <w:tr>
              <w:tc>
                <w:tcPr>
                  <w:tcW w:type="dxa" w:w="19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2</w:t>
                  </w:r>
                </w:p>
              </w:tc>
              <w:tc>
                <w:tcPr>
                  <w:tcW w:type="dxa" w:w="420"/>
                  <w:gridSpan w:val="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智慧门禁</w:t>
                  </w:r>
                  <w:r>
                    <w:rPr>
                      <w:rFonts w:ascii="仿宋_GB2312" w:hAnsi="仿宋_GB2312" w:cs="仿宋_GB2312" w:eastAsia="仿宋_GB2312"/>
                      <w:sz w:val="21"/>
                      <w:color w:val="333333"/>
                      <w:shd w:fill="FFFFFF" w:val="clear"/>
                    </w:rPr>
                    <w:t>2</w:t>
                  </w: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1、304不锈钢材料，上盖国标1.2mm、机身0.8mm</w:t>
                  </w:r>
                </w:p>
              </w:tc>
              <w:tc>
                <w:tcPr>
                  <w:tcW w:type="dxa" w:w="17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1</w:t>
                  </w:r>
                </w:p>
              </w:tc>
              <w:tc>
                <w:tcPr>
                  <w:tcW w:type="dxa" w:w="19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333333"/>
                      <w:shd w:fill="FFFFFF" w:val="clear"/>
                    </w:rPr>
                    <w:t>组</w:t>
                  </w:r>
                </w:p>
              </w:tc>
              <w:tc>
                <w:tcPr>
                  <w:tcW w:type="dxa" w:w="16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2、不锈钢或亚克力</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3、标配4对/通道（可扩展）</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r>
              <w:tc>
                <w:tcPr>
                  <w:tcW w:type="dxa" w:w="196"/>
                  <w:vMerge/>
                  <w:tcBorders>
                    <w:top w:val="none" w:color="000000" w:sz="4"/>
                    <w:left w:val="single" w:color="000000" w:sz="4"/>
                    <w:bottom w:val="single" w:color="000000" w:sz="4"/>
                    <w:right w:val="single" w:color="000000" w:sz="4"/>
                  </w:tcBorders>
                </w:tcPr>
                <w:p/>
              </w:tc>
              <w:tc>
                <w:tcPr>
                  <w:tcW w:type="dxa" w:w="420"/>
                  <w:gridSpan w:val="2"/>
                  <w:vMerge/>
                  <w:tcBorders>
                    <w:top w:val="none" w:color="000000" w:sz="4"/>
                    <w:left w:val="none" w:color="000000" w:sz="4"/>
                    <w:bottom w:val="single" w:color="000000" w:sz="4"/>
                    <w:right w:val="single" w:color="000000" w:sz="4"/>
                  </w:tcBorders>
                </w:tcPr>
                <w:p/>
              </w:tc>
              <w:tc>
                <w:tcPr>
                  <w:tcW w:type="dxa" w:w="14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333333"/>
                      <w:shd w:fill="FFFFFF" w:val="clear"/>
                    </w:rPr>
                    <w:t>4、≤90%（无凝露）</w:t>
                  </w:r>
                </w:p>
              </w:tc>
              <w:tc>
                <w:tcPr>
                  <w:tcW w:type="dxa" w:w="172"/>
                  <w:vMerge/>
                  <w:tcBorders>
                    <w:top w:val="none" w:color="000000" w:sz="4"/>
                    <w:left w:val="none" w:color="000000" w:sz="4"/>
                    <w:bottom w:val="single" w:color="000000" w:sz="4"/>
                    <w:right w:val="single" w:color="000000" w:sz="4"/>
                  </w:tcBorders>
                </w:tcPr>
                <w:p/>
              </w:tc>
              <w:tc>
                <w:tcPr>
                  <w:tcW w:type="dxa" w:w="198"/>
                  <w:vMerge/>
                  <w:tcBorders>
                    <w:top w:val="none" w:color="000000" w:sz="4"/>
                    <w:left w:val="none" w:color="000000" w:sz="4"/>
                    <w:bottom w:val="single" w:color="000000" w:sz="4"/>
                    <w:right w:val="single" w:color="000000" w:sz="4"/>
                  </w:tcBorders>
                </w:tcPr>
                <w:p/>
              </w:tc>
              <w:tc>
                <w:tcPr>
                  <w:tcW w:type="dxa" w:w="164"/>
                  <w:vMerge/>
                  <w:tcBorders>
                    <w:top w:val="none" w:color="000000" w:sz="4"/>
                    <w:left w:val="none" w:color="000000" w:sz="4"/>
                    <w:bottom w:val="single" w:color="000000" w:sz="4"/>
                    <w:right w:val="single" w:color="000000" w:sz="4"/>
                  </w:tcBorders>
                </w:tc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留坝县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进度款，中标签订合同后，达到付款条件起30个工作日内，支付合同总金额的30.0%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进度款，竣工验收合格后，达到付款条件起30个工作日内，支付合同总金额的50.0%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进度款，审计完成后，达到付款条件起30个工作日内，支付合同总金额的20.0%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2、中标人在采购结果发布后 3 个工作日内向代理机构提交纸质版投标文件以便于存档，投标文件正本 1 份，副本 2 份，电子版文件 2 份（以 U 盘为载体，电子版内容包括 Word 版本、签字盖章扫描后的 PDF 版本响应文件）。纸质投标文件均须 A4 纸打印，分别各自装订成册并编制目录和页码。线下递交投标文件地点：汉中市汉台区竹园天玺办公楼 11 楼。 3、如采购文件中融资相关内容与新政策要求有出入，按照最新要求执行。 4、采用转账支票或银行电汇形式提交的投标保证金必须从其基本账户转出。采用保函形式提交投标保证金的，应在换取保函收据时，将保函加盖单位公章递交给代理公司。注:1.投标供应商在缴纳保证金时应注明项目名称 2.须携带转账凭证或携带保函原件于投标截止时间前换取保证金或保函收据。为避免因保证金未到账或延迟到账，建议至少投标截止时间前1个工作日内交至代理机构财务处换取保证金收据。3.保证金收据换取地址为:汉中市汉台区竹园天玺办公楼 。 5、项目服务期限60日历天，运维服务3年。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控股承诺.docx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投标文件是否按采购文件要求签署、盖章的</w:t>
            </w:r>
          </w:p>
        </w:tc>
        <w:tc>
          <w:tcPr>
            <w:tcW w:type="dxa" w:w="3322"/>
          </w:tcPr>
          <w:p>
            <w:pPr>
              <w:pStyle w:val="null3"/>
            </w:pPr>
            <w:r>
              <w:rPr>
                <w:rFonts w:ascii="仿宋_GB2312" w:hAnsi="仿宋_GB2312" w:cs="仿宋_GB2312" w:eastAsia="仿宋_GB2312"/>
              </w:rPr>
              <w:t>应按照采购文件要求签署、盖章</w:t>
            </w:r>
          </w:p>
        </w:tc>
        <w:tc>
          <w:tcPr>
            <w:tcW w:type="dxa" w:w="1661"/>
          </w:tcPr>
          <w:p>
            <w:pPr>
              <w:pStyle w:val="null3"/>
            </w:pPr>
            <w:r>
              <w:rPr>
                <w:rFonts w:ascii="仿宋_GB2312" w:hAnsi="仿宋_GB2312" w:cs="仿宋_GB2312" w:eastAsia="仿宋_GB2312"/>
              </w:rPr>
              <w:t>中小企业声明函 商务应答表 服务内容及服务要求应答表 报价表 控股承诺.docx 响应文件封面 分项报价表.docx 汉中市政府采购供应商资格承诺函.pdf 供应商应提交的相关资格证明材料.docx 残疾人福利性单位声明函 保证金.pdf 标的清单 响应函 法定代表人证明书及授权委托书.pdf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保证金交纳是否按照招标文件格式、提交</w:t>
            </w:r>
          </w:p>
        </w:tc>
        <w:tc>
          <w:tcPr>
            <w:tcW w:type="dxa" w:w="3322"/>
          </w:tcPr>
          <w:p>
            <w:pPr>
              <w:pStyle w:val="null3"/>
            </w:pPr>
            <w:r>
              <w:rPr>
                <w:rFonts w:ascii="仿宋_GB2312" w:hAnsi="仿宋_GB2312" w:cs="仿宋_GB2312" w:eastAsia="仿宋_GB2312"/>
              </w:rPr>
              <w:t>应按照采购文件格式要求提交(以投标文件中所附的保证金证明资料为准)</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对采购文件响应程度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投标文件符合法律法规要求的</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产品配置</w:t>
            </w:r>
          </w:p>
        </w:tc>
        <w:tc>
          <w:tcPr>
            <w:tcW w:type="dxa" w:w="2492"/>
          </w:tcPr>
          <w:p>
            <w:pPr>
              <w:pStyle w:val="null3"/>
            </w:pPr>
            <w:r>
              <w:rPr>
                <w:rFonts w:ascii="仿宋_GB2312" w:hAnsi="仿宋_GB2312" w:cs="仿宋_GB2312" w:eastAsia="仿宋_GB2312"/>
              </w:rPr>
              <w:t>投标产品的技术指标参数清楚、明确有相应齐全的技术资料；并根据技术指标响应情况评审；全部满足技术标准要求得基础分25分； 技术指标中标“▲”项技术参数，每有1项负偏离扣2分，其他一般参数每有1项负偏离扣1分，扣完为止。 标“▲”项需提供证明材料；证明材料包括但不限于产品说明书、官网截图、检测报告、技术白皮书等技术支持性文件资料。技术偏离表与证明资料文件中不一致的，以证明资料文件为准。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产品配置.docx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针对本项目拟投入的项目团队。(1)项目负责人具备高级信息系统项目管理师证书或同等水平相关资格的得3分，提供相关证书及社保证明（响应文件递交截止时间前6个月内任意一个月），不提供不得分；（2）项目技术负责人具中级系统集成项目管理工程师证书或中级网络工程师证书或或同等水平相关资格的得3分，提供相关证书及社保证明（响应文件递交截止时间前6个月内任意一个月），不提供不得分；（3）项目团队成员（除项目负责人和技术负责人外）具备网络工程师、通信工程师、信息系统项目管理师、系统集成项目管理工程师、信息安全工程师或同等水平相关资格的，每提供一个得1分，满分6分，提供相关证书及社保证明（响应文件递交截止时间前6个月内任意一个月），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投标人提供针对本项目的售后服务方案（包括但不限于服务承诺，保修、服务标准，人员配备，故障响应修复时间方式及保障措施）等进行打分。 方案方案涵盖上述所有内容且内容科学合理、全面完整，完全能保证产品售后服务效率和及时性，完全满足项目售后服务需求的得13分； 方案内容完整、丰富，能保证产品售后服务效率和及时性，满足项目售后服务需求的得8分； 方案内容基本完整，基本能保证产品售后服务效率和及时性，基本满足项目售后服务需求的得4分； 方案内容严重缺失，不符合采购人实际情况得1分；没有售后服务方案不得分。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投标人具有信息安全管理体系认证证书、质量管理体系认证证书、环境管理体系认证证书、职业健康管理体系认证证书；每提供一项得1分，全部提供得4分。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体系认证.docx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提供针对本项目的实施方案，包括但不限于包括项目总体实施计划、项目保障方案、项目实施承诺、项目质量保障体系、项目质量保障措施、系统运维方案等。根据方案的科学性、先进性、与本项目实际的符合情况，综合评价： 方案涵盖上述所有内容且内容详细完整、重点突出，科学合理，完全符合本项目实际要求的得15分; 方案内容完整、重点突出、合理，符合本项目实际要求的得9 分; 方案内容基本完整、基本合理，基本符合本项目实际要求的得4分; 方案内容严重缺失，不符合本项目实际要求的得1分; 不提供者不得分。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投标人提供针对本项目的培训方案，包括但不限于包括培训计划、培训大纲、培训方式、产品使用说明、操作注意事项等。根据方案的科学性、先进性、与本项目实际的符合情况，综合评价： 方案涵盖上述所有内容且内容条理清晰、完整详细，培训计划专业系统，培训内容设置丰富多样、重点突出，能够确保培训活动的专业性和有效性的得12分; 方案内容完整，培训计划专业，培训内容设置丰富的得7分; 方案内容基本完整，培训计划基本专业，培训内容设置单一的得3分; 方案内容严重缺失，培训计划缺乏专业性，缺乏培训内容的得1分;不提供者不得分。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供应商2023年7月1日至今承接过类似项目业绩，每提供一个业绩合同得2分，满分4分。注:未提供不得分，响应文件中附项目合同关键页复印件并加盖供应商公章。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类似项目业绩一览表.docx</w:t>
            </w:r>
          </w:p>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1、上限为采购预算价（最高限价），即报价大于上限价视为报价无效； 2、以满足本次磋商文件要求的最终价格最低报价为磋商基准价，其价格为满分；其他供应商报价得分=（磋商基准价/最终磋商报价）×10。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详见附件：产品配置.docx</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详见附件：体系认证.docx</w:t>
      </w:r>
    </w:p>
    <w:p>
      <w:pPr>
        <w:pStyle w:val="null3"/>
        <w:ind w:firstLine="960"/>
      </w:pPr>
      <w:r>
        <w:rPr>
          <w:rFonts w:ascii="仿宋_GB2312" w:hAnsi="仿宋_GB2312" w:cs="仿宋_GB2312" w:eastAsia="仿宋_GB2312"/>
        </w:rPr>
        <w:t>详见附件：项目团队.docx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