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版本号：ZDSL26-041Z.1B120260610001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商洛市社会视频资源接入“雪亮工程”配套软硬件购置项目(二次)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ZDSL26-041Z.1B1</w:t>
      </w:r>
      <w:r>
        <w:br/>
      </w:r>
      <w:r>
        <w:br/>
      </w:r>
      <w:r>
        <w:br/>
      </w:r>
    </w:p>
    <w:p>
      <w:pPr>
        <w:pStyle w:val="null3"/>
        <w:jc w:val="center"/>
        <w:outlineLvl w:val="2"/>
      </w:pPr>
      <w:r>
        <w:rPr>
          <w:rFonts w:ascii="仿宋_GB2312" w:hAnsi="仿宋_GB2312" w:cs="仿宋_GB2312" w:eastAsia="仿宋_GB2312"/>
          <w:sz w:val="28"/>
          <w:b/>
        </w:rPr>
        <w:t>商洛市公安局</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商洛市公安局</w:t>
      </w:r>
      <w:r>
        <w:rPr>
          <w:rFonts w:ascii="仿宋_GB2312" w:hAnsi="仿宋_GB2312" w:cs="仿宋_GB2312" w:eastAsia="仿宋_GB2312"/>
        </w:rPr>
        <w:t>委托，拟对</w:t>
      </w:r>
      <w:r>
        <w:rPr>
          <w:rFonts w:ascii="仿宋_GB2312" w:hAnsi="仿宋_GB2312" w:cs="仿宋_GB2312" w:eastAsia="仿宋_GB2312"/>
        </w:rPr>
        <w:t>商洛市社会视频资源接入“雪亮工程”配套软硬件购置项目(二次)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ZDSL26-041Z.1B1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商洛市社会视频资源接入“雪亮工程”配套软硬件购置项目(二次)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根据全市公安机关社会治安防控体系建设需求，将社会视频前端设备整合接入，实现智能化分析比对应用等功能，需采购云存储资源、GPU解析资源和相关配套软件。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陕西省商洛市商州区南秦路1号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18165080609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陕西省商洛市商州区民生路全兴紫苑10、11号商铺三楼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马一妃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15309181965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采购包1：2,851,160.00元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开户名称：正大方略工程咨询有限公司商洛分公司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银行账号：61050167450000000287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中标价格为基础，参照《招标代理服务收费管理暂行办法》的通知（计价格[2002]1980号）和《关于招标代理服务收费有关问题的通知》（发改办价格[2003]857号）的有关规定收取，具体收费金额将在中标公告中公布，在发出中标通知书前由中标人向代理机构一次性支付。 2、代理服务费可以采取现金、支票、银行汇票、电汇、网银等方式缴纳。 3、代理服务费缴纳信息： 银行户名：正大方略工程咨询有限公司商洛分公司 开户银行：中国建设银行股份有限公司商洛商州支行 账号：61050167410000000144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商洛市公安局</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或者行业相应的标准和本合同规定进行验收。项目供货调试到位，达到使用条件时，由乙方出具验收申请，经甲方同意，由甲方组织乙方和有关技术专家组成验收小组对项目进行完工验收；验收合格的，交接项目实施的全部资料，并填写验收报告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联系人：马一妃</w:t>
      </w:r>
    </w:p>
    <w:p>
      <w:pPr>
        <w:pStyle w:val="null3"/>
      </w:pPr>
      <w:r>
        <w:rPr>
          <w:rFonts w:ascii="仿宋_GB2312" w:hAnsi="仿宋_GB2312" w:cs="仿宋_GB2312" w:eastAsia="仿宋_GB2312"/>
        </w:rPr>
        <w:t>联系电话：15309181965</w:t>
      </w:r>
    </w:p>
    <w:p>
      <w:pPr>
        <w:pStyle w:val="null3"/>
      </w:pPr>
      <w:r>
        <w:rPr>
          <w:rFonts w:ascii="仿宋_GB2312" w:hAnsi="仿宋_GB2312" w:cs="仿宋_GB2312" w:eastAsia="仿宋_GB2312"/>
        </w:rPr>
        <w:t>地址：陕西省商洛市商州区民生路全兴紫苑10、11号商铺三楼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根据全市公安机关社会治安防控体系建设需求，将社会视频前端设备整合接入，实现智能化分析比对应用等功能，需采购云存储资源、GPU解析资源和相关配套软件。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2,851,160.00</w:t>
      </w:r>
    </w:p>
    <w:p>
      <w:pPr>
        <w:pStyle w:val="null3"/>
      </w:pPr>
      <w:r>
        <w:rPr>
          <w:rFonts w:ascii="仿宋_GB2312" w:hAnsi="仿宋_GB2312" w:cs="仿宋_GB2312" w:eastAsia="仿宋_GB2312"/>
        </w:rPr>
        <w:t>采购包最高限价（元）: 2,851,160.00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商洛市社会视频资源接入雪亮工程配套软硬件购置项目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2,851,160.00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标的名称：商洛市社会视频资源接入雪亮工程配套软硬件购置项目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9"/>
              <w:gridCol w:w="254"/>
              <w:gridCol w:w="342"/>
              <w:gridCol w:w="1430"/>
              <w:gridCol w:w="169"/>
              <w:gridCol w:w="190"/>
            </w:tblGrid>
            <w:tr>
              <w:tc>
                <w:tcPr>
                  <w:tcW w:type="dxa" w:w="2554"/>
                  <w:gridSpan w:val="6"/>
                  <w:vMerge w:val="restart"/>
                  <w:tcBorders>
                    <w:top w:val="single" w:color="000000" w:sz="8"/>
                    <w:left w:val="single" w:color="000000" w:sz="8"/>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b/>
                      <w:color w:val="000000"/>
                    </w:rPr>
                    <w:t>商洛</w:t>
                  </w:r>
                  <w:r>
                    <w:rPr>
                      <w:rFonts w:ascii="仿宋_GB2312" w:hAnsi="仿宋_GB2312" w:cs="仿宋_GB2312" w:eastAsia="仿宋_GB2312"/>
                      <w:sz w:val="28"/>
                      <w:b/>
                      <w:color w:val="000000"/>
                    </w:rPr>
                    <w:t>市公安局关于</w:t>
                  </w:r>
                  <w:r>
                    <w:rPr>
                      <w:rFonts w:ascii="仿宋_GB2312" w:hAnsi="仿宋_GB2312" w:cs="仿宋_GB2312" w:eastAsia="仿宋_GB2312"/>
                      <w:sz w:val="28"/>
                      <w:b/>
                      <w:color w:val="000000"/>
                    </w:rPr>
                    <w:t>社会视频资源接入</w:t>
                  </w:r>
                  <w:r>
                    <w:rPr>
                      <w:rFonts w:ascii="仿宋_GB2312" w:hAnsi="仿宋_GB2312" w:cs="仿宋_GB2312" w:eastAsia="仿宋_GB2312"/>
                      <w:sz w:val="28"/>
                      <w:b/>
                      <w:color w:val="000000"/>
                    </w:rPr>
                    <w:t>“雪亮工程”</w:t>
                  </w:r>
                </w:p>
                <w:p>
                  <w:pPr>
                    <w:pStyle w:val="null3"/>
                    <w:jc w:val="center"/>
                  </w:pPr>
                  <w:r>
                    <w:rPr>
                      <w:rFonts w:ascii="仿宋_GB2312" w:hAnsi="仿宋_GB2312" w:cs="仿宋_GB2312" w:eastAsia="仿宋_GB2312"/>
                      <w:sz w:val="28"/>
                      <w:b/>
                      <w:color w:val="000000"/>
                    </w:rPr>
                    <w:t>配套</w:t>
                  </w:r>
                  <w:r>
                    <w:rPr>
                      <w:rFonts w:ascii="仿宋_GB2312" w:hAnsi="仿宋_GB2312" w:cs="仿宋_GB2312" w:eastAsia="仿宋_GB2312"/>
                      <w:sz w:val="28"/>
                      <w:b/>
                      <w:color w:val="000000"/>
                    </w:rPr>
                    <w:t>软</w:t>
                  </w:r>
                  <w:r>
                    <w:rPr>
                      <w:rFonts w:ascii="仿宋_GB2312" w:hAnsi="仿宋_GB2312" w:cs="仿宋_GB2312" w:eastAsia="仿宋_GB2312"/>
                      <w:sz w:val="28"/>
                      <w:b/>
                      <w:color w:val="000000"/>
                    </w:rPr>
                    <w:t>硬件购置项目</w:t>
                  </w:r>
                </w:p>
              </w:tc>
            </w:tr>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序号</w:t>
                  </w:r>
                </w:p>
              </w:tc>
              <w:tc>
                <w:tcPr>
                  <w:tcW w:type="dxa" w:w="2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产品类别</w:t>
                  </w: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名称</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技术规格</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单位</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数量</w:t>
                  </w:r>
                </w:p>
              </w:tc>
            </w:tr>
            <w:tr>
              <w:tc>
                <w:tcPr>
                  <w:tcW w:type="dxa" w:w="2554"/>
                  <w:gridSpan w:val="6"/>
                  <w:tcBorders>
                    <w:top w:val="single" w:color="000000" w:sz="4"/>
                    <w:left w:val="single" w:color="000000" w:sz="8"/>
                    <w:bottom w:val="none" w:color="000000" w:sz="4"/>
                    <w:right w:val="single" w:color="000000" w:sz="8"/>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1、现有数据扩容-----公安图片云存储增加至60天</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c>
                <w:tcPr>
                  <w:tcW w:type="dxa" w:w="2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云存储节点</w:t>
                  </w: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云存储节点</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1、云存储总容量不低于768T；</w:t>
                  </w:r>
                  <w:r>
                    <w:br/>
                  </w:r>
                  <w:r>
                    <w:rPr>
                      <w:rFonts w:ascii="仿宋_GB2312" w:hAnsi="仿宋_GB2312" w:cs="仿宋_GB2312" w:eastAsia="仿宋_GB2312"/>
                      <w:sz w:val="16"/>
                      <w:color w:val="000000"/>
                    </w:rPr>
                    <w:t>2、单节点配置要求：</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搭载</w:t>
                  </w:r>
                  <w:r>
                    <w:rPr>
                      <w:rFonts w:ascii="仿宋_GB2312" w:hAnsi="仿宋_GB2312" w:cs="仿宋_GB2312" w:eastAsia="仿宋_GB2312"/>
                      <w:sz w:val="16"/>
                      <w:color w:val="000000"/>
                    </w:rPr>
                    <w:t>2颗64位多核处理器，1+1冗余电源；</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系统内存不低于</w:t>
                  </w:r>
                  <w:r>
                    <w:rPr>
                      <w:rFonts w:ascii="仿宋_GB2312" w:hAnsi="仿宋_GB2312" w:cs="仿宋_GB2312" w:eastAsia="仿宋_GB2312"/>
                      <w:sz w:val="16"/>
                      <w:color w:val="000000"/>
                    </w:rPr>
                    <w:t>32GB；</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内置不低于</w:t>
                  </w:r>
                  <w:r>
                    <w:rPr>
                      <w:rFonts w:ascii="仿宋_GB2312" w:hAnsi="仿宋_GB2312" w:cs="仿宋_GB2312" w:eastAsia="仿宋_GB2312"/>
                      <w:sz w:val="16"/>
                      <w:color w:val="000000"/>
                    </w:rPr>
                    <w:t>3块960GB SSDSSD固态硬盘；</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网络接口不低于</w:t>
                  </w:r>
                  <w:r>
                    <w:rPr>
                      <w:rFonts w:ascii="仿宋_GB2312" w:hAnsi="仿宋_GB2312" w:cs="仿宋_GB2312" w:eastAsia="仿宋_GB2312"/>
                      <w:sz w:val="16"/>
                      <w:color w:val="000000"/>
                    </w:rPr>
                    <w:t>6个千兆数据网口，1个千兆管理口</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支持视频流、图片流直存</w:t>
                  </w:r>
                  <w:r>
                    <w:br/>
                  </w:r>
                  <w:r>
                    <w:rPr>
                      <w:rFonts w:ascii="仿宋_GB2312" w:hAnsi="仿宋_GB2312" w:cs="仿宋_GB2312" w:eastAsia="仿宋_GB2312"/>
                      <w:sz w:val="16"/>
                      <w:color w:val="000000"/>
                    </w:rPr>
                    <w:t>支持</w:t>
                  </w:r>
                  <w:r>
                    <w:rPr>
                      <w:rFonts w:ascii="仿宋_GB2312" w:hAnsi="仿宋_GB2312" w:cs="仿宋_GB2312" w:eastAsia="仿宋_GB2312"/>
                      <w:sz w:val="16"/>
                      <w:color w:val="000000"/>
                    </w:rPr>
                    <w:t>ONVIF、GB/T 28181、RTSP等标准协议</w:t>
                  </w:r>
                  <w:r>
                    <w:br/>
                  </w:r>
                  <w:r>
                    <w:rPr>
                      <w:rFonts w:ascii="仿宋_GB2312" w:hAnsi="仿宋_GB2312" w:cs="仿宋_GB2312" w:eastAsia="仿宋_GB2312"/>
                      <w:sz w:val="16"/>
                      <w:color w:val="000000"/>
                    </w:rPr>
                    <w:t>采用非对称分布式架构，集群化部署，对外提供唯一</w:t>
                  </w:r>
                  <w:r>
                    <w:rPr>
                      <w:rFonts w:ascii="仿宋_GB2312" w:hAnsi="仿宋_GB2312" w:cs="仿宋_GB2312" w:eastAsia="仿宋_GB2312"/>
                      <w:sz w:val="16"/>
                      <w:color w:val="000000"/>
                    </w:rPr>
                    <w:t>IP的存储服务</w:t>
                  </w:r>
                  <w:r>
                    <w:br/>
                  </w:r>
                  <w:r>
                    <w:rPr>
                      <w:rFonts w:ascii="仿宋_GB2312" w:hAnsi="仿宋_GB2312" w:cs="仿宋_GB2312" w:eastAsia="仿宋_GB2312"/>
                      <w:sz w:val="16"/>
                      <w:color w:val="000000"/>
                    </w:rPr>
                    <w:t>支持纠删码数据保护技术，具备设备级和磁盘级容错模式，保障数据不丢失、系统业务不中断</w:t>
                  </w:r>
                  <w:r>
                    <w:br/>
                  </w:r>
                  <w:r>
                    <w:rPr>
                      <w:rFonts w:ascii="仿宋_GB2312" w:hAnsi="仿宋_GB2312" w:cs="仿宋_GB2312" w:eastAsia="仿宋_GB2312"/>
                      <w:sz w:val="16"/>
                      <w:color w:val="000000"/>
                    </w:rPr>
                    <w:t>支持云存储节点在线无缝扩容，容量和性能线性增长</w:t>
                  </w:r>
                  <w:r>
                    <w:br/>
                  </w:r>
                  <w:r>
                    <w:rPr>
                      <w:rFonts w:ascii="仿宋_GB2312" w:hAnsi="仿宋_GB2312" w:cs="仿宋_GB2312" w:eastAsia="仿宋_GB2312"/>
                      <w:sz w:val="16"/>
                      <w:color w:val="000000"/>
                    </w:rPr>
                    <w:t>支持云存储节点间的容量及业务负载均衡</w:t>
                  </w:r>
                  <w:r>
                    <w:br/>
                  </w:r>
                  <w:r>
                    <w:rPr>
                      <w:rFonts w:ascii="仿宋_GB2312" w:hAnsi="仿宋_GB2312" w:cs="仿宋_GB2312" w:eastAsia="仿宋_GB2312"/>
                      <w:sz w:val="16"/>
                      <w:color w:val="000000"/>
                    </w:rPr>
                    <w:t>支持多种存储覆盖策略，周期覆盖、容量覆盖、不覆盖</w:t>
                  </w:r>
                  <w:r>
                    <w:br/>
                  </w:r>
                  <w:r>
                    <w:rPr>
                      <w:rFonts w:ascii="仿宋_GB2312" w:hAnsi="仿宋_GB2312" w:cs="仿宋_GB2312" w:eastAsia="仿宋_GB2312"/>
                      <w:sz w:val="16"/>
                      <w:color w:val="000000"/>
                    </w:rPr>
                    <w:t>支持视频检索功能，按照监控点编号、录像类型、时间组合等条件查询</w:t>
                  </w:r>
                  <w:r>
                    <w:br/>
                  </w:r>
                  <w:r>
                    <w:rPr>
                      <w:rFonts w:ascii="仿宋_GB2312" w:hAnsi="仿宋_GB2312" w:cs="仿宋_GB2312" w:eastAsia="仿宋_GB2312"/>
                      <w:sz w:val="16"/>
                      <w:color w:val="000000"/>
                    </w:rPr>
                    <w:t>支持存储实时视频、视频片段、图片及伴生的智能结构化数据，支持根据结构化数据的类型检索视频，检索条件包括前端点位</w:t>
                  </w:r>
                  <w:r>
                    <w:rPr>
                      <w:rFonts w:ascii="仿宋_GB2312" w:hAnsi="仿宋_GB2312" w:cs="仿宋_GB2312" w:eastAsia="仿宋_GB2312"/>
                      <w:sz w:val="16"/>
                      <w:color w:val="000000"/>
                    </w:rPr>
                    <w:t>ID、时间段、视频目标类型（包含人、机动车、非机动车等）</w:t>
                  </w:r>
                  <w:r>
                    <w:br/>
                  </w:r>
                  <w:r>
                    <w:rPr>
                      <w:rFonts w:ascii="仿宋_GB2312" w:hAnsi="仿宋_GB2312" w:cs="仿宋_GB2312" w:eastAsia="仿宋_GB2312"/>
                      <w:sz w:val="16"/>
                      <w:color w:val="000000"/>
                    </w:rPr>
                    <w:t>支持视频回放功能：正序</w:t>
                  </w:r>
                  <w:r>
                    <w:rPr>
                      <w:rFonts w:ascii="仿宋_GB2312" w:hAnsi="仿宋_GB2312" w:cs="仿宋_GB2312" w:eastAsia="仿宋_GB2312"/>
                      <w:sz w:val="16"/>
                      <w:color w:val="000000"/>
                    </w:rPr>
                    <w:t>/倒序回放、定位回放、高倍速回放、关键帧回放等功能</w:t>
                  </w:r>
                  <w:r>
                    <w:br/>
                  </w:r>
                  <w:r>
                    <w:rPr>
                      <w:rFonts w:ascii="仿宋_GB2312" w:hAnsi="仿宋_GB2312" w:cs="仿宋_GB2312" w:eastAsia="仿宋_GB2312"/>
                      <w:sz w:val="16"/>
                      <w:color w:val="000000"/>
                    </w:rPr>
                    <w:t>支持视频锁定、视频封面、视频备份等视频功能</w:t>
                  </w:r>
                  <w:r>
                    <w:br/>
                  </w:r>
                  <w:r>
                    <w:rPr>
                      <w:rFonts w:ascii="仿宋_GB2312" w:hAnsi="仿宋_GB2312" w:cs="仿宋_GB2312" w:eastAsia="仿宋_GB2312"/>
                      <w:sz w:val="16"/>
                      <w:color w:val="000000"/>
                    </w:rPr>
                    <w:t>支持图片上传，下载，锁定功能，图片按周期、容量、不覆盖策略实现数据生命周期管理</w:t>
                  </w:r>
                  <w:r>
                    <w:br/>
                  </w:r>
                  <w:r>
                    <w:rPr>
                      <w:rFonts w:ascii="仿宋_GB2312" w:hAnsi="仿宋_GB2312" w:cs="仿宋_GB2312" w:eastAsia="仿宋_GB2312"/>
                      <w:sz w:val="16"/>
                      <w:color w:val="000000"/>
                    </w:rPr>
                    <w:t>支持对不同规格图片分级加速存储，支持内存和</w:t>
                  </w:r>
                  <w:r>
                    <w:rPr>
                      <w:rFonts w:ascii="仿宋_GB2312" w:hAnsi="仿宋_GB2312" w:cs="仿宋_GB2312" w:eastAsia="仿宋_GB2312"/>
                      <w:sz w:val="16"/>
                      <w:color w:val="000000"/>
                    </w:rPr>
                    <w:t>SSD双级加速机制</w:t>
                  </w:r>
                  <w:r>
                    <w:br/>
                  </w:r>
                  <w:r>
                    <w:rPr>
                      <w:rFonts w:ascii="仿宋_GB2312" w:hAnsi="仿宋_GB2312" w:cs="仿宋_GB2312" w:eastAsia="仿宋_GB2312"/>
                      <w:sz w:val="16"/>
                      <w:color w:val="000000"/>
                    </w:rPr>
                    <w:t>支持图形化页面对图片数据进行处理，包括图片预览、压缩、裁剪、旋转、缩放、格式转换、马赛克、归一化及打文字水印，并支持通过图形化页面下载处理成功的图片数据</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提供原厂售后服务，硬盘不返还</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台</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2</w:t>
                  </w:r>
                </w:p>
              </w:tc>
              <w:tc>
                <w:tcPr>
                  <w:tcW w:type="dxa" w:w="2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视频云存储软件管理软件</w:t>
                  </w: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节点设备数</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每套视频云存储可管理的节点设备数最多为</w:t>
                  </w:r>
                  <w:r>
                    <w:rPr>
                      <w:rFonts w:ascii="仿宋_GB2312" w:hAnsi="仿宋_GB2312" w:cs="仿宋_GB2312" w:eastAsia="仿宋_GB2312"/>
                      <w:sz w:val="16"/>
                      <w:color w:val="000000"/>
                    </w:rPr>
                    <w:t>300台。</w:t>
                  </w:r>
                  <w:r>
                    <w:br/>
                  </w:r>
                  <w:r>
                    <w:rPr>
                      <w:rFonts w:ascii="仿宋_GB2312" w:hAnsi="仿宋_GB2312" w:cs="仿宋_GB2312" w:eastAsia="仿宋_GB2312"/>
                      <w:sz w:val="16"/>
                      <w:color w:val="000000"/>
                    </w:rPr>
                    <w:t>支持实现图片即存即取；</w:t>
                  </w:r>
                  <w:r>
                    <w:br/>
                  </w:r>
                  <w:r>
                    <w:rPr>
                      <w:rFonts w:ascii="仿宋_GB2312" w:hAnsi="仿宋_GB2312" w:cs="仿宋_GB2312" w:eastAsia="仿宋_GB2312"/>
                      <w:sz w:val="16"/>
                      <w:color w:val="000000"/>
                    </w:rPr>
                    <w:t>支持图片流直存。抓拍图片无需经过任何转发服务器</w:t>
                  </w:r>
                  <w:r>
                    <w:rPr>
                      <w:rFonts w:ascii="仿宋_GB2312" w:hAnsi="仿宋_GB2312" w:cs="仿宋_GB2312" w:eastAsia="仿宋_GB2312"/>
                      <w:sz w:val="16"/>
                      <w:color w:val="000000"/>
                    </w:rPr>
                    <w:t>/虚拟机即可实现前端数据直接存储至云存储系统;</w:t>
                  </w:r>
                  <w:r>
                    <w:br/>
                  </w:r>
                  <w:r>
                    <w:rPr>
                      <w:rFonts w:ascii="仿宋_GB2312" w:hAnsi="仿宋_GB2312" w:cs="仿宋_GB2312" w:eastAsia="仿宋_GB2312"/>
                      <w:sz w:val="16"/>
                      <w:color w:val="000000"/>
                    </w:rPr>
                    <w:t>支持视频、图片、对象数据存储，支持跨节点数据安全。</w:t>
                  </w:r>
                  <w:r>
                    <w:br/>
                  </w:r>
                  <w:r>
                    <w:rPr>
                      <w:rFonts w:ascii="仿宋_GB2312" w:hAnsi="仿宋_GB2312" w:cs="仿宋_GB2312" w:eastAsia="仿宋_GB2312"/>
                      <w:sz w:val="16"/>
                      <w:color w:val="000000"/>
                    </w:rPr>
                    <w:t>支持存储资源虚拟化功能，为应用提供池化资源服务；</w:t>
                  </w:r>
                  <w:r>
                    <w:br/>
                  </w:r>
                  <w:r>
                    <w:rPr>
                      <w:rFonts w:ascii="仿宋_GB2312" w:hAnsi="仿宋_GB2312" w:cs="仿宋_GB2312" w:eastAsia="仿宋_GB2312"/>
                      <w:sz w:val="16"/>
                      <w:color w:val="000000"/>
                    </w:rPr>
                    <w:t>支持集群管理功能，包括集群单元弹性扩容、负载均衡故障迁移等，支持集群节点生命周期管理，支持集群节点服务启动</w:t>
                  </w:r>
                  <w:r>
                    <w:rPr>
                      <w:rFonts w:ascii="仿宋_GB2312" w:hAnsi="仿宋_GB2312" w:cs="仿宋_GB2312" w:eastAsia="仿宋_GB2312"/>
                      <w:sz w:val="16"/>
                      <w:color w:val="000000"/>
                    </w:rPr>
                    <w:t>/停止，集群节点服务组建、扩展、删除；</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台</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3</w:t>
                  </w:r>
                </w:p>
              </w:tc>
              <w:tc>
                <w:tcPr>
                  <w:tcW w:type="dxa" w:w="2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视频云存储软件</w:t>
                  </w: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存储虚拟化服务</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TB</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768</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4</w:t>
                  </w:r>
                </w:p>
              </w:tc>
              <w:tc>
                <w:tcPr>
                  <w:tcW w:type="dxa" w:w="2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视频云存储软件</w:t>
                  </w: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缓存加速服务（内存）</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台</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5</w:t>
                  </w:r>
                </w:p>
              </w:tc>
              <w:tc>
                <w:tcPr>
                  <w:tcW w:type="dxa" w:w="2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视频云存储软件</w:t>
                  </w: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缓存加速服务（</w:t>
                  </w:r>
                  <w:r>
                    <w:rPr>
                      <w:rFonts w:ascii="仿宋_GB2312" w:hAnsi="仿宋_GB2312" w:cs="仿宋_GB2312" w:eastAsia="仿宋_GB2312"/>
                      <w:sz w:val="16"/>
                      <w:color w:val="000000"/>
                    </w:rPr>
                    <w:t>SSD）</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台</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r>
            <w:tr>
              <w:tc>
                <w:tcPr>
                  <w:tcW w:type="dxa" w:w="2554"/>
                  <w:gridSpan w:val="6"/>
                  <w:tcBorders>
                    <w:top w:val="single" w:color="000000" w:sz="4"/>
                    <w:left w:val="single" w:color="000000" w:sz="8"/>
                    <w:bottom w:val="none" w:color="000000" w:sz="4"/>
                    <w:right w:val="single" w:color="000000" w:sz="8"/>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2、比对资源（共2套，增加500路结构化设备比对资源，视频网1套，公安网1套）</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c>
                <w:tcPr>
                  <w:tcW w:type="dxa" w:w="2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比对服务器</w:t>
                  </w: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AI服务器</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处理器：配置</w:t>
                  </w:r>
                  <w:r>
                    <w:rPr>
                      <w:rFonts w:ascii="仿宋_GB2312" w:hAnsi="仿宋_GB2312" w:cs="仿宋_GB2312" w:eastAsia="仿宋_GB2312"/>
                      <w:sz w:val="16"/>
                      <w:color w:val="000000"/>
                    </w:rPr>
                    <w:t>2颗高性能处理器，核数≥24核，主频≥2.2GHz ；最大支持2颗高性能处理器，兼容第2项和第3项</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内存：配置</w:t>
                  </w:r>
                  <w:r>
                    <w:rPr>
                      <w:rFonts w:ascii="仿宋_GB2312" w:hAnsi="仿宋_GB2312" w:cs="仿宋_GB2312" w:eastAsia="仿宋_GB2312"/>
                      <w:sz w:val="16"/>
                      <w:color w:val="000000"/>
                    </w:rPr>
                    <w:t>448GB DDR4；最大支持扩展至32根DDR4内存，最大可扩展至2TB内存</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硬盘：配置</w:t>
                  </w:r>
                  <w:r>
                    <w:rPr>
                      <w:rFonts w:ascii="仿宋_GB2312" w:hAnsi="仿宋_GB2312" w:cs="仿宋_GB2312" w:eastAsia="仿宋_GB2312"/>
                      <w:sz w:val="16"/>
                      <w:color w:val="000000"/>
                    </w:rPr>
                    <w:t>1块240G SSD，960G SSD*4（RAID 0）,1块4T SATA硬盘；最大支持12个3.5寸/2.5寸硬盘，可选兼容8个NVMe硬盘</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独显</w:t>
                  </w:r>
                  <w:r>
                    <w:rPr>
                      <w:rFonts w:ascii="仿宋_GB2312" w:hAnsi="仿宋_GB2312" w:cs="仿宋_GB2312" w:eastAsia="仿宋_GB2312"/>
                      <w:sz w:val="16"/>
                      <w:color w:val="000000"/>
                    </w:rPr>
                    <w:t>&amp;GPU扩展：配置4张Tesla T4加速卡；最大支持最多8张半长单宽显卡或GPU卡，可选支持最多3张全高全长双宽显卡或GPU卡</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阵列卡：配置</w:t>
                  </w:r>
                  <w:r>
                    <w:rPr>
                      <w:rFonts w:ascii="仿宋_GB2312" w:hAnsi="仿宋_GB2312" w:cs="仿宋_GB2312" w:eastAsia="仿宋_GB2312"/>
                      <w:sz w:val="16"/>
                      <w:color w:val="000000"/>
                    </w:rPr>
                    <w:t>1张RAID_1G卡；可选SAS_HBA 卡，支持RAID 0/1/10，可选RAID 2G或4G 卡, 支持RAID 0/1/5/6/10/50/60 ，可选支持断电保护</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网口：配置</w:t>
                  </w:r>
                  <w:r>
                    <w:rPr>
                      <w:rFonts w:ascii="仿宋_GB2312" w:hAnsi="仿宋_GB2312" w:cs="仿宋_GB2312" w:eastAsia="仿宋_GB2312"/>
                      <w:sz w:val="16"/>
                      <w:color w:val="000000"/>
                    </w:rPr>
                    <w:t>2个千兆自适应网络接口，标配1个IPMI RJ45管理接口；OCP专用扩展槽位，采用标准OPC 3.0模块，可选支持1G、10G、25G网络</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PCI E扩展槽：最大可支持11个PCIe 3.0扩展插槽，其中8个标准PCIe插槽、1个阵列卡专用插槽和2个OCP专用插槽</w:t>
                  </w:r>
                  <w:r>
                    <w:br/>
                  </w:r>
                  <w:r>
                    <w:rPr>
                      <w:rFonts w:ascii="仿宋_GB2312" w:hAnsi="仿宋_GB2312" w:cs="仿宋_GB2312" w:eastAsia="仿宋_GB2312"/>
                      <w:sz w:val="16"/>
                      <w:color w:val="000000"/>
                    </w:rPr>
                    <w:t>电源：配置</w:t>
                  </w:r>
                  <w:r>
                    <w:rPr>
                      <w:rFonts w:ascii="仿宋_GB2312" w:hAnsi="仿宋_GB2312" w:cs="仿宋_GB2312" w:eastAsia="仿宋_GB2312"/>
                      <w:sz w:val="16"/>
                      <w:color w:val="000000"/>
                    </w:rPr>
                    <w:t>1200W热拔插高效1+1冗余电源模块；可选800W，1200W 或1600W CRPS高效冗余电源</w:t>
                  </w:r>
                  <w:r>
                    <w:br/>
                  </w:r>
                  <w:r>
                    <w:rPr>
                      <w:rFonts w:ascii="仿宋_GB2312" w:hAnsi="仿宋_GB2312" w:cs="仿宋_GB2312" w:eastAsia="仿宋_GB2312"/>
                      <w:sz w:val="16"/>
                      <w:color w:val="000000"/>
                    </w:rPr>
                    <w:t>其它端口：</w:t>
                  </w:r>
                  <w:r>
                    <w:rPr>
                      <w:rFonts w:ascii="仿宋_GB2312" w:hAnsi="仿宋_GB2312" w:cs="仿宋_GB2312" w:eastAsia="仿宋_GB2312"/>
                      <w:sz w:val="16"/>
                      <w:color w:val="000000"/>
                    </w:rPr>
                    <w:t>2个VGA接口（1个前置VGA、1个后置VGA），5个USB 3.0接口（2个位于机箱前部、2个位于机箱后部、1个位于机箱内部）</w:t>
                  </w:r>
                  <w:r>
                    <w:br/>
                  </w:r>
                  <w:r>
                    <w:rPr>
                      <w:rFonts w:ascii="仿宋_GB2312" w:hAnsi="仿宋_GB2312" w:cs="仿宋_GB2312" w:eastAsia="仿宋_GB2312"/>
                      <w:sz w:val="16"/>
                      <w:color w:val="000000"/>
                    </w:rPr>
                    <w:t>机箱规格：</w:t>
                  </w:r>
                  <w:r>
                    <w:rPr>
                      <w:rFonts w:ascii="仿宋_GB2312" w:hAnsi="仿宋_GB2312" w:cs="仿宋_GB2312" w:eastAsia="仿宋_GB2312"/>
                      <w:sz w:val="16"/>
                      <w:color w:val="000000"/>
                    </w:rPr>
                    <w:t>19英寸2U机架式标准机箱，87.5mm(高)x 446.6mm(宽)x835mm(深)</w:t>
                  </w:r>
                  <w:r>
                    <w:br/>
                  </w:r>
                  <w:r>
                    <w:rPr>
                      <w:rFonts w:ascii="仿宋_GB2312" w:hAnsi="仿宋_GB2312" w:cs="仿宋_GB2312" w:eastAsia="仿宋_GB2312"/>
                      <w:sz w:val="16"/>
                      <w:color w:val="000000"/>
                    </w:rPr>
                    <w:t>操作系统兼容：</w:t>
                  </w:r>
                  <w:r>
                    <w:rPr>
                      <w:rFonts w:ascii="仿宋_GB2312" w:hAnsi="仿宋_GB2312" w:cs="仿宋_GB2312" w:eastAsia="仿宋_GB2312"/>
                      <w:sz w:val="16"/>
                      <w:color w:val="000000"/>
                    </w:rPr>
                    <w:t>HikOS V1.1、Microsoft Windows Server 2016、Microsoft Windows Server 2019、Centos 7.4及以后版本、麒麟V10操作系统</w:t>
                  </w:r>
                  <w:r>
                    <w:br/>
                  </w:r>
                  <w:r>
                    <w:rPr>
                      <w:rFonts w:ascii="仿宋_GB2312" w:hAnsi="仿宋_GB2312" w:cs="仿宋_GB2312" w:eastAsia="仿宋_GB2312"/>
                      <w:sz w:val="16"/>
                      <w:color w:val="000000"/>
                    </w:rPr>
                    <w:t>管理功能：支持</w:t>
                  </w:r>
                  <w:r>
                    <w:rPr>
                      <w:rFonts w:ascii="仿宋_GB2312" w:hAnsi="仿宋_GB2312" w:cs="仿宋_GB2312" w:eastAsia="仿宋_GB2312"/>
                      <w:sz w:val="16"/>
                      <w:color w:val="000000"/>
                    </w:rPr>
                    <w:t xml:space="preserve">IPMI2.0，对外提供1个100/1000 Mbps RJ45管理网口，支持iKVM 远程管理 </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提供原厂售后服务，硬盘不返还</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台</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2</w:t>
                  </w:r>
                </w:p>
              </w:tc>
              <w:tc>
                <w:tcPr>
                  <w:tcW w:type="dxa" w:w="254"/>
                  <w:vMerge w:val="restart"/>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比对服务器软锁</w:t>
                  </w: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设备数</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软授权支持设备数量</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套</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3</w:t>
                  </w:r>
                </w:p>
              </w:tc>
              <w:tc>
                <w:tcPr>
                  <w:tcW w:type="dxa" w:w="254"/>
                  <w:vMerge/>
                  <w:tcBorders>
                    <w:top w:val="single" w:color="000000" w:sz="4"/>
                    <w:left w:val="single" w:color="000000" w:sz="4"/>
                    <w:bottom w:val="none" w:color="000000" w:sz="4"/>
                    <w:right w:val="none" w:color="000000" w:sz="4"/>
                  </w:tcBorders>
                </w:tcP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T4卡比对</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支持的</w:t>
                  </w:r>
                  <w:r>
                    <w:rPr>
                      <w:rFonts w:ascii="仿宋_GB2312" w:hAnsi="仿宋_GB2312" w:cs="仿宋_GB2312" w:eastAsia="仿宋_GB2312"/>
                      <w:sz w:val="16"/>
                      <w:color w:val="000000"/>
                    </w:rPr>
                    <w:t>T4卡的数量，</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张</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4</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4</w:t>
                  </w:r>
                </w:p>
              </w:tc>
              <w:tc>
                <w:tcPr>
                  <w:tcW w:type="dxa" w:w="254"/>
                  <w:vMerge w:val="restart"/>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管理调度平台</w:t>
                  </w: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平台基础包</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支持计算资源、存储资源的统一接入管理与调度，智能分析任务的统一管理调度，提供资源编排能力。支持实时视频解析、在线录像解析、实时图片等智能分析任务，实现视频图片中目标检测、建模、属性分析；支持城管事件检测、国土事件检测、水利事件检测等各类事件的检测任务。</w:t>
                  </w:r>
                  <w:r>
                    <w:br/>
                  </w:r>
                  <w:r>
                    <w:rPr>
                      <w:rFonts w:ascii="仿宋_GB2312" w:hAnsi="仿宋_GB2312" w:cs="仿宋_GB2312" w:eastAsia="仿宋_GB2312"/>
                      <w:sz w:val="16"/>
                      <w:color w:val="000000"/>
                    </w:rPr>
                    <w:t>1.提供云边计算资源的统一接入管理</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①支持中心计算资源统一管理与调度，支持调度多厂家异构算力（需要算法支持）</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②支持边缘计算资源，如超脑、智能IPC等的接入管理与调度能力</w:t>
                  </w:r>
                  <w:r>
                    <w:br/>
                  </w:r>
                  <w:r>
                    <w:rPr>
                      <w:rFonts w:ascii="仿宋_GB2312" w:hAnsi="仿宋_GB2312" w:cs="仿宋_GB2312" w:eastAsia="仿宋_GB2312"/>
                      <w:sz w:val="16"/>
                      <w:color w:val="000000"/>
                    </w:rPr>
                    <w:t>2.支持调度业务流配置</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①支持人脸评分配置，配置人脸名单、抓拍等评分过滤</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②支持视频链路流程配置，支持视频重试、分析结果叠加规则配置</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③支持图片链路流程配置，支持图片等待队列、投递分析等高级执行参数配置</w:t>
                  </w:r>
                  <w:r>
                    <w:br/>
                  </w:r>
                  <w:r>
                    <w:rPr>
                      <w:rFonts w:ascii="仿宋_GB2312" w:hAnsi="仿宋_GB2312" w:cs="仿宋_GB2312" w:eastAsia="仿宋_GB2312"/>
                      <w:sz w:val="16"/>
                      <w:color w:val="000000"/>
                    </w:rPr>
                    <w:t>3.提供结构化任务调度能力</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①人脸、人体、车辆、非机动车视频抓拍及图片分析任务的管理调度能力，路数限制通过视频解析路数控制</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②以图搜图场景，提供人脸，人体、车辆同步检测、建模和分析的调度能力，并发限制通过图片并发量控制</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③提供人脸比对，对分析图片打标签任务调度能力</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④提供1v1比对</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⑤提供1vN比对调度能力，最大300W底库</w:t>
                  </w:r>
                  <w:r>
                    <w:br/>
                  </w:r>
                  <w:r>
                    <w:rPr>
                      <w:rFonts w:ascii="仿宋_GB2312" w:hAnsi="仿宋_GB2312" w:cs="仿宋_GB2312" w:eastAsia="仿宋_GB2312"/>
                      <w:sz w:val="16"/>
                      <w:color w:val="000000"/>
                    </w:rPr>
                    <w:t>4.提供智慧城市等场景化视频、图片分析调度能力</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①提供交通软硬分离场景算法调度能力，例如交通拥堵等</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②提供场景化碎片算法（AI训练算法）调度能力</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③提供城管等场景化算法调度能力</w:t>
                  </w:r>
                  <w:r>
                    <w:br/>
                  </w:r>
                  <w:r>
                    <w:rPr>
                      <w:rFonts w:ascii="仿宋_GB2312" w:hAnsi="仿宋_GB2312" w:cs="仿宋_GB2312" w:eastAsia="仿宋_GB2312"/>
                      <w:sz w:val="16"/>
                      <w:color w:val="000000"/>
                    </w:rPr>
                    <w:t>5.提供开放能力</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①提供同步分析接口、异步任务等不同维度的丰富接口</w:t>
                  </w:r>
                  <w:r>
                    <w:br/>
                  </w: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②提供算力、算法等解析系统异常信息小部件，供应用集成</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套</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5</w:t>
                  </w:r>
                </w:p>
              </w:tc>
              <w:tc>
                <w:tcPr>
                  <w:tcW w:type="dxa" w:w="254"/>
                  <w:vMerge/>
                  <w:tcBorders>
                    <w:top w:val="single" w:color="000000" w:sz="4"/>
                    <w:left w:val="single" w:color="000000" w:sz="4"/>
                    <w:bottom w:val="none" w:color="000000" w:sz="4"/>
                    <w:right w:val="none" w:color="000000" w:sz="4"/>
                  </w:tcBorders>
                </w:tcP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GPU调度数量</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平台提供对</w:t>
                  </w:r>
                  <w:r>
                    <w:rPr>
                      <w:rFonts w:ascii="仿宋_GB2312" w:hAnsi="仿宋_GB2312" w:cs="仿宋_GB2312" w:eastAsia="仿宋_GB2312"/>
                      <w:sz w:val="16"/>
                      <w:color w:val="000000"/>
                    </w:rPr>
                    <w:t>GPU调度的能力，按照计算单元颗数计算（注意：，kt2系列，h12系列、一张卡包括4颗，其它常规一张卡一颗，例如T4）</w:t>
                  </w:r>
                  <w:r>
                    <w:br/>
                  </w:r>
                  <w:r>
                    <w:rPr>
                      <w:rFonts w:ascii="仿宋_GB2312" w:hAnsi="仿宋_GB2312" w:cs="仿宋_GB2312" w:eastAsia="仿宋_GB2312"/>
                      <w:sz w:val="16"/>
                      <w:color w:val="000000"/>
                    </w:rPr>
                    <w:t>提供计算资源池化管理与高可用调度，提供按照计算单元粒度进行调度能力，</w:t>
                  </w:r>
                  <w:r>
                    <w:br/>
                  </w:r>
                  <w:r>
                    <w:rPr>
                      <w:rFonts w:ascii="仿宋_GB2312" w:hAnsi="仿宋_GB2312" w:cs="仿宋_GB2312" w:eastAsia="仿宋_GB2312"/>
                      <w:sz w:val="16"/>
                      <w:color w:val="000000"/>
                    </w:rPr>
                    <w:t>1.支持计算资源新增后，自动加入计算资源池，可用GPU总数纳入新增算力</w:t>
                  </w:r>
                  <w:r>
                    <w:br/>
                  </w:r>
                  <w:r>
                    <w:rPr>
                      <w:rFonts w:ascii="仿宋_GB2312" w:hAnsi="仿宋_GB2312" w:cs="仿宋_GB2312" w:eastAsia="仿宋_GB2312"/>
                      <w:sz w:val="16"/>
                      <w:color w:val="000000"/>
                    </w:rPr>
                    <w:t>2.支持基于池化的计算资源，提供算力资源预分配能力，为特定算法预留算力资源</w:t>
                  </w:r>
                  <w:r>
                    <w:br/>
                  </w:r>
                  <w:r>
                    <w:rPr>
                      <w:rFonts w:ascii="仿宋_GB2312" w:hAnsi="仿宋_GB2312" w:cs="仿宋_GB2312" w:eastAsia="仿宋_GB2312"/>
                      <w:sz w:val="16"/>
                      <w:color w:val="000000"/>
                    </w:rPr>
                    <w:t>3.提供异常迁移能力，有效保证任务的稳定运行：支持异常容错与高可用，某台算力不在线或者异常后，能自动迁移任务到其它可用算力资源</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卡</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4</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6</w:t>
                  </w:r>
                </w:p>
              </w:tc>
              <w:tc>
                <w:tcPr>
                  <w:tcW w:type="dxa" w:w="254"/>
                  <w:vMerge/>
                  <w:tcBorders>
                    <w:top w:val="single" w:color="000000" w:sz="4"/>
                    <w:left w:val="single" w:color="000000" w:sz="4"/>
                    <w:bottom w:val="none" w:color="000000" w:sz="4"/>
                    <w:right w:val="none" w:color="000000" w:sz="4"/>
                  </w:tcBorders>
                </w:tcP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解析调度视频路数</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平台提供对视频分析任务的调度能力，提供本级实时视频、在线录像，级联视频等视频的的智能分析调度能力，按照最大同时分析路数计算，不区分算法，可以按照所有视频算法的路数之和计算，即按照峰值解析并发量</w:t>
                  </w:r>
                  <w:r>
                    <w:br/>
                  </w:r>
                  <w:r>
                    <w:rPr>
                      <w:rFonts w:ascii="仿宋_GB2312" w:hAnsi="仿宋_GB2312" w:cs="仿宋_GB2312" w:eastAsia="仿宋_GB2312"/>
                      <w:sz w:val="16"/>
                      <w:color w:val="000000"/>
                    </w:rPr>
                    <w:t>1.支持视频解析任务按照200W、400W、500W、800W等不同分辨率的视频点位混合调度，根据视频、算法等因子自动计算本次任务所需要的算力，实现算力的最佳组合，有效提供算力使用效率</w:t>
                  </w:r>
                  <w:r>
                    <w:br/>
                  </w:r>
                  <w:r>
                    <w:rPr>
                      <w:rFonts w:ascii="仿宋_GB2312" w:hAnsi="仿宋_GB2312" w:cs="仿宋_GB2312" w:eastAsia="仿宋_GB2312"/>
                      <w:sz w:val="16"/>
                      <w:color w:val="000000"/>
                    </w:rPr>
                    <w:t>2.支持视频任解析任务执行时因异常自动恢复的能力，例如网络抖动造成的取流失败，自动重试取流，有效保障系统运行的稳定性</w:t>
                  </w:r>
                  <w:r>
                    <w:br/>
                  </w:r>
                  <w:r>
                    <w:rPr>
                      <w:rFonts w:ascii="仿宋_GB2312" w:hAnsi="仿宋_GB2312" w:cs="仿宋_GB2312" w:eastAsia="仿宋_GB2312"/>
                      <w:sz w:val="16"/>
                      <w:color w:val="000000"/>
                    </w:rPr>
                    <w:t>3.支持视频点位录像解析任务中，相同的视频点位自动合并去重，有效的降低取流的带宽压力，降低算力的消耗</w:t>
                  </w:r>
                  <w:r>
                    <w:br/>
                  </w:r>
                  <w:r>
                    <w:rPr>
                      <w:rFonts w:ascii="仿宋_GB2312" w:hAnsi="仿宋_GB2312" w:cs="仿宋_GB2312" w:eastAsia="仿宋_GB2312"/>
                      <w:sz w:val="16"/>
                      <w:color w:val="000000"/>
                    </w:rPr>
                    <w:t>4.支持录像任务的异常容错，录像解码失败等无法解析情况，自动跳过异常帧，确保任务能正常执行</w:t>
                  </w:r>
                  <w:r>
                    <w:br/>
                  </w:r>
                  <w:r>
                    <w:rPr>
                      <w:rFonts w:ascii="仿宋_GB2312" w:hAnsi="仿宋_GB2312" w:cs="仿宋_GB2312" w:eastAsia="仿宋_GB2312"/>
                      <w:sz w:val="16"/>
                      <w:color w:val="000000"/>
                    </w:rPr>
                    <w:t>5.支持基于视频结构化的分析结果，给点位打智能能力集的标签，上层应用可以根据能力集进行视频搜索</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路</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100</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7</w:t>
                  </w:r>
                </w:p>
              </w:tc>
              <w:tc>
                <w:tcPr>
                  <w:tcW w:type="dxa" w:w="254"/>
                  <w:vMerge/>
                  <w:tcBorders>
                    <w:top w:val="single" w:color="000000" w:sz="4"/>
                    <w:left w:val="single" w:color="000000" w:sz="4"/>
                    <w:bottom w:val="none" w:color="000000" w:sz="4"/>
                    <w:right w:val="none" w:color="000000" w:sz="4"/>
                  </w:tcBorders>
                </w:tcP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解析调度图片并发</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平台提供对图片分析任务的调度能力，提供本级图片、级联图片、离线图片等图片的智能分析峰值，按照张</w:t>
                  </w:r>
                  <w:r>
                    <w:rPr>
                      <w:rFonts w:ascii="仿宋_GB2312" w:hAnsi="仿宋_GB2312" w:cs="仿宋_GB2312" w:eastAsia="仿宋_GB2312"/>
                      <w:sz w:val="16"/>
                      <w:color w:val="000000"/>
                    </w:rPr>
                    <w:t>/秒控制，可以按照所有图片算法的授权量之和计算</w:t>
                  </w:r>
                  <w:r>
                    <w:br/>
                  </w:r>
                  <w:r>
                    <w:rPr>
                      <w:rFonts w:ascii="仿宋_GB2312" w:hAnsi="仿宋_GB2312" w:cs="仿宋_GB2312" w:eastAsia="仿宋_GB2312"/>
                      <w:sz w:val="16"/>
                      <w:color w:val="000000"/>
                    </w:rPr>
                    <w:t>1.支持图片调度到与算法匹配的可用的GPU进行分析</w:t>
                  </w:r>
                  <w:r>
                    <w:br/>
                  </w:r>
                  <w:r>
                    <w:rPr>
                      <w:rFonts w:ascii="仿宋_GB2312" w:hAnsi="仿宋_GB2312" w:cs="仿宋_GB2312" w:eastAsia="仿宋_GB2312"/>
                      <w:sz w:val="16"/>
                      <w:color w:val="000000"/>
                    </w:rPr>
                    <w:t>2.支持图片异常重试，支持配置重试次数</w:t>
                  </w:r>
                  <w:r>
                    <w:br/>
                  </w:r>
                  <w:r>
                    <w:rPr>
                      <w:rFonts w:ascii="仿宋_GB2312" w:hAnsi="仿宋_GB2312" w:cs="仿宋_GB2312" w:eastAsia="仿宋_GB2312"/>
                      <w:sz w:val="16"/>
                      <w:color w:val="000000"/>
                    </w:rPr>
                    <w:t>3.支持结构化类的高级功能，例如支持人脸关联人体分析、人体关联人脸、车辆关联人脸</w:t>
                  </w:r>
                  <w:r>
                    <w:br/>
                  </w:r>
                  <w:r>
                    <w:rPr>
                      <w:rFonts w:ascii="仿宋_GB2312" w:hAnsi="仿宋_GB2312" w:cs="仿宋_GB2312" w:eastAsia="仿宋_GB2312"/>
                      <w:sz w:val="16"/>
                      <w:color w:val="000000"/>
                    </w:rPr>
                    <w:t>4.支持算法无授权时，临时缓存无授权的图片，保证后续数据能继续分析，不阻塞任务</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张</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250</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8</w:t>
                  </w:r>
                </w:p>
              </w:tc>
              <w:tc>
                <w:tcPr>
                  <w:tcW w:type="dxa" w:w="254"/>
                  <w:vMerge/>
                  <w:tcBorders>
                    <w:top w:val="single" w:color="000000" w:sz="4"/>
                    <w:left w:val="single" w:color="000000" w:sz="4"/>
                    <w:bottom w:val="none" w:color="000000" w:sz="4"/>
                    <w:right w:val="none" w:color="000000" w:sz="4"/>
                  </w:tcBorders>
                </w:tcP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智能调度监控</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资源监控：提供对中心资源、边缘资源（智能</w:t>
                  </w:r>
                  <w:r>
                    <w:rPr>
                      <w:rFonts w:ascii="仿宋_GB2312" w:hAnsi="仿宋_GB2312" w:cs="仿宋_GB2312" w:eastAsia="仿宋_GB2312"/>
                      <w:sz w:val="16"/>
                      <w:color w:val="000000"/>
                    </w:rPr>
                    <w:t>NVR、IPC）的运行监控，监控算法引擎状态、计算单元类型、加载算法、在线状态等运行情况</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算法监控：提供对云边算法的运行监控，监控算法的加载预分配数量、加载数量、授权信息、分配记录等</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任务监控：提供对云边任务的运行监控，监控视频、图片任务的全链路执行情况，包括状态、分析结果数量、分析失败记录等</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链路追踪：提供对系统全局的运行监控，监控全局的数据链路及执行情况，包括数据生产速率、消费处理速率、积压情况</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异常监控：提供对系统异常的监控，对系统实时、历史异常信息，包括资源、算法、任务，提供对历史异常的追踪能力</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事件监控：提供解析能力的过程，监控解析过程中产生的事件及报文追溯</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套</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r>
            <w:tr>
              <w:tc>
                <w:tcPr>
                  <w:tcW w:type="dxa" w:w="2554"/>
                  <w:gridSpan w:val="6"/>
                  <w:tcBorders>
                    <w:top w:val="single" w:color="000000" w:sz="4"/>
                    <w:left w:val="single" w:color="000000" w:sz="8"/>
                    <w:bottom w:val="none" w:color="000000" w:sz="4"/>
                    <w:right w:val="single" w:color="000000" w:sz="8"/>
                  </w:tcBorders>
                  <w:shd w:fill="FFFFFF"/>
                  <w:tcMar>
                    <w:top w:type="dxa" w:w="0"/>
                    <w:left w:type="dxa" w:w="0"/>
                    <w:bottom w:type="dxa" w:w="0"/>
                    <w:right w:type="dxa" w:w="0"/>
                  </w:tcMar>
                  <w:vAlign w:val="top"/>
                </w:tcPr>
                <w:p>
                  <w:pPr>
                    <w:pStyle w:val="null3"/>
                    <w:jc w:val="center"/>
                  </w:pPr>
                  <w:r>
                    <w:rPr>
                      <w:rFonts w:ascii="仿宋_GB2312" w:hAnsi="仿宋_GB2312" w:cs="仿宋_GB2312" w:eastAsia="仿宋_GB2312"/>
                      <w:sz w:val="22"/>
                      <w:b/>
                      <w:color w:val="000000"/>
                    </w:rPr>
                    <w:t>3、聚类资源增加500路结构化设备----视频网</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c>
                <w:tcPr>
                  <w:tcW w:type="dxa" w:w="254"/>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GPU服务器</w:t>
                  </w: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服务器产品</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处理器：配置</w:t>
                  </w:r>
                  <w:r>
                    <w:rPr>
                      <w:rFonts w:ascii="仿宋_GB2312" w:hAnsi="仿宋_GB2312" w:cs="仿宋_GB2312" w:eastAsia="仿宋_GB2312"/>
                      <w:sz w:val="16"/>
                      <w:color w:val="000000"/>
                    </w:rPr>
                    <w:t>2颗高性能处理器，核数≥24核，主频≥2.2GHz ；最大支持2颗高性能处理器，兼容第2项号和第3项</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内存：配置</w:t>
                  </w:r>
                  <w:r>
                    <w:rPr>
                      <w:rFonts w:ascii="仿宋_GB2312" w:hAnsi="仿宋_GB2312" w:cs="仿宋_GB2312" w:eastAsia="仿宋_GB2312"/>
                      <w:sz w:val="16"/>
                      <w:color w:val="000000"/>
                    </w:rPr>
                    <w:t>448GB DDR4；最大支持扩展至32根DDR4内存，最大可扩展至2TB内存</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硬盘：配置</w:t>
                  </w:r>
                  <w:r>
                    <w:rPr>
                      <w:rFonts w:ascii="仿宋_GB2312" w:hAnsi="仿宋_GB2312" w:cs="仿宋_GB2312" w:eastAsia="仿宋_GB2312"/>
                      <w:sz w:val="16"/>
                      <w:color w:val="000000"/>
                    </w:rPr>
                    <w:t>1块240G SSD，960G SSD*4（RAID 0）,1块4T SATA硬盘；最大支持12个3.5寸/2.5寸硬盘，可选兼容8个NVMe硬盘</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独显</w:t>
                  </w:r>
                  <w:r>
                    <w:rPr>
                      <w:rFonts w:ascii="仿宋_GB2312" w:hAnsi="仿宋_GB2312" w:cs="仿宋_GB2312" w:eastAsia="仿宋_GB2312"/>
                      <w:sz w:val="16"/>
                      <w:color w:val="000000"/>
                    </w:rPr>
                    <w:t>&amp;GPU扩展：配置4张Tesla T4加速卡；最大支持最多8张半长单宽显卡或GPU卡，可选支持最多3张全高全长双宽显卡或GPU卡</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阵列卡：配置</w:t>
                  </w:r>
                  <w:r>
                    <w:rPr>
                      <w:rFonts w:ascii="仿宋_GB2312" w:hAnsi="仿宋_GB2312" w:cs="仿宋_GB2312" w:eastAsia="仿宋_GB2312"/>
                      <w:sz w:val="16"/>
                      <w:color w:val="000000"/>
                    </w:rPr>
                    <w:t>1张RAID_1G卡；可选SAS_HBA 卡，支持RAID 0/1/10，可选RAID 2G或4G 卡, 支持RAID 0/1/5/6/10/50/60 ，可选支持断电保护</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网口：配置</w:t>
                  </w:r>
                  <w:r>
                    <w:rPr>
                      <w:rFonts w:ascii="仿宋_GB2312" w:hAnsi="仿宋_GB2312" w:cs="仿宋_GB2312" w:eastAsia="仿宋_GB2312"/>
                      <w:sz w:val="16"/>
                      <w:color w:val="000000"/>
                    </w:rPr>
                    <w:t>2个千兆自适应网络接口，标配1个IPMI RJ45管理接口；OCP专用扩展槽位，采用标准OPC 3.0模块，可选支持1G、10G、25G网络</w:t>
                  </w:r>
                  <w:r>
                    <w:br/>
                  </w:r>
                  <w:r>
                    <w:rPr>
                      <w:rFonts w:ascii="仿宋_GB2312" w:hAnsi="仿宋_GB2312" w:cs="仿宋_GB2312" w:eastAsia="仿宋_GB2312"/>
                      <w:sz w:val="16"/>
                      <w:color w:val="333333"/>
                    </w:rPr>
                    <w:t>★</w:t>
                  </w:r>
                  <w:r>
                    <w:rPr>
                      <w:rFonts w:ascii="仿宋_GB2312" w:hAnsi="仿宋_GB2312" w:cs="仿宋_GB2312" w:eastAsia="仿宋_GB2312"/>
                      <w:sz w:val="16"/>
                      <w:color w:val="000000"/>
                    </w:rPr>
                    <w:t>PCI E扩展槽：最大可支持11个PCIe 3.0扩展插槽，其中8个标准PCIe插槽、1个阵列卡专用插槽和2个OCP专用插槽</w:t>
                  </w:r>
                  <w:r>
                    <w:br/>
                  </w:r>
                  <w:r>
                    <w:rPr>
                      <w:rFonts w:ascii="仿宋_GB2312" w:hAnsi="仿宋_GB2312" w:cs="仿宋_GB2312" w:eastAsia="仿宋_GB2312"/>
                      <w:sz w:val="16"/>
                      <w:color w:val="000000"/>
                    </w:rPr>
                    <w:t>电源：配置</w:t>
                  </w:r>
                  <w:r>
                    <w:rPr>
                      <w:rFonts w:ascii="仿宋_GB2312" w:hAnsi="仿宋_GB2312" w:cs="仿宋_GB2312" w:eastAsia="仿宋_GB2312"/>
                      <w:sz w:val="16"/>
                      <w:color w:val="000000"/>
                    </w:rPr>
                    <w:t>1200W热拔插高效1+1冗余电源模块；可选800W，1200W 或1600W CRPS高效冗余电源</w:t>
                  </w:r>
                  <w:r>
                    <w:br/>
                  </w:r>
                  <w:r>
                    <w:rPr>
                      <w:rFonts w:ascii="仿宋_GB2312" w:hAnsi="仿宋_GB2312" w:cs="仿宋_GB2312" w:eastAsia="仿宋_GB2312"/>
                      <w:sz w:val="16"/>
                      <w:color w:val="000000"/>
                    </w:rPr>
                    <w:t>其它端口：</w:t>
                  </w:r>
                  <w:r>
                    <w:rPr>
                      <w:rFonts w:ascii="仿宋_GB2312" w:hAnsi="仿宋_GB2312" w:cs="仿宋_GB2312" w:eastAsia="仿宋_GB2312"/>
                      <w:sz w:val="16"/>
                      <w:color w:val="000000"/>
                    </w:rPr>
                    <w:t>2个VGA接口（1个前置VGA、1个后置VGA），5个USB 3.0接口（2个位于机箱前部、2个位于机箱后部、1个位于机箱内部）</w:t>
                  </w:r>
                  <w:r>
                    <w:br/>
                  </w:r>
                  <w:r>
                    <w:rPr>
                      <w:rFonts w:ascii="仿宋_GB2312" w:hAnsi="仿宋_GB2312" w:cs="仿宋_GB2312" w:eastAsia="仿宋_GB2312"/>
                      <w:sz w:val="16"/>
                      <w:color w:val="000000"/>
                    </w:rPr>
                    <w:t>机箱规格：</w:t>
                  </w:r>
                  <w:r>
                    <w:rPr>
                      <w:rFonts w:ascii="仿宋_GB2312" w:hAnsi="仿宋_GB2312" w:cs="仿宋_GB2312" w:eastAsia="仿宋_GB2312"/>
                      <w:sz w:val="16"/>
                      <w:color w:val="000000"/>
                    </w:rPr>
                    <w:t>19英寸2U机架式标准机箱，87.5mm(高)x 446.6mm(宽)x835mm(深)</w:t>
                  </w:r>
                  <w:r>
                    <w:br/>
                  </w:r>
                  <w:r>
                    <w:rPr>
                      <w:rFonts w:ascii="仿宋_GB2312" w:hAnsi="仿宋_GB2312" w:cs="仿宋_GB2312" w:eastAsia="仿宋_GB2312"/>
                      <w:sz w:val="16"/>
                      <w:color w:val="000000"/>
                    </w:rPr>
                    <w:t>操作系统兼容：</w:t>
                  </w:r>
                  <w:r>
                    <w:rPr>
                      <w:rFonts w:ascii="仿宋_GB2312" w:hAnsi="仿宋_GB2312" w:cs="仿宋_GB2312" w:eastAsia="仿宋_GB2312"/>
                      <w:sz w:val="16"/>
                      <w:color w:val="000000"/>
                    </w:rPr>
                    <w:t>HikOS V1.1、Microsoft Windows Server 2016、Microsoft Windows Server 2019、Centos 7.4及以后版本、麒麟V10操作系统</w:t>
                  </w:r>
                  <w:r>
                    <w:br/>
                  </w:r>
                  <w:r>
                    <w:rPr>
                      <w:rFonts w:ascii="仿宋_GB2312" w:hAnsi="仿宋_GB2312" w:cs="仿宋_GB2312" w:eastAsia="仿宋_GB2312"/>
                      <w:sz w:val="16"/>
                      <w:color w:val="000000"/>
                    </w:rPr>
                    <w:t>管理功能：支持</w:t>
                  </w:r>
                  <w:r>
                    <w:rPr>
                      <w:rFonts w:ascii="仿宋_GB2312" w:hAnsi="仿宋_GB2312" w:cs="仿宋_GB2312" w:eastAsia="仿宋_GB2312"/>
                      <w:sz w:val="16"/>
                      <w:color w:val="000000"/>
                    </w:rPr>
                    <w:t>IPMI2.0，对外提供1个100/1000 Mbps RJ45管理网口，支持iKVM 远程管理</w:t>
                  </w:r>
                </w:p>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16"/>
                      <w:color w:val="000000"/>
                    </w:rPr>
                    <w:t>提供原厂售后服务，硬盘不返还</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台</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2</w:t>
                  </w:r>
                </w:p>
              </w:tc>
              <w:tc>
                <w:tcPr>
                  <w:tcW w:type="dxa" w:w="254"/>
                  <w:vMerge w:val="restart"/>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聚档服务器软锁</w:t>
                  </w: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设备数</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软授权支持设备数量</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套</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1</w:t>
                  </w:r>
                </w:p>
              </w:tc>
            </w:tr>
            <w:tr>
              <w:tc>
                <w:tcPr>
                  <w:tcW w:type="dxa" w:w="169"/>
                  <w:tcBorders>
                    <w:top w:val="single" w:color="000000" w:sz="4"/>
                    <w:left w:val="single" w:color="000000" w:sz="8"/>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3</w:t>
                  </w:r>
                </w:p>
              </w:tc>
              <w:tc>
                <w:tcPr>
                  <w:tcW w:type="dxa" w:w="254"/>
                  <w:vMerge/>
                  <w:tcBorders>
                    <w:top w:val="single" w:color="000000" w:sz="4"/>
                    <w:left w:val="single" w:color="000000" w:sz="4"/>
                    <w:bottom w:val="none" w:color="000000" w:sz="4"/>
                    <w:right w:val="none" w:color="000000" w:sz="4"/>
                  </w:tcBorders>
                </w:tcPr>
                <w:p/>
              </w:tc>
              <w:tc>
                <w:tcPr>
                  <w:tcW w:type="dxa" w:w="342"/>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T4卡聚类(人脸和人体)</w:t>
                  </w:r>
                </w:p>
              </w:tc>
              <w:tc>
                <w:tcPr>
                  <w:tcW w:type="dxa" w:w="1430"/>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000000"/>
                    </w:rPr>
                    <w:t>支持的</w:t>
                  </w:r>
                  <w:r>
                    <w:rPr>
                      <w:rFonts w:ascii="仿宋_GB2312" w:hAnsi="仿宋_GB2312" w:cs="仿宋_GB2312" w:eastAsia="仿宋_GB2312"/>
                      <w:sz w:val="16"/>
                      <w:color w:val="000000"/>
                    </w:rPr>
                    <w:t>T4卡数量</w:t>
                  </w:r>
                </w:p>
              </w:tc>
              <w:tc>
                <w:tcPr>
                  <w:tcW w:type="dxa" w:w="169"/>
                  <w:tcBorders>
                    <w:top w:val="single" w:color="000000" w:sz="4"/>
                    <w:left w:val="single" w:color="000000" w:sz="4"/>
                    <w:bottom w:val="none" w:color="000000" w:sz="4"/>
                    <w:right w:val="non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张</w:t>
                  </w:r>
                </w:p>
              </w:tc>
              <w:tc>
                <w:tcPr>
                  <w:tcW w:type="dxa" w:w="190"/>
                  <w:tcBorders>
                    <w:top w:val="single" w:color="000000" w:sz="4"/>
                    <w:left w:val="single" w:color="000000" w:sz="4"/>
                    <w:bottom w:val="none" w:color="000000" w:sz="4"/>
                    <w:right w:val="single" w:color="000000" w:sz="8"/>
                  </w:tcBorders>
                  <w:tcMar>
                    <w:top w:type="dxa" w:w="0"/>
                    <w:left w:type="dxa" w:w="0"/>
                    <w:bottom w:type="dxa" w:w="0"/>
                    <w:right w:type="dxa" w:w="0"/>
                  </w:tcMar>
                  <w:vAlign w:val="top"/>
                </w:tcPr>
                <w:p>
                  <w:pPr>
                    <w:pStyle w:val="null3"/>
                    <w:jc w:val="center"/>
                  </w:pPr>
                  <w:r>
                    <w:rPr>
                      <w:rFonts w:ascii="仿宋_GB2312" w:hAnsi="仿宋_GB2312" w:cs="仿宋_GB2312" w:eastAsia="仿宋_GB2312"/>
                      <w:sz w:val="16"/>
                      <w:color w:val="000000"/>
                    </w:rPr>
                    <w:t>4</w:t>
                  </w:r>
                </w:p>
              </w:tc>
            </w:tr>
            <w:tr>
              <w:tc>
                <w:tcPr>
                  <w:tcW w:type="dxa" w:w="2195"/>
                  <w:gridSpan w:val="4"/>
                  <w:tcBorders>
                    <w:top w:val="single" w:color="000000" w:sz="4"/>
                    <w:left w:val="single" w:color="000000" w:sz="8"/>
                    <w:bottom w:val="single" w:color="000000" w:sz="8"/>
                    <w:right w:val="non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6"/>
                      <w:color w:val="333333"/>
                    </w:rPr>
                    <w:t>★</w:t>
                  </w:r>
                  <w:r>
                    <w:rPr>
                      <w:rFonts w:ascii="仿宋_GB2312" w:hAnsi="仿宋_GB2312" w:cs="仿宋_GB2312" w:eastAsia="仿宋_GB2312"/>
                      <w:sz w:val="20"/>
                      <w:color w:val="000000"/>
                    </w:rPr>
                    <w:t>注：1、本项目核心产品名称：云存储节点。</w:t>
                  </w:r>
                </w:p>
                <w:p>
                  <w:pPr>
                    <w:pStyle w:val="null3"/>
                    <w:jc w:val="left"/>
                  </w:pPr>
                  <w:r>
                    <w:rPr>
                      <w:rFonts w:ascii="仿宋_GB2312" w:hAnsi="仿宋_GB2312" w:cs="仿宋_GB2312" w:eastAsia="仿宋_GB2312"/>
                      <w:sz w:val="20"/>
                      <w:color w:val="000000"/>
                    </w:rPr>
                    <w:t xml:space="preserve">         2、本项目所涉及的软、硬件必须与现有信息系统实现全面兼容与无缝集成，确保与现有环境完全匹配，并稳定、高效运行；对整体项目提供不低于五年质保服务，以及硬盘免回收服务。</w:t>
                  </w:r>
                </w:p>
              </w:tc>
              <w:tc>
                <w:tcPr>
                  <w:tcW w:type="dxa" w:w="169"/>
                  <w:tcBorders>
                    <w:top w:val="single" w:color="000000" w:sz="4"/>
                    <w:left w:val="single" w:color="000000" w:sz="4"/>
                    <w:bottom w:val="single" w:color="000000" w:sz="8"/>
                    <w:right w:val="none" w:color="000000" w:sz="4"/>
                  </w:tcBorders>
                  <w:tcMar>
                    <w:top w:type="dxa" w:w="0"/>
                    <w:left w:type="dxa" w:w="0"/>
                    <w:bottom w:type="dxa" w:w="0"/>
                    <w:right w:type="dxa" w:w="0"/>
                  </w:tcMar>
                  <w:vAlign w:val="top"/>
                </w:tcPr>
                <w:p>
                  <w:pPr>
                    <w:pStyle w:val="null3"/>
                    <w:jc w:val="both"/>
                  </w:pPr>
                </w:p>
              </w:tc>
              <w:tc>
                <w:tcPr>
                  <w:tcW w:type="dxa" w:w="190"/>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全部产品调试完毕并验收合格后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项目经审计完成后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15.00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质保期满甲方财务部门接到甲方确认本合同货物质量与服务等约定事项已履约完毕的书面通知后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1.货物验收由甲方组织，乙方配合，并按下列程序进行： （1）交货验收时，乙方须提供质检部门产品抽样检查合格的检测报告（或生产厂家自检报告）及所提供货物（产品）的合格证、装箱清单、配件、随机工具、用户使用手册（产品使用说明书）、保修卡等资料交付给甲方； （2）到货验收 ：货物到达后，按合同要求的货物清单和装箱单逐一核对，同时检查货物外观，是否有划痕或破损的，并做好相应记录； 按乙方承诺的产品包装环保材料进行验收，必要时乙方需提供检测报告，甲方发现虚假承诺时，将扣除总货款的 5%作为处罚。 （3）货物初验：乙方应在货物到货之日起，20 日内全部完成安装调试完毕；乙方安装调试完毕后 5日内完成初步验收；初步验收合格后，进入 30 日试用期；试用期间发生重大质量问题，修复后试用期相应顺延； （4）货物终验：完成安装、调试、试运行，并达到正常使用条件后 30 日内完成最终验收； （5）验收合格，双方签署验收报告。 2.货物验收依据： （1）招标文件； （2）响应文件； （3）采购合同及补充协议； （4）质检部门抽样检查货物（产品）合格的检测报告。 3.货物验收时发现问题的处理办法： （1）乙方提供不符合文件和本合同规定的货物（产品），甲方有权拒绝接受； （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 （3）如货物经乙方 3 次更换仍不能达到合同约定的质量标准，甲方有权视作乙方不能交付货物，无履约能力，乙方须支付违约赔偿金给甲方，甲方还可依法追究乙方的违约责任； （4）货物安装完成后 60 日内，甲方无故不进行验收工作并已使用货物的，视同已安装调试完成并验收合格； （5）乙方不能完整交付货物及规定的单证和工具的，必须负责补齐，否则视为未按合同约定交货；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1.乙方须提供全新的、未使用过的合格正品货物（含零部件、配件等），完全符合合同规定的质量、规格和性能的要求。 2.乙方提供的节能和环保产品必须是列入节能、环保标志产品品目清单中的产品。 3.质量标准按照最新颁布的国家标准、行业标准或制造商企业标准确定，上述标准不一致的，以严格标准为准。 4.乙方所提供货物还应符合国家和陕西省有关安全、环保、节能之规定，“3C”认证的货物（产品）应加贴“3C”认证标志。 5.货物质量出现问题，乙方应负责三包（包修、包换、包退），费用由乙方负担，甲方有权到乙方生产场地检查货物质量和生产进度。 6、质保期：5年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1.甲方违约责任 （1）甲方无正当理由拒收货物的，甲方应偿付合同总价 1%的违约金； （2）甲方逾期支付货款的，除应及时付足货款外，应向乙方每天支付欠款总额 1 ‰的滞纳金；但累计滞纳金总额不超过欠款总额的 2%。 2.乙方违约责任 （1）如乙方不能交付货物，甲方有权扣留全部履约保证金；同时乙方应向甲方支付合同总价5％的违约金； （2）乙方逾期交付货物的，每逾期 1 天，乙方向甲方偿付逾期交货部分货款总额的 5‰的滞纳金。如乙方逾期交货达 2 天，甲方有权解除合同，解除合同的通知自到达乙方时生效； （3）乙方所交付的货物品种、型号、规格不符合合同规定的，甲方有权拒收。甲方拒收的，乙方应向甲方支付货款总额 5%的违约金； （4）乙方货物经甲方送交具有法定资格条件的质量技术监督机构检测后，如检测结果认定货物质量不符合本合同规定标准的，则视为乙方没有按时交货而违约，乙方须在 5 天内无条件更换合格的货物，如逾期不能更换合格的货物，甲方有权终止本合同，乙方应另向甲方支付货款总额的10 %的违约金； （5）在乙方承诺的或国家规定的质量保证期内（取两者中最长的期限），如经乙方两次维修或更换，货物仍不能达到合同约定的质量标准，甲方有权退货，乙方应退回全部货款，并按第 3 款处理，同时，乙方还须赔偿甲方因此遭受的损失； （6）乙方未按本合同的规定和“服务承诺”提供伴随服务/售后服务的，应按合同总价款的 5 %向甲方承担违约责任； （7）乙方在承担上述 1-6款一项或多项违约责任后，仍应继续履行合同规定的义务（甲方解除合同的除外）。甲方未能及时追究乙方的任何一项违约责任并不表明甲方放弃追究乙方该项或其他违约责任； （8）乙方偿付的违约金不足以弥补甲方损失的，还应按甲方损失尚未弥补的部分，支付赔偿金给甲方。 争议的解决 1.因货物的质量问题发生争议，由质量技术监督部门或其指定的质量鉴定机构进行质量鉴定。 货物符合标准的，鉴定费由甲方承担；货物不符合质量标准的，鉴定费由乙方承担。 2.因履行本合同引起的或与本合同有关的争议，甲、乙双方应首先通过友好协商解决，如果协商不成，则向甲方所在地有管辖权的人民法院提起诉讼； 3.在裁决期间，本合同应继续履行。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成交供应商领取成交通知书时须提交响应文件正本壹套、副本贰套。纸质响应文件应与电子响应文件保持一致。递交文件地点:陕西省商洛市商州区民生路全兴紫苑10、11号商铺三楼经营部。 2.本项目所属行业为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3.采购文件所列标准与国家现行标准不一致时，以国家现行标准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应符合《中华人民共和国政府采购法》第二十二条第一款规定，并按照《政府采购法实施条例》第十七条规定提供下列材料：（1）投标人应具有独立承担民事责任的能力：提供营业执照等证明文件；（2）提供法定代表人身份证明及授权委托书（法定代表人参与磋商的无须提供授权委托书）；（3）税收缴纳证明：提供投标人自投标前1年以来已缴纳的任意时段的完税凭证或税务机关开具的完税证明（任意税种）；依法免税的应提供相关文件证明； （4）社会保障资金缴纳证明：提供投标人自投标前1年以来已缴存的任意时段的社会保障资金缴存单据或社保机构开具的社会保险参保缴费情况证明；依法不需要缴纳社会保障资金的投标人应提供相关文件证明；（5）具备履行合同所必需的专业技术能力的证明；（6）投标人参加本次投标前3年内，在经营活动中没有重大违法记录的书面声明；（7）提供投标人缴纳的投标保证金凭证。</w:t>
            </w:r>
          </w:p>
        </w:tc>
        <w:tc>
          <w:tcPr>
            <w:tcW w:type="dxa" w:w="1661"/>
          </w:tcPr>
          <w:p>
            <w:pPr>
              <w:pStyle w:val="null3"/>
            </w:pPr>
            <w:r>
              <w:rPr>
                <w:rFonts w:ascii="仿宋_GB2312" w:hAnsi="仿宋_GB2312" w:cs="仿宋_GB2312" w:eastAsia="仿宋_GB2312"/>
              </w:rPr>
              <w:t>投标函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提供2025年度经审计的投标人财务报告（包括 “四表一注”即《资产负债表》《利润表》《现金流量表》《所有者权益变动表》及其附注）或者提供投标文件截止时间3个月内其基本账户开户银行出具的资信证明。</w:t>
            </w:r>
          </w:p>
        </w:tc>
        <w:tc>
          <w:tcPr>
            <w:tcW w:type="dxa" w:w="1661"/>
          </w:tcPr>
          <w:p>
            <w:pPr>
              <w:pStyle w:val="null3"/>
            </w:pPr>
            <w:r>
              <w:rPr>
                <w:rFonts w:ascii="仿宋_GB2312" w:hAnsi="仿宋_GB2312" w:cs="仿宋_GB2312" w:eastAsia="仿宋_GB2312"/>
              </w:rPr>
              <w:t>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产品技术参数表 货物（产品）分项报价表.docx 货物（产品）说明一览表.docx 标的清单 备选产品配件报价表.docx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符合招标文件签字盖章的规定</w:t>
            </w:r>
          </w:p>
        </w:tc>
        <w:tc>
          <w:tcPr>
            <w:tcW w:type="dxa" w:w="1661"/>
          </w:tcPr>
          <w:p>
            <w:pPr>
              <w:pStyle w:val="null3"/>
            </w:pPr>
            <w:r>
              <w:rPr>
                <w:rFonts w:ascii="仿宋_GB2312" w:hAnsi="仿宋_GB2312" w:cs="仿宋_GB2312" w:eastAsia="仿宋_GB2312"/>
              </w:rPr>
              <w:t>开标一览表.docx 开标一览表 管理体系认证证书.docx 技术响应及运维方案.docx 货物（产品）分项报价表.docx 培训方案.docx 中小企业声明函 制造商授权书.docx 商务应答表 一般资格要求.docx 财务状况报告.docx 投标人认为有必要补充说明的事项.docx 人员配置.docx 产品技术参数表 货物（产品）说明一览表.docx 投标函 售后服务.docx 残疾人福利性单位声明函 标的清单 投标文件封面 备选产品配件报价表.docx 实施方案.docx 投标人近3年类似项目业绩.docx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开标一览表.docx 开标一览表 管理体系认证证书.docx 技术响应及运维方案.docx 货物（产品）分项报价表.docx 培训方案.docx 中小企业声明函 制造商授权书.docx 商务应答表 一般资格要求.docx 财务状况报告.docx 投标人认为有必要补充说明的事项.docx 人员配置.docx 产品技术参数表 货物（产品）说明一览表.docx 投标函 售后服务.docx 残疾人福利性单位声明函 标的清单 投标文件封面 备选产品配件报价表.docx 实施方案.docx 投标人近3年类似项目业绩.docx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只能有一个有效报价，不得提交选择性报价，且报价不超过第二章“投标人须知”前附表规定的采购预算金额或最高限价</w:t>
            </w:r>
          </w:p>
        </w:tc>
        <w:tc>
          <w:tcPr>
            <w:tcW w:type="dxa" w:w="1661"/>
          </w:tcPr>
          <w:p>
            <w:pPr>
              <w:pStyle w:val="null3"/>
            </w:pPr>
            <w:r>
              <w:rPr>
                <w:rFonts w:ascii="仿宋_GB2312" w:hAnsi="仿宋_GB2312" w:cs="仿宋_GB2312" w:eastAsia="仿宋_GB2312"/>
              </w:rPr>
              <w:t>开标一览表.docx 开标一览表 货物（产品）分项报价表.docx 货物（产品）说明一览表.docx 标的清单 备选产品配件报价表.docx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产品技术参数表 货物（产品）分项报价表.docx 货物（产品）说明一览表.docx 商务应答表 标的清单 备选产品配件报价表.docx 投标人认为有必要补充说明的事项.docx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符合招标文件实质性要求的规定</w:t>
            </w:r>
          </w:p>
        </w:tc>
        <w:tc>
          <w:tcPr>
            <w:tcW w:type="dxa" w:w="1661"/>
          </w:tcPr>
          <w:p>
            <w:pPr>
              <w:pStyle w:val="null3"/>
            </w:pPr>
            <w:r>
              <w:rPr>
                <w:rFonts w:ascii="仿宋_GB2312" w:hAnsi="仿宋_GB2312" w:cs="仿宋_GB2312" w:eastAsia="仿宋_GB2312"/>
              </w:rPr>
              <w:t>开标一览表.docx 人员配置.docx 开标一览表 技术响应及运维方案.docx 产品技术参数表 培训方案.docx 货物（产品）分项报价表.docx 货物（产品）说明一览表.docx 售后服务.docx 商务应答表 实施方案.docx 投标人认为有必要补充说明的事项.docx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符合招标文件投标有效期的规定</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符合招标文件交货期的规定</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符合招标文件交货地点的规定</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符合招标文件质保期的规定</w:t>
            </w:r>
          </w:p>
        </w:tc>
        <w:tc>
          <w:tcPr>
            <w:tcW w:type="dxa" w:w="1661"/>
          </w:tcPr>
          <w:p>
            <w:pPr>
              <w:pStyle w:val="null3"/>
            </w:pPr>
            <w:r>
              <w:rPr>
                <w:rFonts w:ascii="仿宋_GB2312" w:hAnsi="仿宋_GB2312" w:cs="仿宋_GB2312" w:eastAsia="仿宋_GB2312"/>
              </w:rPr>
              <w:t>开标一览表.docx 人员配置.docx 售后服务.docx 实施方案.docx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所投产品技术参数中带“★”的技术参数要求为实质性要求，不得偏离，投标人必须响应并满足；非“★”的技术参数要求为非实质性要求，技术参数优于招标文件要求每一项加0.3分，满分9分。 备注：上述优于招标文件的非“★”指标须有佐证材料，否则不予加分（佐证材料例如：制造厂商检验报告、产品彩页等内容）。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货物（产品）分项报价表.docx</w:t>
            </w:r>
          </w:p>
          <w:p>
            <w:pPr>
              <w:pStyle w:val="null3"/>
            </w:pPr>
            <w:r>
              <w:rPr>
                <w:rFonts w:ascii="仿宋_GB2312" w:hAnsi="仿宋_GB2312" w:cs="仿宋_GB2312" w:eastAsia="仿宋_GB2312"/>
              </w:rPr>
              <w:t>货物（产品）说明一览表.docx</w:t>
            </w:r>
          </w:p>
          <w:p>
            <w:pPr>
              <w:pStyle w:val="null3"/>
            </w:pPr>
            <w:r>
              <w:rPr>
                <w:rFonts w:ascii="仿宋_GB2312" w:hAnsi="仿宋_GB2312" w:cs="仿宋_GB2312" w:eastAsia="仿宋_GB2312"/>
              </w:rPr>
              <w:t>备选产品配件报价表.docx</w:t>
            </w:r>
          </w:p>
        </w:tc>
      </w:tr>
      <w:tr>
        <w:tc>
          <w:tcPr>
            <w:tcW w:type="dxa" w:w="831"/>
            <w:vMerge/>
          </w:tcPr>
          <w:p/>
        </w:tc>
        <w:tc>
          <w:tcPr>
            <w:tcW w:type="dxa" w:w="1661"/>
          </w:tcPr>
          <w:p>
            <w:pPr>
              <w:pStyle w:val="null3"/>
            </w:pPr>
            <w:r>
              <w:rPr>
                <w:rFonts w:ascii="仿宋_GB2312" w:hAnsi="仿宋_GB2312" w:cs="仿宋_GB2312" w:eastAsia="仿宋_GB2312"/>
              </w:rPr>
              <w:t>技术响应及运维方案</w:t>
            </w:r>
          </w:p>
        </w:tc>
        <w:tc>
          <w:tcPr>
            <w:tcW w:type="dxa" w:w="2492"/>
          </w:tcPr>
          <w:p>
            <w:pPr>
              <w:pStyle w:val="null3"/>
            </w:pPr>
            <w:r>
              <w:rPr>
                <w:rFonts w:ascii="仿宋_GB2312" w:hAnsi="仿宋_GB2312" w:cs="仿宋_GB2312" w:eastAsia="仿宋_GB2312"/>
              </w:rPr>
              <w:t>一、评审内容 针对采购需求提出适用于本项目的技术方案，方案包括：①软件配置（充分满足平台需求）；②系统维护范围及措施；③系统故障（应急）补救；④技术支持相关承诺。 二、评审标准 1、完整性：方案必须全面，对评审内容中的各项要求有详细描述。 2、可实施性：切合本项目实际情况，提出步骤清晰、合理的方案。 3、针对性：方案能够紧扣项目实际情况，内容科学合理。 三、赋分标准（满分18分） ①软件配置（充分满足平台需求）：每完全满足一个评审标准得1.5分；针对评审标准存在有不合理处的得1分；内容与本项目无关或未提供的得0分。 ②提供系统维护：每完全满足一个评审标准得1.5分；针对评审标准存在有不合理处的得1分；内容与本项目无关或未提供的得0分。 ③系统故障（应急）补救：每完全满足一个评审标准得1.5分；针对评审标准存在有不合理处的得1分；内容与本项目无关或未提供的得0分。 ④技术支持相关承诺：每完全满足一个评审标准得1.5分；针对评审标准存在有不合理处的得1分；内容与本项目无关或未提供的得0分。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技术响应及运维方案.docx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针对采购需求提出适用于本项目的实施方案，方案包括：①实施计划；②供货、安装、调试；③各项功能以及实现的技术方式；④投入的具体人员，财力调配、运输派送、应急保障处理。 二、评审标准 1、完整性：方案必须全面，对评审内容中的各项要求有详细描述。 2、可实施性：切合本项目实际情况，提出步骤清晰、合理的方案。 3、针对性：方案能够紧扣项目实际情况，内容科学合理。 三、赋分标准（满分12分） ①实施计划：每完全满足一个评审标准得1分；针对评审标准存在有不合理处的得0.5分；内容与本项目无关或未提供的得0分。 ②供货、安装、调试：每完全满足一个评审标准得1分；针对评审标准存在有不合理处的得0.5分；内容与本项目无关或未提供的得0分。 ③各项功能以及实现的技术方式：每完全满足一个评审标准得1分；针对评审标准存在有不合理处的得0.5分；内容与本项目无关或未提供的得0分。 ④投入的具体人员，财力调配、运输派送、应急保障处理：每完全满足一个评审标准得1分；针对评审标准存在有不合理处的得0.5分；内容与本项目无关或未提供的得0分。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针对采购需求提出适用于本项目的人员配备方案，方案包括：①项目组人员配备（分工合理、岗位责任明确）；②人员技术能力和从业经验。 二、评审标准 1、完整性：方案必须全面，对评审内容中的各项要求有详细描述。 2、可实施性：切合本项目实际情况，提出步骤清晰、合理的方案。 3、针对性：方案能够紧扣项目实际情况，内容科学合理。 三、赋分标准（满分6分） ①项目组人员配备（分工合理、岗位责任明确）：每完全满足一个评审标准得1分；针对评审标准存在有不合理处的得0.5分；内容与本项目无关或未提供的得0分。 ②人员技术能力和从业经验：每完全满足一个评审标准得1分；针对评审标准存在有不合理处的得0.5分；内容与本项目无关或未提供的得0分。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近三年（2023年1月1日至今）类似业绩，以合同签订时间为准，截止日为本项目投标截止时间计算，每份合同为1个业绩，每提供1个业绩得1分，满分6分，未提供的不得分。（合同内容须至少包含：合同双方盖章页、合同签订日期、供货（服务）内容等信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投标人近3年类似项目业绩.docx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针对采购需求提出适用于本项目的售后服务方案，方案包括：①售后服务情况、售后服务范围、方式；②售后服务响应时间；③售后服务承诺。 二、评审标准 1、完整性：方案必须全面，对评审内容中的各项要求有详细描述。 2、可实施性：切合本项目实际情况，提出步骤清晰、合理的方案。 3、针对性：方案能够紧扣项目实际情况，内容科学合理。 三、赋分标准（满分9分） ①售后服务情况、售后服务范围、方式：每完全满足一个评审标准得1分；针对评审标准存在有不合理处的得0.5分；内容与本项目无关或未提供的得0分。 ②售后服务响应时间：每完全满足一个评审标准得1分；针对评审标准存在有不合理处的得0.5分；内容与本项目无关或未提供的得0分。 ③售后服务承诺：每完全满足一个评审标准得1分；针对评审标准存在有不合理处的得0.5分；内容与本项目无关或未提供的得0分。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针对采购需求提出适用于本项目的培训方案，方案包括：①培训方案（培训人数、 培训时间、培训内容）；②培训计划。 二、评审标准 1、完整性：方案必须全面，对评审内容中的各项要求有详细描述。 2、可实施性：切合本项目实际情况，提出步骤清晰、合理的方案。 3、针对性：方案能够紧扣项目实际情况，内容科学合理。 三、赋分标准（满分6分） ①培训方案（培训人数、 培训时间、培训内容）：每完全满足一个评审标准得1分；针对评审标准存在有不合理处的得0.5分；内容与本项目无关或未提供的得0分。 ②培训计划：每完全满足一个评审标准得1分；针对评审标准存在有不合理处的得0.5分；内容与本项目无关或未提供的得0分。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管理体系认证证书</w:t>
            </w:r>
          </w:p>
        </w:tc>
        <w:tc>
          <w:tcPr>
            <w:tcW w:type="dxa" w:w="2492"/>
          </w:tcPr>
          <w:p>
            <w:pPr>
              <w:pStyle w:val="null3"/>
            </w:pPr>
            <w:r>
              <w:rPr>
                <w:rFonts w:ascii="仿宋_GB2312" w:hAnsi="仿宋_GB2312" w:cs="仿宋_GB2312" w:eastAsia="仿宋_GB2312"/>
              </w:rPr>
              <w:t>提供所投产品（核心产品）制造商获得质量管理体系认证证书的得2分，未提供不得分。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管理体系认证证书.docx</w:t>
            </w:r>
          </w:p>
        </w:tc>
      </w:tr>
      <w:tr>
        <w:tc>
          <w:tcPr>
            <w:tcW w:type="dxa" w:w="831"/>
            <w:vMerge/>
          </w:tcPr>
          <w:p/>
        </w:tc>
        <w:tc>
          <w:tcPr>
            <w:tcW w:type="dxa" w:w="1661"/>
          </w:tcPr>
          <w:p>
            <w:pPr>
              <w:pStyle w:val="null3"/>
            </w:pPr>
            <w:r>
              <w:rPr>
                <w:rFonts w:ascii="仿宋_GB2312" w:hAnsi="仿宋_GB2312" w:cs="仿宋_GB2312" w:eastAsia="仿宋_GB2312"/>
              </w:rPr>
              <w:t>制造商授权书</w:t>
            </w:r>
          </w:p>
        </w:tc>
        <w:tc>
          <w:tcPr>
            <w:tcW w:type="dxa" w:w="2492"/>
          </w:tcPr>
          <w:p>
            <w:pPr>
              <w:pStyle w:val="null3"/>
            </w:pPr>
            <w:r>
              <w:rPr>
                <w:rFonts w:ascii="仿宋_GB2312" w:hAnsi="仿宋_GB2312" w:cs="仿宋_GB2312" w:eastAsia="仿宋_GB2312"/>
              </w:rPr>
              <w:t>提供所投产品（核心产品）制造商授权书得2分，投标人为制造商的直接得2分，投标人未提供的不得分。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制造商授权书.docx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货物（产品）分项报价表.docx</w:t>
            </w:r>
          </w:p>
          <w:p>
            <w:pPr>
              <w:pStyle w:val="null3"/>
            </w:pPr>
            <w:r>
              <w:rPr>
                <w:rFonts w:ascii="仿宋_GB2312" w:hAnsi="仿宋_GB2312" w:cs="仿宋_GB2312" w:eastAsia="仿宋_GB2312"/>
              </w:rPr>
              <w:t>备选产品配件报价表.docx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 号文件第二十四条和财库[2020]46号文件的规定，采用低价优先法计算，以本次满足招标文件要求的最低评审价为基准价，其价格为满分。投标人的价格分，统一按照下列公式计算： 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货物（产品）分项报价表.docx</w:t>
            </w:r>
          </w:p>
          <w:p>
            <w:pPr>
              <w:pStyle w:val="null3"/>
            </w:pPr>
            <w:r>
              <w:rPr>
                <w:rFonts w:ascii="仿宋_GB2312" w:hAnsi="仿宋_GB2312" w:cs="仿宋_GB2312" w:eastAsia="仿宋_GB2312"/>
              </w:rPr>
              <w:t>货物（产品）说明一览表.docx</w:t>
            </w:r>
          </w:p>
          <w:p>
            <w:pPr>
              <w:pStyle w:val="null3"/>
            </w:pPr>
            <w:r>
              <w:rPr>
                <w:rFonts w:ascii="仿宋_GB2312" w:hAnsi="仿宋_GB2312" w:cs="仿宋_GB2312" w:eastAsia="仿宋_GB2312"/>
              </w:rPr>
              <w:t>备选产品配件报价表.docx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货物（产品）分项报价表.docx</w:t>
            </w:r>
          </w:p>
          <w:p>
            <w:pPr>
              <w:pStyle w:val="null3"/>
            </w:pPr>
            <w:r>
              <w:rPr>
                <w:rFonts w:ascii="仿宋_GB2312" w:hAnsi="仿宋_GB2312" w:cs="仿宋_GB2312" w:eastAsia="仿宋_GB2312"/>
              </w:rPr>
              <w:t>货物（产品）说明一览表.docx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详见附件：财务状况报告.docx</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详见附件：货物（产品）分项报价表.docx</w:t>
      </w:r>
    </w:p>
    <w:p>
      <w:pPr>
        <w:pStyle w:val="null3"/>
        <w:ind w:firstLine="960"/>
      </w:pPr>
      <w:r>
        <w:rPr>
          <w:rFonts w:ascii="仿宋_GB2312" w:hAnsi="仿宋_GB2312" w:cs="仿宋_GB2312" w:eastAsia="仿宋_GB2312"/>
        </w:rPr>
        <w:t>详见附件：货物（产品）说明一览表.docx</w:t>
      </w:r>
    </w:p>
    <w:p>
      <w:pPr>
        <w:pStyle w:val="null3"/>
        <w:ind w:firstLine="960"/>
      </w:pPr>
      <w:r>
        <w:rPr>
          <w:rFonts w:ascii="仿宋_GB2312" w:hAnsi="仿宋_GB2312" w:cs="仿宋_GB2312" w:eastAsia="仿宋_GB2312"/>
        </w:rPr>
        <w:t>详见附件：备选产品配件报价表.docx</w:t>
      </w:r>
    </w:p>
    <w:p>
      <w:pPr>
        <w:pStyle w:val="null3"/>
        <w:ind w:firstLine="960"/>
      </w:pPr>
      <w:r>
        <w:rPr>
          <w:rFonts w:ascii="仿宋_GB2312" w:hAnsi="仿宋_GB2312" w:cs="仿宋_GB2312" w:eastAsia="仿宋_GB2312"/>
        </w:rPr>
        <w:t>详见附件：技术响应及运维方案.docx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详见附件：投标人近3年类似项目业绩.docx</w:t>
      </w:r>
    </w:p>
    <w:p>
      <w:pPr>
        <w:pStyle w:val="null3"/>
        <w:ind w:firstLine="960"/>
      </w:pPr>
      <w:r>
        <w:rPr>
          <w:rFonts w:ascii="仿宋_GB2312" w:hAnsi="仿宋_GB2312" w:cs="仿宋_GB2312" w:eastAsia="仿宋_GB2312"/>
        </w:rPr>
        <w:t>详见附件：管理体系认证证书.docx</w:t>
      </w:r>
    </w:p>
    <w:p>
      <w:pPr>
        <w:pStyle w:val="null3"/>
        <w:ind w:firstLine="960"/>
      </w:pPr>
      <w:r>
        <w:rPr>
          <w:rFonts w:ascii="仿宋_GB2312" w:hAnsi="仿宋_GB2312" w:cs="仿宋_GB2312" w:eastAsia="仿宋_GB2312"/>
        </w:rPr>
        <w:t>详见附件：制造商授权书.docx</w:t>
      </w:r>
    </w:p>
    <w:p>
      <w:pPr>
        <w:pStyle w:val="null3"/>
        <w:ind w:firstLine="960"/>
      </w:pPr>
      <w:r>
        <w:rPr>
          <w:rFonts w:ascii="仿宋_GB2312" w:hAnsi="仿宋_GB2312" w:cs="仿宋_GB2312" w:eastAsia="仿宋_GB2312"/>
        </w:rPr>
        <w:t>详见附件：投标人认为有必要补充说明的事项.docx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