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62E9A">
      <w:pPr>
        <w:widowControl/>
        <w:spacing w:after="240" w:afterLines="100" w:line="400" w:lineRule="atLeast"/>
        <w:ind w:firstLine="660" w:firstLineChars="150"/>
        <w:jc w:val="center"/>
        <w:rPr>
          <w:rFonts w:hint="eastAsia" w:ascii="黑体" w:hAnsi="宋体" w:eastAsia="黑体"/>
          <w:color w:val="auto"/>
          <w:sz w:val="44"/>
          <w:szCs w:val="44"/>
          <w:highlight w:val="none"/>
        </w:rPr>
      </w:pPr>
      <w:r>
        <w:rPr>
          <w:rFonts w:hint="eastAsia" w:ascii="黑体" w:hAnsi="宋体" w:eastAsia="黑体"/>
          <w:color w:val="auto"/>
          <w:sz w:val="44"/>
          <w:szCs w:val="44"/>
          <w:highlight w:val="none"/>
        </w:rPr>
        <w:t>政府采购合同格式</w:t>
      </w:r>
    </w:p>
    <w:p w14:paraId="49CF085D">
      <w:pPr>
        <w:pStyle w:val="6"/>
        <w:spacing w:before="240" w:beforeLines="10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0BB99C1D">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7BDA208C">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5AB44EAF">
      <w:pPr>
        <w:pStyle w:val="6"/>
        <w:spacing w:line="360" w:lineRule="auto"/>
        <w:ind w:firstLine="420"/>
        <w:rPr>
          <w:rFonts w:hint="eastAsia" w:ascii="宋体" w:hAnsi="宋体"/>
          <w:color w:val="auto"/>
          <w:sz w:val="21"/>
          <w:szCs w:val="21"/>
          <w:highlight w:val="none"/>
        </w:rPr>
      </w:pPr>
    </w:p>
    <w:p w14:paraId="64476002">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6832C45C">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供应商（乙方）：</w:t>
      </w:r>
    </w:p>
    <w:p w14:paraId="4B53035D">
      <w:pPr>
        <w:pStyle w:val="6"/>
        <w:spacing w:before="120" w:beforeLines="50"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根据《中华人民共和国政府采购法》及实施条例、《中华人民共和国民法典》和甲方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商洛市社会视频资源接入“雪亮工程”配套软硬件购置项目（采购项目编号：ZDSL26-041Z）的招标文件、投标文件等有关规定，为确保甲方采购项目的顺利实施，甲、乙双方在平等自愿原则下签订本合同，并共同遵守如下条款：</w:t>
      </w:r>
    </w:p>
    <w:p w14:paraId="05C7BB38">
      <w:pPr>
        <w:pStyle w:val="6"/>
        <w:spacing w:before="120" w:beforeLines="50" w:line="360" w:lineRule="auto"/>
        <w:ind w:firstLine="452" w:firstLineChars="150"/>
        <w:rPr>
          <w:rFonts w:hint="eastAsia"/>
          <w:b/>
          <w:color w:val="auto"/>
          <w:sz w:val="30"/>
          <w:szCs w:val="30"/>
          <w:highlight w:val="none"/>
        </w:rPr>
      </w:pPr>
      <w:r>
        <w:rPr>
          <w:rFonts w:hint="eastAsia"/>
          <w:b/>
          <w:color w:val="auto"/>
          <w:sz w:val="30"/>
          <w:szCs w:val="30"/>
          <w:highlight w:val="none"/>
        </w:rPr>
        <w:t>第一条 合同标的及数量</w:t>
      </w:r>
    </w:p>
    <w:p w14:paraId="51F2F25B">
      <w:pPr>
        <w:pStyle w:val="6"/>
        <w:spacing w:before="120" w:beforeLines="50" w:line="360" w:lineRule="auto"/>
        <w:ind w:firstLine="525" w:firstLineChars="250"/>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47814F91">
      <w:pPr>
        <w:pStyle w:val="3"/>
        <w:spacing w:before="120" w:beforeLines="50" w:after="120" w:afterLines="50"/>
        <w:ind w:firstLine="0"/>
        <w:jc w:val="center"/>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4"/>
        <w:tblpPr w:leftFromText="180" w:rightFromText="180" w:vertAnchor="text" w:horzAnchor="margin" w:tblpY="309"/>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89"/>
        <w:gridCol w:w="1588"/>
        <w:gridCol w:w="1418"/>
        <w:gridCol w:w="708"/>
        <w:gridCol w:w="709"/>
        <w:gridCol w:w="1134"/>
        <w:gridCol w:w="1559"/>
      </w:tblGrid>
      <w:tr w14:paraId="3C841B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34C91DE7">
            <w:pPr>
              <w:pStyle w:val="2"/>
              <w:spacing w:before="0" w:after="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389" w:type="dxa"/>
            <w:noWrap w:val="0"/>
            <w:vAlign w:val="center"/>
          </w:tcPr>
          <w:p w14:paraId="3F6D4AC6">
            <w:pPr>
              <w:pStyle w:val="2"/>
              <w:spacing w:before="0" w:after="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产品名称</w:t>
            </w:r>
          </w:p>
        </w:tc>
        <w:tc>
          <w:tcPr>
            <w:tcW w:w="1588" w:type="dxa"/>
            <w:noWrap w:val="0"/>
            <w:vAlign w:val="center"/>
          </w:tcPr>
          <w:p w14:paraId="3D6F46FD">
            <w:pPr>
              <w:pStyle w:val="2"/>
              <w:spacing w:before="0" w:after="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品牌/商号</w:t>
            </w:r>
          </w:p>
        </w:tc>
        <w:tc>
          <w:tcPr>
            <w:tcW w:w="1418" w:type="dxa"/>
            <w:noWrap w:val="0"/>
            <w:vAlign w:val="center"/>
          </w:tcPr>
          <w:p w14:paraId="3E8DBF53">
            <w:pPr>
              <w:pStyle w:val="2"/>
              <w:spacing w:before="0"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型号规格</w:t>
            </w:r>
          </w:p>
        </w:tc>
        <w:tc>
          <w:tcPr>
            <w:tcW w:w="708" w:type="dxa"/>
            <w:noWrap w:val="0"/>
            <w:vAlign w:val="center"/>
          </w:tcPr>
          <w:p w14:paraId="76399F18">
            <w:pPr>
              <w:pStyle w:val="2"/>
              <w:spacing w:before="0" w:after="0" w:line="240" w:lineRule="auto"/>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计量单位</w:t>
            </w:r>
          </w:p>
        </w:tc>
        <w:tc>
          <w:tcPr>
            <w:tcW w:w="709" w:type="dxa"/>
            <w:noWrap w:val="0"/>
            <w:vAlign w:val="center"/>
          </w:tcPr>
          <w:p w14:paraId="20A609C0">
            <w:pPr>
              <w:pStyle w:val="2"/>
              <w:spacing w:before="0" w:after="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数量</w:t>
            </w:r>
          </w:p>
        </w:tc>
        <w:tc>
          <w:tcPr>
            <w:tcW w:w="1134" w:type="dxa"/>
            <w:noWrap w:val="0"/>
            <w:vAlign w:val="center"/>
          </w:tcPr>
          <w:p w14:paraId="31EEC5C4">
            <w:pPr>
              <w:pStyle w:val="2"/>
              <w:spacing w:before="0" w:after="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单价（元）</w:t>
            </w:r>
          </w:p>
        </w:tc>
        <w:tc>
          <w:tcPr>
            <w:tcW w:w="1559" w:type="dxa"/>
            <w:noWrap w:val="0"/>
            <w:vAlign w:val="center"/>
          </w:tcPr>
          <w:p w14:paraId="014ACF88">
            <w:pPr>
              <w:pStyle w:val="2"/>
              <w:spacing w:before="0" w:after="0"/>
              <w:ind w:left="207" w:hanging="207" w:hangingChars="98"/>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金额 (元)</w:t>
            </w:r>
          </w:p>
        </w:tc>
      </w:tr>
      <w:tr w14:paraId="3579AD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50EF0294">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5BE13CD9">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21F336CB">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7DE186FF">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3464FD9A">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74EE4D23">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739B9D5B">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5EE269A8">
            <w:pPr>
              <w:pStyle w:val="2"/>
              <w:spacing w:before="0" w:after="0" w:line="360" w:lineRule="auto"/>
              <w:rPr>
                <w:rFonts w:hint="eastAsia" w:ascii="宋体" w:hAnsi="宋体" w:eastAsia="宋体"/>
                <w:color w:val="auto"/>
                <w:sz w:val="24"/>
                <w:szCs w:val="24"/>
                <w:highlight w:val="none"/>
              </w:rPr>
            </w:pPr>
          </w:p>
        </w:tc>
      </w:tr>
      <w:tr w14:paraId="675B7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97F207A">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4B707A34">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12DC0DDC">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1AA383CC">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040E4B4B">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49D24B75">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325ADF5D">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3796843C">
            <w:pPr>
              <w:pStyle w:val="2"/>
              <w:spacing w:before="0" w:after="0" w:line="360" w:lineRule="auto"/>
              <w:rPr>
                <w:rFonts w:hint="eastAsia" w:ascii="宋体" w:hAnsi="宋体" w:eastAsia="宋体"/>
                <w:color w:val="auto"/>
                <w:sz w:val="24"/>
                <w:szCs w:val="24"/>
                <w:highlight w:val="none"/>
              </w:rPr>
            </w:pPr>
          </w:p>
        </w:tc>
      </w:tr>
      <w:tr w14:paraId="274DC9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3B7575BA">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6EA9BE11">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7C5F4221">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02C28F82">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61EEFE22">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575C921F">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4900F45E">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75883B97">
            <w:pPr>
              <w:pStyle w:val="2"/>
              <w:spacing w:before="0" w:after="0" w:line="360" w:lineRule="auto"/>
              <w:rPr>
                <w:rFonts w:hint="eastAsia" w:ascii="宋体" w:hAnsi="宋体" w:eastAsia="宋体"/>
                <w:color w:val="auto"/>
                <w:sz w:val="24"/>
                <w:szCs w:val="24"/>
                <w:highlight w:val="none"/>
              </w:rPr>
            </w:pPr>
          </w:p>
        </w:tc>
      </w:tr>
      <w:tr w14:paraId="4B0CEF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27EBFF5B">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6A4F6453">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63536982">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75BCBFA4">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5DAE99FF">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466330F2">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50BBB602">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0417B28F">
            <w:pPr>
              <w:pStyle w:val="2"/>
              <w:spacing w:before="0" w:after="0" w:line="360" w:lineRule="auto"/>
              <w:rPr>
                <w:rFonts w:hint="eastAsia" w:ascii="宋体" w:hAnsi="宋体" w:eastAsia="宋体"/>
                <w:color w:val="auto"/>
                <w:sz w:val="24"/>
                <w:szCs w:val="24"/>
                <w:highlight w:val="none"/>
              </w:rPr>
            </w:pPr>
          </w:p>
        </w:tc>
      </w:tr>
      <w:tr w14:paraId="70AD9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127E945">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3692B625">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27C913DA">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792EFC8A">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76C39C77">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4C83E19F">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157123FB">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68FEA109">
            <w:pPr>
              <w:pStyle w:val="2"/>
              <w:spacing w:before="0" w:after="0" w:line="360" w:lineRule="auto"/>
              <w:rPr>
                <w:rFonts w:hint="eastAsia" w:ascii="宋体" w:hAnsi="宋体" w:eastAsia="宋体"/>
                <w:color w:val="auto"/>
                <w:sz w:val="24"/>
                <w:szCs w:val="24"/>
                <w:highlight w:val="none"/>
              </w:rPr>
            </w:pPr>
          </w:p>
        </w:tc>
      </w:tr>
      <w:tr w14:paraId="2EB57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7E639708">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334092A8">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4E6DCA7C">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388132D9">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5DE67321">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4D998A9D">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23F42F2E">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3D097643">
            <w:pPr>
              <w:pStyle w:val="2"/>
              <w:spacing w:before="0" w:after="0" w:line="360" w:lineRule="auto"/>
              <w:rPr>
                <w:rFonts w:hint="eastAsia" w:ascii="宋体" w:hAnsi="宋体" w:eastAsia="宋体"/>
                <w:color w:val="auto"/>
                <w:sz w:val="24"/>
                <w:szCs w:val="24"/>
                <w:highlight w:val="none"/>
              </w:rPr>
            </w:pPr>
          </w:p>
        </w:tc>
      </w:tr>
      <w:tr w14:paraId="2FB784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0EC03EB1">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6D071331">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04649054">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1718832D">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68D3A60E">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090951A3">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18761B43">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26A4578F">
            <w:pPr>
              <w:pStyle w:val="2"/>
              <w:spacing w:before="0" w:after="0" w:line="360" w:lineRule="auto"/>
              <w:rPr>
                <w:rFonts w:hint="eastAsia" w:ascii="宋体" w:hAnsi="宋体" w:eastAsia="宋体"/>
                <w:color w:val="auto"/>
                <w:sz w:val="24"/>
                <w:szCs w:val="24"/>
                <w:highlight w:val="none"/>
              </w:rPr>
            </w:pPr>
          </w:p>
        </w:tc>
      </w:tr>
      <w:tr w14:paraId="6A8411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4F5922EF">
            <w:pPr>
              <w:pStyle w:val="2"/>
              <w:spacing w:before="0" w:after="0" w:line="360" w:lineRule="auto"/>
              <w:rPr>
                <w:rFonts w:hint="eastAsia" w:ascii="宋体" w:hAnsi="宋体" w:eastAsia="宋体"/>
                <w:color w:val="auto"/>
                <w:sz w:val="24"/>
                <w:szCs w:val="24"/>
                <w:highlight w:val="none"/>
              </w:rPr>
            </w:pPr>
          </w:p>
        </w:tc>
        <w:tc>
          <w:tcPr>
            <w:tcW w:w="1389" w:type="dxa"/>
            <w:noWrap w:val="0"/>
            <w:vAlign w:val="top"/>
          </w:tcPr>
          <w:p w14:paraId="42086257">
            <w:pPr>
              <w:pStyle w:val="2"/>
              <w:spacing w:before="0" w:after="0" w:line="360" w:lineRule="auto"/>
              <w:rPr>
                <w:rFonts w:hint="eastAsia" w:ascii="宋体" w:hAnsi="宋体" w:eastAsia="宋体"/>
                <w:color w:val="auto"/>
                <w:sz w:val="24"/>
                <w:szCs w:val="24"/>
                <w:highlight w:val="none"/>
              </w:rPr>
            </w:pPr>
          </w:p>
        </w:tc>
        <w:tc>
          <w:tcPr>
            <w:tcW w:w="1588" w:type="dxa"/>
            <w:noWrap w:val="0"/>
            <w:vAlign w:val="top"/>
          </w:tcPr>
          <w:p w14:paraId="00367C12">
            <w:pPr>
              <w:pStyle w:val="2"/>
              <w:spacing w:before="0" w:after="0" w:line="360" w:lineRule="auto"/>
              <w:rPr>
                <w:rFonts w:hint="eastAsia" w:ascii="宋体" w:hAnsi="宋体" w:eastAsia="宋体"/>
                <w:color w:val="auto"/>
                <w:sz w:val="24"/>
                <w:szCs w:val="24"/>
                <w:highlight w:val="none"/>
              </w:rPr>
            </w:pPr>
          </w:p>
        </w:tc>
        <w:tc>
          <w:tcPr>
            <w:tcW w:w="1418" w:type="dxa"/>
            <w:noWrap w:val="0"/>
            <w:vAlign w:val="top"/>
          </w:tcPr>
          <w:p w14:paraId="3404DE45">
            <w:pPr>
              <w:pStyle w:val="2"/>
              <w:spacing w:before="0" w:after="0" w:line="360" w:lineRule="auto"/>
              <w:rPr>
                <w:rFonts w:hint="eastAsia" w:ascii="宋体" w:hAnsi="宋体" w:eastAsia="宋体"/>
                <w:color w:val="auto"/>
                <w:sz w:val="24"/>
                <w:szCs w:val="24"/>
                <w:highlight w:val="none"/>
              </w:rPr>
            </w:pPr>
          </w:p>
        </w:tc>
        <w:tc>
          <w:tcPr>
            <w:tcW w:w="708" w:type="dxa"/>
            <w:noWrap w:val="0"/>
            <w:vAlign w:val="top"/>
          </w:tcPr>
          <w:p w14:paraId="0A8BAD9D">
            <w:pPr>
              <w:pStyle w:val="2"/>
              <w:spacing w:before="0" w:after="0" w:line="360" w:lineRule="auto"/>
              <w:rPr>
                <w:rFonts w:hint="eastAsia" w:ascii="宋体" w:hAnsi="宋体" w:eastAsia="宋体"/>
                <w:color w:val="auto"/>
                <w:sz w:val="24"/>
                <w:szCs w:val="24"/>
                <w:highlight w:val="none"/>
              </w:rPr>
            </w:pPr>
          </w:p>
        </w:tc>
        <w:tc>
          <w:tcPr>
            <w:tcW w:w="709" w:type="dxa"/>
            <w:noWrap w:val="0"/>
            <w:vAlign w:val="top"/>
          </w:tcPr>
          <w:p w14:paraId="7C520A31">
            <w:pPr>
              <w:pStyle w:val="2"/>
              <w:spacing w:before="0" w:after="0" w:line="360" w:lineRule="auto"/>
              <w:rPr>
                <w:rFonts w:hint="eastAsia" w:ascii="宋体" w:hAnsi="宋体" w:eastAsia="宋体"/>
                <w:color w:val="auto"/>
                <w:sz w:val="24"/>
                <w:szCs w:val="24"/>
                <w:highlight w:val="none"/>
              </w:rPr>
            </w:pPr>
          </w:p>
        </w:tc>
        <w:tc>
          <w:tcPr>
            <w:tcW w:w="1134" w:type="dxa"/>
            <w:noWrap w:val="0"/>
            <w:vAlign w:val="top"/>
          </w:tcPr>
          <w:p w14:paraId="26B51146">
            <w:pPr>
              <w:pStyle w:val="2"/>
              <w:spacing w:before="0" w:after="0" w:line="360" w:lineRule="auto"/>
              <w:rPr>
                <w:rFonts w:hint="eastAsia" w:ascii="宋体" w:hAnsi="宋体" w:eastAsia="宋体"/>
                <w:color w:val="auto"/>
                <w:sz w:val="24"/>
                <w:szCs w:val="24"/>
                <w:highlight w:val="none"/>
              </w:rPr>
            </w:pPr>
          </w:p>
        </w:tc>
        <w:tc>
          <w:tcPr>
            <w:tcW w:w="1559" w:type="dxa"/>
            <w:noWrap w:val="0"/>
            <w:vAlign w:val="top"/>
          </w:tcPr>
          <w:p w14:paraId="68239E79">
            <w:pPr>
              <w:pStyle w:val="2"/>
              <w:spacing w:before="0" w:after="0" w:line="360" w:lineRule="auto"/>
              <w:rPr>
                <w:rFonts w:hint="eastAsia" w:ascii="宋体" w:hAnsi="宋体" w:eastAsia="宋体"/>
                <w:color w:val="auto"/>
                <w:sz w:val="24"/>
                <w:szCs w:val="24"/>
                <w:highlight w:val="none"/>
              </w:rPr>
            </w:pPr>
          </w:p>
        </w:tc>
      </w:tr>
      <w:tr w14:paraId="1AB1D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14:paraId="63BC2015">
            <w:pPr>
              <w:pStyle w:val="2"/>
              <w:spacing w:before="0" w:after="0" w:line="360" w:lineRule="auto"/>
              <w:rPr>
                <w:rFonts w:hint="eastAsia" w:ascii="宋体" w:hAnsi="宋体" w:eastAsia="宋体"/>
                <w:color w:val="auto"/>
                <w:sz w:val="24"/>
                <w:szCs w:val="24"/>
                <w:highlight w:val="none"/>
              </w:rPr>
            </w:pPr>
          </w:p>
        </w:tc>
        <w:tc>
          <w:tcPr>
            <w:tcW w:w="1389" w:type="dxa"/>
            <w:noWrap w:val="0"/>
            <w:vAlign w:val="center"/>
          </w:tcPr>
          <w:p w14:paraId="433AC505">
            <w:pPr>
              <w:pStyle w:val="2"/>
              <w:spacing w:before="0" w:after="0" w:line="240" w:lineRule="auto"/>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合计</w:t>
            </w:r>
          </w:p>
        </w:tc>
        <w:tc>
          <w:tcPr>
            <w:tcW w:w="4423" w:type="dxa"/>
            <w:gridSpan w:val="4"/>
            <w:noWrap w:val="0"/>
            <w:vAlign w:val="center"/>
          </w:tcPr>
          <w:p w14:paraId="55F9BCC6">
            <w:pPr>
              <w:pStyle w:val="2"/>
              <w:spacing w:before="0" w:after="0" w:line="24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大写</w:t>
            </w:r>
          </w:p>
        </w:tc>
        <w:tc>
          <w:tcPr>
            <w:tcW w:w="2693" w:type="dxa"/>
            <w:gridSpan w:val="2"/>
            <w:noWrap w:val="0"/>
            <w:vAlign w:val="center"/>
          </w:tcPr>
          <w:p w14:paraId="37780463">
            <w:pPr>
              <w:pStyle w:val="2"/>
              <w:spacing w:before="0" w:after="0" w:line="240" w:lineRule="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w:t>
            </w:r>
          </w:p>
        </w:tc>
      </w:tr>
    </w:tbl>
    <w:p w14:paraId="2BD3611F">
      <w:pPr>
        <w:pStyle w:val="2"/>
        <w:spacing w:before="0" w:after="120" w:afterLines="50" w:line="360" w:lineRule="auto"/>
        <w:ind w:firstLine="590" w:firstLineChars="196"/>
        <w:rPr>
          <w:rFonts w:hint="eastAsia" w:ascii="宋体" w:hAnsi="宋体" w:eastAsia="宋体"/>
          <w:color w:val="auto"/>
          <w:sz w:val="30"/>
          <w:szCs w:val="30"/>
          <w:highlight w:val="none"/>
        </w:rPr>
      </w:pPr>
      <w:r>
        <w:rPr>
          <w:rFonts w:hint="eastAsia" w:ascii="宋体" w:hAnsi="宋体" w:eastAsia="宋体"/>
          <w:color w:val="auto"/>
          <w:sz w:val="30"/>
          <w:szCs w:val="30"/>
          <w:highlight w:val="none"/>
        </w:rPr>
        <w:t>第二条 合同价款</w:t>
      </w:r>
    </w:p>
    <w:p w14:paraId="35DEC3EF">
      <w:pPr>
        <w:pStyle w:val="2"/>
        <w:spacing w:before="0" w:after="0" w:line="360" w:lineRule="auto"/>
        <w:ind w:firstLine="516" w:firstLineChars="24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p>
    <w:p w14:paraId="38D6C4A5">
      <w:pPr>
        <w:pStyle w:val="2"/>
        <w:spacing w:before="0" w:after="0" w:line="360" w:lineRule="auto"/>
        <w:ind w:firstLine="516" w:firstLineChars="24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2.本合同总价是货物（产品）设计、材料、制造、包装、运输、安装、调试、检测、验收合格交付使用之前及保修期内保修服务与备用物件等其他有关各项的含税费用。</w:t>
      </w:r>
    </w:p>
    <w:p w14:paraId="23E0A830">
      <w:pPr>
        <w:pStyle w:val="2"/>
        <w:spacing w:before="0" w:after="0" w:line="360" w:lineRule="auto"/>
        <w:ind w:firstLine="516" w:firstLineChars="24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3.本合同总价还包含乙方应当提供的伴随服务和售后服务费用。</w:t>
      </w:r>
    </w:p>
    <w:p w14:paraId="53313390">
      <w:pPr>
        <w:pStyle w:val="2"/>
        <w:spacing w:before="0" w:after="0" w:line="360" w:lineRule="auto"/>
        <w:ind w:firstLine="516" w:firstLineChars="246"/>
        <w:rPr>
          <w:rFonts w:hint="eastAsia" w:ascii="宋体" w:hAnsi="宋体" w:eastAsia="宋体"/>
          <w:b w:val="0"/>
          <w:color w:val="auto"/>
          <w:sz w:val="21"/>
          <w:szCs w:val="21"/>
          <w:highlight w:val="none"/>
        </w:rPr>
      </w:pPr>
      <w:r>
        <w:rPr>
          <w:rFonts w:hint="eastAsia" w:ascii="宋体" w:hAnsi="宋体" w:eastAsia="宋体"/>
          <w:b w:val="0"/>
          <w:color w:val="auto"/>
          <w:sz w:val="21"/>
          <w:szCs w:val="21"/>
          <w:highlight w:val="none"/>
        </w:rPr>
        <w:t>4.本合同执行期间合同总价不变，甲方无须另向乙方支付本合同规定之外的其他任何费用。</w:t>
      </w:r>
    </w:p>
    <w:p w14:paraId="482D989B">
      <w:pPr>
        <w:pStyle w:val="2"/>
        <w:spacing w:before="120" w:beforeLines="50" w:after="120" w:afterLines="50" w:line="360" w:lineRule="auto"/>
        <w:ind w:firstLine="452" w:firstLineChars="150"/>
        <w:rPr>
          <w:rFonts w:hint="eastAsia" w:ascii="宋体" w:hAnsi="宋体" w:eastAsia="宋体"/>
          <w:color w:val="auto"/>
          <w:sz w:val="30"/>
          <w:szCs w:val="30"/>
          <w:highlight w:val="none"/>
        </w:rPr>
      </w:pPr>
      <w:r>
        <w:rPr>
          <w:rFonts w:hint="eastAsia" w:ascii="宋体" w:hAnsi="宋体" w:eastAsia="宋体"/>
          <w:color w:val="auto"/>
          <w:sz w:val="30"/>
          <w:szCs w:val="30"/>
          <w:highlight w:val="none"/>
        </w:rPr>
        <w:t>第三条 货款支付</w:t>
      </w:r>
    </w:p>
    <w:p w14:paraId="54320DCD">
      <w:pPr>
        <w:pStyle w:val="6"/>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1.货物（产品）按以下方式支付价款：</w:t>
      </w:r>
    </w:p>
    <w:p w14:paraId="42389F97">
      <w:pPr>
        <w:pStyle w:val="6"/>
        <w:spacing w:line="360" w:lineRule="auto"/>
        <w:ind w:firstLine="569" w:firstLineChars="271"/>
        <w:rPr>
          <w:rFonts w:hint="eastAsia" w:ascii="宋体" w:hAnsi="宋体"/>
          <w:color w:val="auto"/>
          <w:sz w:val="21"/>
          <w:szCs w:val="21"/>
          <w:highlight w:val="none"/>
        </w:rPr>
      </w:pPr>
      <w:r>
        <w:rPr>
          <w:rFonts w:hint="eastAsia" w:ascii="宋体" w:hAnsi="宋体"/>
          <w:color w:val="auto"/>
          <w:sz w:val="21"/>
          <w:szCs w:val="21"/>
          <w:highlight w:val="none"/>
        </w:rPr>
        <w:t>合同签订生效后，达到付款条件起10日内，支付合同总金额的30.00%。全部产品调试完毕并验收合格后，达到付款条件起10日内，支付合同总金额的50.00%。项目经审计完成后，达到付款条件起10日内，支付合同总金额的15.00%。质保期满甲方财务部门接到甲方确认本合同货物质量与服务等约定事项已履约完毕的书面通知后，达到付款条件起10日内，支付合同总金额的5.00%。</w:t>
      </w:r>
    </w:p>
    <w:p w14:paraId="284AC237">
      <w:pPr>
        <w:pStyle w:val="6"/>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48EF810D">
      <w:pPr>
        <w:pStyle w:val="6"/>
        <w:spacing w:line="360" w:lineRule="auto"/>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1F07497F">
      <w:pPr>
        <w:pStyle w:val="6"/>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第四条 交货时间与地点</w:t>
      </w:r>
    </w:p>
    <w:p w14:paraId="26B2F892">
      <w:pPr>
        <w:pStyle w:val="6"/>
        <w:spacing w:line="360" w:lineRule="auto"/>
        <w:ind w:firstLine="561" w:firstLineChars="0"/>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5F286925">
      <w:pPr>
        <w:pStyle w:val="6"/>
        <w:spacing w:line="360" w:lineRule="auto"/>
        <w:ind w:firstLine="561" w:firstLineChars="0"/>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rPr>
        <w:t>1.交货时间（期限）：合同签订后60日</w:t>
      </w:r>
      <w:r>
        <w:rPr>
          <w:rFonts w:hint="eastAsia" w:ascii="宋体" w:hAnsi="宋体"/>
          <w:color w:val="auto"/>
          <w:sz w:val="21"/>
          <w:szCs w:val="21"/>
          <w:highlight w:val="none"/>
          <w:lang w:val="en-US" w:eastAsia="zh-CN"/>
        </w:rPr>
        <w:t>；</w:t>
      </w:r>
    </w:p>
    <w:p w14:paraId="46154912">
      <w:pPr>
        <w:pStyle w:val="6"/>
        <w:spacing w:line="360" w:lineRule="auto"/>
        <w:ind w:firstLine="561" w:firstLineChars="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2.交货地点：商洛市公安局</w:t>
      </w:r>
      <w:r>
        <w:rPr>
          <w:rFonts w:hint="eastAsia" w:ascii="宋体" w:hAnsi="宋体"/>
          <w:color w:val="auto"/>
          <w:sz w:val="21"/>
          <w:szCs w:val="21"/>
          <w:highlight w:val="none"/>
          <w:lang w:eastAsia="zh-CN"/>
        </w:rPr>
        <w:t>。</w:t>
      </w:r>
    </w:p>
    <w:p w14:paraId="6F5326F4">
      <w:pPr>
        <w:pStyle w:val="6"/>
        <w:spacing w:before="120" w:beforeLines="50" w:after="120" w:afterLines="50" w:line="360" w:lineRule="auto"/>
        <w:ind w:firstLine="500" w:firstLineChars="166"/>
        <w:rPr>
          <w:rFonts w:hint="eastAsia" w:ascii="宋体" w:hAnsi="宋体"/>
          <w:b/>
          <w:color w:val="auto"/>
          <w:sz w:val="30"/>
          <w:szCs w:val="30"/>
          <w:highlight w:val="none"/>
        </w:rPr>
      </w:pPr>
      <w:r>
        <w:rPr>
          <w:rFonts w:hint="eastAsia" w:ascii="宋体" w:hAnsi="宋体"/>
          <w:b/>
          <w:color w:val="auto"/>
          <w:sz w:val="30"/>
          <w:szCs w:val="30"/>
          <w:highlight w:val="none"/>
        </w:rPr>
        <w:t>第五条 质量保证</w:t>
      </w:r>
    </w:p>
    <w:p w14:paraId="6513A0EC">
      <w:pPr>
        <w:pStyle w:val="6"/>
        <w:spacing w:line="360" w:lineRule="auto"/>
        <w:ind w:firstLine="525" w:firstLineChars="250"/>
        <w:rPr>
          <w:rFonts w:hint="eastAsia" w:ascii="宋体" w:hAnsi="宋体"/>
          <w:b w:val="0"/>
          <w:bCs w:val="0"/>
          <w:color w:val="auto"/>
          <w:sz w:val="21"/>
          <w:szCs w:val="21"/>
          <w:highlight w:val="none"/>
          <w:lang w:eastAsia="zh-CN"/>
        </w:rPr>
      </w:pPr>
      <w:r>
        <w:rPr>
          <w:rFonts w:hint="eastAsia" w:ascii="宋体" w:hAnsi="宋体"/>
          <w:b w:val="0"/>
          <w:bCs w:val="0"/>
          <w:color w:val="auto"/>
          <w:sz w:val="21"/>
          <w:szCs w:val="21"/>
          <w:highlight w:val="none"/>
          <w:lang w:eastAsia="zh-CN"/>
        </w:rPr>
        <w:t xml:space="preserve">1.乙方须提供全新的、未使用过的合格正品货物（含零部件、配件等），完全符合合同规定的质量、规格和性能的要求。 </w:t>
      </w:r>
    </w:p>
    <w:p w14:paraId="670F1711">
      <w:pPr>
        <w:pStyle w:val="6"/>
        <w:spacing w:line="360" w:lineRule="auto"/>
        <w:ind w:firstLine="525" w:firstLineChars="250"/>
        <w:rPr>
          <w:rFonts w:hint="eastAsia" w:ascii="宋体" w:hAnsi="宋体"/>
          <w:b w:val="0"/>
          <w:bCs w:val="0"/>
          <w:color w:val="auto"/>
          <w:sz w:val="21"/>
          <w:szCs w:val="21"/>
          <w:highlight w:val="none"/>
          <w:lang w:eastAsia="zh-CN"/>
        </w:rPr>
      </w:pPr>
      <w:r>
        <w:rPr>
          <w:rFonts w:hint="eastAsia" w:ascii="宋体" w:hAnsi="宋体"/>
          <w:b w:val="0"/>
          <w:bCs w:val="0"/>
          <w:color w:val="auto"/>
          <w:sz w:val="21"/>
          <w:szCs w:val="21"/>
          <w:highlight w:val="none"/>
          <w:lang w:eastAsia="zh-CN"/>
        </w:rPr>
        <w:t xml:space="preserve">2.乙方提供的节能和环保产品必须是列入节能、环保标志产品品目清单中的产品。 </w:t>
      </w:r>
    </w:p>
    <w:p w14:paraId="72835D07">
      <w:pPr>
        <w:pStyle w:val="6"/>
        <w:spacing w:line="360" w:lineRule="auto"/>
        <w:ind w:firstLine="525" w:firstLineChars="250"/>
        <w:rPr>
          <w:rFonts w:hint="eastAsia" w:ascii="宋体" w:hAnsi="宋体"/>
          <w:b w:val="0"/>
          <w:bCs w:val="0"/>
          <w:color w:val="auto"/>
          <w:sz w:val="21"/>
          <w:szCs w:val="21"/>
          <w:highlight w:val="none"/>
          <w:lang w:eastAsia="zh-CN"/>
        </w:rPr>
      </w:pPr>
      <w:r>
        <w:rPr>
          <w:rFonts w:hint="eastAsia" w:ascii="宋体" w:hAnsi="宋体"/>
          <w:b w:val="0"/>
          <w:bCs w:val="0"/>
          <w:color w:val="auto"/>
          <w:sz w:val="21"/>
          <w:szCs w:val="21"/>
          <w:highlight w:val="none"/>
          <w:lang w:eastAsia="zh-CN"/>
        </w:rPr>
        <w:t xml:space="preserve">3.质量标准按照最新颁布的国家标准、行业标准或制造商企业标准确定，上述标准不一致的，以严格标准为准。 </w:t>
      </w:r>
    </w:p>
    <w:p w14:paraId="2A882970">
      <w:pPr>
        <w:pStyle w:val="6"/>
        <w:spacing w:line="360" w:lineRule="auto"/>
        <w:ind w:firstLine="525" w:firstLineChars="250"/>
        <w:rPr>
          <w:rFonts w:hint="eastAsia" w:ascii="宋体" w:hAnsi="宋体"/>
          <w:b w:val="0"/>
          <w:bCs w:val="0"/>
          <w:color w:val="auto"/>
          <w:sz w:val="21"/>
          <w:szCs w:val="21"/>
          <w:highlight w:val="none"/>
          <w:lang w:eastAsia="zh-CN"/>
        </w:rPr>
      </w:pPr>
      <w:r>
        <w:rPr>
          <w:rFonts w:hint="eastAsia" w:ascii="宋体" w:hAnsi="宋体"/>
          <w:b w:val="0"/>
          <w:bCs w:val="0"/>
          <w:color w:val="auto"/>
          <w:sz w:val="21"/>
          <w:szCs w:val="21"/>
          <w:highlight w:val="none"/>
          <w:lang w:eastAsia="zh-CN"/>
        </w:rPr>
        <w:t xml:space="preserve">4.乙方所提供货物还应符合国家和陕西省有关安全、环保、节能之规定，“3C”认证的货物（产品）应加贴“3C”认证标志。 </w:t>
      </w:r>
    </w:p>
    <w:p w14:paraId="0A677C6F">
      <w:pPr>
        <w:pStyle w:val="6"/>
        <w:spacing w:line="360" w:lineRule="auto"/>
        <w:ind w:firstLine="525" w:firstLineChars="250"/>
        <w:rPr>
          <w:rFonts w:hint="eastAsia" w:ascii="宋体" w:hAnsi="宋体"/>
          <w:b/>
          <w:bCs/>
          <w:color w:val="auto"/>
          <w:sz w:val="21"/>
          <w:szCs w:val="21"/>
          <w:highlight w:val="none"/>
          <w:lang w:eastAsia="zh-CN"/>
        </w:rPr>
      </w:pPr>
      <w:r>
        <w:rPr>
          <w:rFonts w:hint="eastAsia" w:ascii="宋体" w:hAnsi="宋体"/>
          <w:b w:val="0"/>
          <w:bCs w:val="0"/>
          <w:color w:val="auto"/>
          <w:sz w:val="21"/>
          <w:szCs w:val="21"/>
          <w:highlight w:val="none"/>
          <w:lang w:eastAsia="zh-CN"/>
        </w:rPr>
        <w:t xml:space="preserve">5.货物质量出现问题，乙方应负责三包（包修、包换、包退），费用由乙方负担，甲方有权到乙方生产场地检查货物质量和生产进度。 </w:t>
      </w:r>
    </w:p>
    <w:p w14:paraId="4A0938E3">
      <w:pPr>
        <w:pStyle w:val="6"/>
        <w:spacing w:line="360" w:lineRule="auto"/>
        <w:ind w:firstLine="527" w:firstLineChars="250"/>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6、质保期：5年。</w:t>
      </w:r>
    </w:p>
    <w:p w14:paraId="07E9042F">
      <w:pPr>
        <w:pStyle w:val="6"/>
        <w:spacing w:before="120" w:beforeLines="50" w:after="120" w:afterLines="50" w:line="360" w:lineRule="auto"/>
        <w:ind w:firstLine="602"/>
        <w:rPr>
          <w:rFonts w:hint="eastAsia" w:ascii="宋体" w:hAnsi="宋体"/>
          <w:b/>
          <w:color w:val="auto"/>
          <w:sz w:val="30"/>
          <w:szCs w:val="30"/>
          <w:highlight w:val="none"/>
        </w:rPr>
      </w:pPr>
      <w:r>
        <w:rPr>
          <w:rFonts w:hint="eastAsia" w:ascii="宋体" w:hAnsi="宋体"/>
          <w:b/>
          <w:color w:val="auto"/>
          <w:sz w:val="30"/>
          <w:szCs w:val="30"/>
          <w:highlight w:val="none"/>
        </w:rPr>
        <w:t>第六条 权利保证</w:t>
      </w:r>
    </w:p>
    <w:p w14:paraId="14F1583E">
      <w:pPr>
        <w:pStyle w:val="6"/>
        <w:spacing w:line="360" w:lineRule="auto"/>
        <w:ind w:left="141" w:leftChars="67" w:firstLine="420"/>
        <w:rPr>
          <w:rFonts w:hint="eastAsia" w:ascii="宋体" w:hAnsi="宋体"/>
          <w:color w:val="auto"/>
          <w:sz w:val="21"/>
          <w:szCs w:val="21"/>
          <w:highlight w:val="none"/>
        </w:rPr>
      </w:pPr>
      <w:r>
        <w:rPr>
          <w:rFonts w:hint="eastAsia" w:ascii="宋体" w:hAnsi="宋体"/>
          <w:color w:val="auto"/>
          <w:sz w:val="21"/>
          <w:szCs w:val="21"/>
          <w:highlight w:val="none"/>
        </w:rPr>
        <w:t xml:space="preserve">1.乙方保证对其出售的货物享有合法的权利。 </w:t>
      </w:r>
    </w:p>
    <w:p w14:paraId="5DB0CC7F">
      <w:pPr>
        <w:pStyle w:val="6"/>
        <w:spacing w:line="360" w:lineRule="auto"/>
        <w:ind w:left="141" w:leftChars="67" w:firstLine="420"/>
        <w:rPr>
          <w:rFonts w:hint="eastAsia" w:ascii="宋体" w:hAnsi="宋体"/>
          <w:color w:val="auto"/>
          <w:sz w:val="21"/>
          <w:szCs w:val="21"/>
          <w:highlight w:val="none"/>
        </w:rPr>
      </w:pPr>
      <w:r>
        <w:rPr>
          <w:rFonts w:hint="eastAsia" w:ascii="宋体" w:hAnsi="宋体"/>
          <w:color w:val="auto"/>
          <w:sz w:val="21"/>
          <w:szCs w:val="21"/>
          <w:highlight w:val="none"/>
        </w:rPr>
        <w:t xml:space="preserve">2.乙方保证对其出售的货物上不存在任何未曾向甲方透露的担保物权，如抵押权、质押权、留置权。 </w:t>
      </w:r>
    </w:p>
    <w:p w14:paraId="7C9C6651">
      <w:pPr>
        <w:pStyle w:val="6"/>
        <w:spacing w:line="360" w:lineRule="auto"/>
        <w:ind w:left="141" w:leftChars="67" w:firstLine="420"/>
        <w:rPr>
          <w:rFonts w:hint="eastAsia" w:ascii="宋体" w:hAnsi="宋体"/>
          <w:color w:val="auto"/>
          <w:sz w:val="21"/>
          <w:szCs w:val="21"/>
          <w:highlight w:val="none"/>
        </w:rPr>
      </w:pPr>
      <w:r>
        <w:rPr>
          <w:rFonts w:hint="eastAsia" w:ascii="宋体" w:hAnsi="宋体"/>
          <w:color w:val="auto"/>
          <w:sz w:val="21"/>
          <w:szCs w:val="21"/>
          <w:highlight w:val="none"/>
        </w:rPr>
        <w:t xml:space="preserve">3.乙方保证对其出售的货物或其任何一部分没有侵犯第三方的专利权、版权、商标权或其他权利。 </w:t>
      </w:r>
    </w:p>
    <w:p w14:paraId="209EE860">
      <w:pPr>
        <w:pStyle w:val="6"/>
        <w:spacing w:line="360" w:lineRule="auto"/>
        <w:ind w:left="141" w:leftChars="67" w:firstLine="420"/>
        <w:rPr>
          <w:rFonts w:hint="eastAsia" w:ascii="宋体" w:hAnsi="宋体"/>
          <w:color w:val="auto"/>
          <w:sz w:val="21"/>
          <w:szCs w:val="21"/>
          <w:highlight w:val="none"/>
        </w:rPr>
      </w:pPr>
      <w:r>
        <w:rPr>
          <w:rFonts w:hint="eastAsia" w:ascii="宋体" w:hAnsi="宋体"/>
          <w:color w:val="auto"/>
          <w:sz w:val="21"/>
          <w:szCs w:val="21"/>
          <w:highlight w:val="none"/>
        </w:rPr>
        <w:t xml:space="preserve">4.如甲方在使用该货物构成上述侵权的，则由乙方承担全部责任。 </w:t>
      </w:r>
    </w:p>
    <w:p w14:paraId="7B2CDE4C">
      <w:pPr>
        <w:pStyle w:val="6"/>
        <w:spacing w:line="360" w:lineRule="auto"/>
        <w:ind w:left="141" w:leftChars="67" w:firstLine="420"/>
        <w:rPr>
          <w:rFonts w:hint="eastAsia" w:ascii="宋体" w:hAnsi="宋体"/>
          <w:b/>
          <w:color w:val="auto"/>
          <w:sz w:val="21"/>
          <w:szCs w:val="21"/>
          <w:highlight w:val="none"/>
        </w:rPr>
      </w:pPr>
      <w:r>
        <w:rPr>
          <w:rFonts w:hint="eastAsia" w:ascii="宋体" w:hAnsi="宋体"/>
          <w:color w:val="auto"/>
          <w:sz w:val="21"/>
          <w:szCs w:val="21"/>
          <w:highlight w:val="none"/>
        </w:rPr>
        <w:t>5.甲方接收货物后，相应知识产权归甲方所有。</w:t>
      </w:r>
    </w:p>
    <w:p w14:paraId="64BF851D">
      <w:pPr>
        <w:pStyle w:val="6"/>
        <w:spacing w:before="120" w:beforeLines="50" w:after="120" w:afterLines="50" w:line="360" w:lineRule="auto"/>
        <w:ind w:firstLine="500" w:firstLineChars="166"/>
        <w:rPr>
          <w:rFonts w:hint="eastAsia" w:ascii="宋体" w:hAnsi="宋体"/>
          <w:color w:val="auto"/>
          <w:sz w:val="30"/>
          <w:szCs w:val="30"/>
          <w:highlight w:val="none"/>
        </w:rPr>
      </w:pPr>
      <w:r>
        <w:rPr>
          <w:rFonts w:hint="eastAsia" w:ascii="宋体" w:hAnsi="宋体"/>
          <w:b/>
          <w:color w:val="auto"/>
          <w:sz w:val="30"/>
          <w:szCs w:val="30"/>
          <w:highlight w:val="none"/>
        </w:rPr>
        <w:t xml:space="preserve">第七条 包装要求与运输方式  </w:t>
      </w:r>
      <w:r>
        <w:rPr>
          <w:rFonts w:hint="eastAsia" w:ascii="宋体" w:hAnsi="宋体"/>
          <w:color w:val="auto"/>
          <w:sz w:val="30"/>
          <w:szCs w:val="30"/>
          <w:highlight w:val="none"/>
        </w:rPr>
        <w:t xml:space="preserve"> </w:t>
      </w:r>
    </w:p>
    <w:p w14:paraId="61D41B12">
      <w:pPr>
        <w:pStyle w:val="6"/>
        <w:spacing w:line="360" w:lineRule="auto"/>
        <w:ind w:left="141" w:leftChars="67" w:firstLine="315" w:firstLineChars="150"/>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68894019">
      <w:pPr>
        <w:pStyle w:val="6"/>
        <w:spacing w:line="360" w:lineRule="auto"/>
        <w:ind w:left="141" w:leftChars="67" w:firstLine="315" w:firstLineChars="150"/>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7ACC5950">
      <w:pPr>
        <w:pStyle w:val="6"/>
        <w:spacing w:line="360" w:lineRule="auto"/>
        <w:ind w:left="141" w:leftChars="67" w:firstLine="315" w:firstLineChars="150"/>
        <w:rPr>
          <w:rFonts w:hint="eastAsia" w:ascii="宋体" w:hAnsi="宋体"/>
          <w:color w:val="auto"/>
          <w:sz w:val="21"/>
          <w:szCs w:val="21"/>
          <w:highlight w:val="none"/>
        </w:rPr>
      </w:pPr>
      <w:r>
        <w:rPr>
          <w:rFonts w:hint="eastAsia" w:ascii="宋体" w:hAnsi="宋体"/>
          <w:color w:val="auto"/>
          <w:sz w:val="21"/>
          <w:szCs w:val="21"/>
          <w:highlight w:val="none"/>
        </w:rPr>
        <w:t>3.货物（产品）运输方式：</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eastAsia="zh-CN"/>
        </w:rPr>
        <w:t>车运</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3C5A7D8A">
      <w:pPr>
        <w:pStyle w:val="6"/>
        <w:spacing w:line="360" w:lineRule="auto"/>
        <w:ind w:left="141" w:leftChars="67" w:firstLine="315" w:firstLineChars="150"/>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2D753F88">
      <w:pPr>
        <w:pStyle w:val="6"/>
        <w:spacing w:before="120" w:beforeLines="50" w:after="120" w:afterLines="50" w:line="360" w:lineRule="auto"/>
        <w:ind w:firstLine="349" w:firstLineChars="116"/>
        <w:rPr>
          <w:rFonts w:hint="eastAsia" w:ascii="宋体" w:hAnsi="宋体"/>
          <w:color w:val="auto"/>
          <w:sz w:val="30"/>
          <w:szCs w:val="30"/>
          <w:highlight w:val="none"/>
        </w:rPr>
      </w:pPr>
      <w:r>
        <w:rPr>
          <w:rFonts w:hint="eastAsia" w:ascii="宋体" w:hAnsi="宋体"/>
          <w:b/>
          <w:color w:val="auto"/>
          <w:sz w:val="30"/>
          <w:szCs w:val="30"/>
          <w:highlight w:val="none"/>
        </w:rPr>
        <w:t>第八条 货物验收</w:t>
      </w:r>
    </w:p>
    <w:p w14:paraId="0B142AAD">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1.货物验收由甲方组织，乙方配合，并按下列程序进行： </w:t>
      </w:r>
    </w:p>
    <w:p w14:paraId="50A4084F">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交货验收时，乙方须提供质检部门产品抽样检查合格的检测报告（或生产厂家自检报告）及所提供货物（产品）的合格证、装箱清单、配件、随机工具、用户使用手册（产品使用说明书）、保修卡等资料交付给甲方； </w:t>
      </w:r>
    </w:p>
    <w:p w14:paraId="0A58E73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（2）到货验收 ：货物到达后，按合同要求的货物清单和装箱单逐一核对，同时检查货物外观，是否有划痕或破损的，并做好相应记录； 按乙方承诺的产品包装环保材料进行验收，必要时乙方需提供检测报告，甲方发现虚假承诺时，将扣除总货款的 5%作为处罚。 </w:t>
      </w:r>
    </w:p>
    <w:p w14:paraId="24DD8A73">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（3）货物初验：乙方应在货物到货之日起，20 日内全部完成安装调试完毕；乙方安装调试完毕后 5日内完成初步验收；初步验收合格后，进入 30 日试用期；试用期间发生重大质量问题，修复后试用期相应顺延； </w:t>
      </w:r>
    </w:p>
    <w:p w14:paraId="3E399B51">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（4）货物终验：完成安装、调试、试运行，并达到正常使用条件后 30 日内完成最终验收； </w:t>
      </w:r>
    </w:p>
    <w:p w14:paraId="30DDCBD7">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（5）验收合格，双方签署验收报告。 </w:t>
      </w:r>
    </w:p>
    <w:p w14:paraId="31E51B20">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2.货物验收依据： </w:t>
      </w:r>
    </w:p>
    <w:p w14:paraId="5EF7F325">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（1）招标文件； </w:t>
      </w:r>
    </w:p>
    <w:p w14:paraId="4EF53AE7">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（2）响应文件； </w:t>
      </w:r>
    </w:p>
    <w:p w14:paraId="3EE1561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（3）采购合同及补充协议； </w:t>
      </w:r>
    </w:p>
    <w:p w14:paraId="715CAB7D">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（4）质检部门抽样检查货物（产品）合格的检测报告。 </w:t>
      </w:r>
    </w:p>
    <w:p w14:paraId="02D353DF">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3.货物验收时发现问题的处理办法： </w:t>
      </w:r>
      <w:bookmarkStart w:id="0" w:name="_GoBack"/>
      <w:bookmarkEnd w:id="0"/>
    </w:p>
    <w:p w14:paraId="58FE1EB9">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（1）乙方提供不符合文件和本合同规定的货物（产品），甲方有权拒绝接受； </w:t>
      </w:r>
    </w:p>
    <w:p w14:paraId="6BAC3CE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w:t>
      </w:r>
    </w:p>
    <w:p w14:paraId="45419FB6">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（3）如货物经乙方 3 次更换仍不能达到合同约定的质量标准，甲方有权视作乙方不能交付货物，无履约能力，乙方须支付违约赔偿金给甲方，甲方还可依法追究乙方的违约责任； </w:t>
      </w:r>
    </w:p>
    <w:p w14:paraId="0171ECB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（4）货物安装完成后 60 日内，甲方无故不进行验收工作并已使用货物的，视同已安装调试完成并验收合格； </w:t>
      </w:r>
    </w:p>
    <w:p w14:paraId="6C15A2F6">
      <w:pPr>
        <w:pStyle w:val="6"/>
        <w:spacing w:line="360" w:lineRule="auto"/>
        <w:ind w:firstLine="42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（5）乙方不能完整交付货物及规定的单证和工具的，必须负责补齐，否则视为未按合同约定交货。</w:t>
      </w:r>
    </w:p>
    <w:p w14:paraId="5D10BFB0">
      <w:pPr>
        <w:pStyle w:val="6"/>
        <w:spacing w:before="120" w:beforeLines="50" w:after="120" w:afterLines="50" w:line="360" w:lineRule="auto"/>
        <w:ind w:firstLine="500" w:firstLineChars="166"/>
        <w:rPr>
          <w:rFonts w:hint="eastAsia"/>
          <w:b/>
          <w:color w:val="auto"/>
          <w:sz w:val="30"/>
          <w:szCs w:val="30"/>
          <w:highlight w:val="none"/>
        </w:rPr>
      </w:pPr>
      <w:r>
        <w:rPr>
          <w:rFonts w:hint="eastAsia"/>
          <w:b/>
          <w:color w:val="auto"/>
          <w:sz w:val="30"/>
          <w:szCs w:val="30"/>
          <w:highlight w:val="none"/>
        </w:rPr>
        <w:t>第九条 售后服务</w:t>
      </w:r>
    </w:p>
    <w:p w14:paraId="117F9AA4">
      <w:pPr>
        <w:pStyle w:val="6"/>
        <w:spacing w:line="360" w:lineRule="auto"/>
        <w:ind w:firstLine="420"/>
        <w:rPr>
          <w:rFonts w:hint="eastAsia"/>
          <w:color w:val="auto"/>
          <w:kern w:val="0"/>
          <w:sz w:val="21"/>
          <w:szCs w:val="21"/>
          <w:highlight w:val="none"/>
        </w:rPr>
      </w:pPr>
      <w:r>
        <w:rPr>
          <w:rFonts w:hint="eastAsia"/>
          <w:color w:val="auto"/>
          <w:kern w:val="0"/>
          <w:sz w:val="21"/>
          <w:szCs w:val="21"/>
          <w:highlight w:val="none"/>
        </w:rPr>
        <w:t>乙方应按照国家有关法律法规和“三包”规定以及招标文件要求和投标文件的“服务承诺”提供服务。</w:t>
      </w:r>
    </w:p>
    <w:p w14:paraId="26BF7E2F">
      <w:pPr>
        <w:pStyle w:val="6"/>
        <w:spacing w:before="120" w:beforeLines="50" w:after="120" w:afterLines="50" w:line="360" w:lineRule="auto"/>
        <w:ind w:firstLine="500" w:firstLineChars="166"/>
        <w:rPr>
          <w:rFonts w:hint="eastAsia"/>
          <w:b/>
          <w:color w:val="auto"/>
          <w:sz w:val="30"/>
          <w:szCs w:val="30"/>
          <w:highlight w:val="none"/>
        </w:rPr>
      </w:pPr>
      <w:r>
        <w:rPr>
          <w:rFonts w:hint="eastAsia"/>
          <w:b/>
          <w:color w:val="auto"/>
          <w:kern w:val="0"/>
          <w:sz w:val="30"/>
          <w:szCs w:val="30"/>
          <w:highlight w:val="none"/>
        </w:rPr>
        <w:t xml:space="preserve">第十条 </w:t>
      </w:r>
      <w:r>
        <w:rPr>
          <w:rFonts w:hint="eastAsia"/>
          <w:b/>
          <w:color w:val="auto"/>
          <w:sz w:val="30"/>
          <w:szCs w:val="30"/>
          <w:highlight w:val="none"/>
        </w:rPr>
        <w:t>履约保证金</w:t>
      </w:r>
    </w:p>
    <w:p w14:paraId="58B24FC6">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0D5977C9">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36E5F687">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4E367A2E">
      <w:pPr>
        <w:widowControl/>
        <w:spacing w:line="360" w:lineRule="auto"/>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15360E70">
      <w:pPr>
        <w:pStyle w:val="6"/>
        <w:spacing w:before="120" w:beforeLines="50" w:after="120" w:afterLines="50" w:line="360" w:lineRule="auto"/>
        <w:ind w:firstLine="500" w:firstLineChars="166"/>
        <w:rPr>
          <w:rFonts w:hint="eastAsia" w:ascii="宋体" w:hAnsi="宋体"/>
          <w:color w:val="auto"/>
          <w:sz w:val="30"/>
          <w:szCs w:val="30"/>
          <w:highlight w:val="none"/>
        </w:rPr>
      </w:pPr>
      <w:r>
        <w:rPr>
          <w:rFonts w:hint="eastAsia" w:ascii="宋体" w:hAnsi="宋体"/>
          <w:b/>
          <w:color w:val="auto"/>
          <w:sz w:val="30"/>
          <w:szCs w:val="30"/>
          <w:highlight w:val="none"/>
        </w:rPr>
        <w:t>第十一条 违约责任</w:t>
      </w:r>
    </w:p>
    <w:p w14:paraId="1E339A55">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1FA9CA5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（1）甲方无正当理由拒收货物的，甲方应偿付合同总价 1%的违约金； </w:t>
      </w:r>
    </w:p>
    <w:p w14:paraId="00CA733F">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（2）甲方逾期支付货款的，除应及时付足货款外，应向乙方每天支付欠款总额 1 ‰的滞纳金；但累计滞纳金总额不超过欠款总额的 2%。 </w:t>
      </w:r>
    </w:p>
    <w:p w14:paraId="33935D9E">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2.乙方违约责任 </w:t>
      </w:r>
    </w:p>
    <w:p w14:paraId="3B5A7CC9">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（1）如乙方不能交付货物，甲方有权扣留全部履约保证金；同时乙方应向甲方支付合同总价5％的违约金； </w:t>
      </w:r>
    </w:p>
    <w:p w14:paraId="6EC87EB6">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（2）乙方逾期交付货物的，每逾期 1 天，乙方向甲方偿付逾期交货部分货款总额的 5‰的滞纳金。如乙方逾期交货达 2 天，甲方有权解除合同，解除合同的通知自到达乙方时生效； </w:t>
      </w:r>
    </w:p>
    <w:p w14:paraId="59F3EE90">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（3）乙方所交付的货物品种、型号、规格不符合合同规定的，甲方有权拒收。甲方拒收的，乙方应向甲方支付货款总额 5%的违约金； </w:t>
      </w:r>
    </w:p>
    <w:p w14:paraId="41DE2665">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w:t>
      </w:r>
    </w:p>
    <w:p w14:paraId="49C8B5C0">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w:t>
      </w:r>
    </w:p>
    <w:p w14:paraId="08579391">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（6）乙方未按本合同的规定和“服务承诺”提供伴随服务/售后服务的，应按合同总价款的 5 %向甲方承担违约责任； </w:t>
      </w:r>
    </w:p>
    <w:p w14:paraId="710596A9">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（7）乙方在承担上述 1-6款一项或多项违约责任后，仍应继续履行合同规定的义务（甲方解除合同的除外）。甲方未能及时追究乙方的任何一项违约责任并不表明甲方放弃追究乙方该项或其他违约责任； </w:t>
      </w:r>
    </w:p>
    <w:p w14:paraId="051B12D1">
      <w:pPr>
        <w:pStyle w:val="6"/>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 xml:space="preserve">（8）乙方偿付的违约金不足以弥补甲方损失的，还应按甲方损失尚未弥补的部分，支付赔偿金给甲方。 </w:t>
      </w:r>
    </w:p>
    <w:p w14:paraId="2F07B1EA">
      <w:pPr>
        <w:widowControl/>
        <w:spacing w:before="120" w:beforeLines="50" w:after="120" w:afterLines="50" w:line="360" w:lineRule="auto"/>
        <w:ind w:firstLine="452" w:firstLineChars="150"/>
        <w:jc w:val="left"/>
        <w:rPr>
          <w:rFonts w:hint="eastAsia" w:ascii="宋体" w:hAnsi="宋体" w:cs="宋体"/>
          <w:color w:val="auto"/>
          <w:kern w:val="0"/>
          <w:sz w:val="30"/>
          <w:szCs w:val="30"/>
          <w:highlight w:val="none"/>
        </w:rPr>
      </w:pPr>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p>
    <w:p w14:paraId="3DE83EF4">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6D4BA14C">
      <w:pPr>
        <w:widowControl/>
        <w:spacing w:before="120" w:beforeLines="50" w:after="120" w:afterLines="50" w:line="360" w:lineRule="auto"/>
        <w:ind w:firstLine="452" w:firstLineChars="150"/>
        <w:jc w:val="left"/>
        <w:rPr>
          <w:rFonts w:hint="eastAsia" w:ascii="宋体" w:hAnsi="宋体" w:cs="宋体"/>
          <w:b/>
          <w:color w:val="auto"/>
          <w:kern w:val="0"/>
          <w:sz w:val="30"/>
          <w:szCs w:val="30"/>
          <w:highlight w:val="none"/>
        </w:rPr>
      </w:pPr>
      <w:r>
        <w:rPr>
          <w:rFonts w:hint="eastAsia" w:ascii="宋体" w:hAnsi="宋体" w:cs="宋体"/>
          <w:b/>
          <w:color w:val="auto"/>
          <w:kern w:val="0"/>
          <w:sz w:val="30"/>
          <w:szCs w:val="30"/>
          <w:highlight w:val="none"/>
        </w:rPr>
        <w:t>第十三条 争议的解决</w:t>
      </w:r>
    </w:p>
    <w:p w14:paraId="4909773D">
      <w:pPr>
        <w:pStyle w:val="6"/>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 xml:space="preserve">1.因货物的质量问题发生争议，由质量技术监督部门或其指定的质量鉴定机构进行质量鉴定。 货物符合标准的，鉴定费由甲方承担；货物不符合质量标准的，鉴定费由乙方承担。 </w:t>
      </w:r>
    </w:p>
    <w:p w14:paraId="72D6B493">
      <w:pPr>
        <w:pStyle w:val="6"/>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 xml:space="preserve">2.因履行本合同引起的或与本合同有关的争议，甲、乙双方应首先通过友好协商解决，如果协商不成，则向甲方所在地有管辖权的人民法院提起诉讼； </w:t>
      </w:r>
    </w:p>
    <w:p w14:paraId="4635255B">
      <w:pPr>
        <w:pStyle w:val="6"/>
        <w:spacing w:line="360" w:lineRule="auto"/>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3.在裁决期间，本合同应继续履行。</w:t>
      </w:r>
    </w:p>
    <w:p w14:paraId="01BB92C7">
      <w:pPr>
        <w:snapToGrid w:val="0"/>
        <w:spacing w:before="120" w:beforeLines="50" w:after="120" w:afterLines="50" w:line="360" w:lineRule="auto"/>
        <w:ind w:firstLine="602" w:firstLineChars="200"/>
        <w:textAlignment w:val="baseline"/>
        <w:rPr>
          <w:rFonts w:hint="eastAsia" w:ascii="宋体" w:hAnsi="宋体"/>
          <w:b/>
          <w:color w:val="auto"/>
          <w:sz w:val="30"/>
          <w:szCs w:val="30"/>
          <w:highlight w:val="none"/>
        </w:rPr>
      </w:pPr>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p>
    <w:p w14:paraId="3852CF65">
      <w:pPr>
        <w:snapToGrid w:val="0"/>
        <w:spacing w:before="120" w:beforeLines="50" w:after="120" w:afterLines="50" w:line="360" w:lineRule="auto"/>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5CC45B7">
      <w:pPr>
        <w:snapToGrid w:val="0"/>
        <w:spacing w:line="360" w:lineRule="auto"/>
        <w:ind w:firstLine="539"/>
        <w:rPr>
          <w:rFonts w:hint="eastAsia" w:ascii="宋体" w:hAnsi="宋体"/>
          <w:color w:val="auto"/>
          <w:szCs w:val="21"/>
          <w:highlight w:val="none"/>
        </w:rPr>
      </w:pPr>
      <w:r>
        <w:rPr>
          <w:rFonts w:hint="eastAsia" w:ascii="宋体" w:hAnsi="宋体"/>
          <w:color w:val="auto"/>
          <w:szCs w:val="21"/>
          <w:highlight w:val="none"/>
        </w:rPr>
        <w:t>1.本合同书</w:t>
      </w:r>
    </w:p>
    <w:p w14:paraId="2CC5CC69">
      <w:pPr>
        <w:snapToGrid w:val="0"/>
        <w:spacing w:line="360" w:lineRule="auto"/>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689CDB95">
      <w:pPr>
        <w:snapToGrid w:val="0"/>
        <w:spacing w:line="360" w:lineRule="auto"/>
        <w:ind w:firstLine="539"/>
        <w:rPr>
          <w:rFonts w:hint="eastAsia" w:ascii="宋体" w:hAnsi="宋体"/>
          <w:color w:val="auto"/>
          <w:szCs w:val="21"/>
          <w:highlight w:val="none"/>
        </w:rPr>
      </w:pPr>
      <w:r>
        <w:rPr>
          <w:rFonts w:hint="eastAsia" w:ascii="宋体" w:hAnsi="宋体"/>
          <w:color w:val="auto"/>
          <w:szCs w:val="21"/>
          <w:highlight w:val="none"/>
        </w:rPr>
        <w:t>3.协议</w:t>
      </w:r>
    </w:p>
    <w:p w14:paraId="571EC7A0">
      <w:pPr>
        <w:snapToGrid w:val="0"/>
        <w:spacing w:line="360" w:lineRule="auto"/>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5004B69B">
      <w:pPr>
        <w:snapToGrid w:val="0"/>
        <w:spacing w:line="360" w:lineRule="auto"/>
        <w:ind w:firstLine="539"/>
        <w:rPr>
          <w:rFonts w:hint="eastAsia" w:ascii="宋体" w:hAnsi="宋体"/>
          <w:color w:val="auto"/>
          <w:szCs w:val="21"/>
          <w:highlight w:val="none"/>
        </w:rPr>
      </w:pPr>
      <w:r>
        <w:rPr>
          <w:rFonts w:hint="eastAsia" w:ascii="宋体" w:hAnsi="宋体"/>
          <w:color w:val="auto"/>
          <w:szCs w:val="21"/>
          <w:highlight w:val="none"/>
        </w:rPr>
        <w:t>5.投标文件</w:t>
      </w:r>
    </w:p>
    <w:p w14:paraId="30628779">
      <w:pPr>
        <w:snapToGrid w:val="0"/>
        <w:spacing w:before="120" w:beforeLines="50" w:after="120" w:afterLines="50" w:line="360" w:lineRule="auto"/>
        <w:ind w:firstLine="452" w:firstLineChars="150"/>
        <w:rPr>
          <w:rFonts w:hint="eastAsia"/>
          <w:b/>
          <w:color w:val="auto"/>
          <w:kern w:val="0"/>
          <w:sz w:val="30"/>
          <w:szCs w:val="30"/>
          <w:highlight w:val="none"/>
        </w:rPr>
      </w:pPr>
      <w:r>
        <w:rPr>
          <w:rFonts w:hint="eastAsia"/>
          <w:b/>
          <w:color w:val="auto"/>
          <w:sz w:val="30"/>
          <w:szCs w:val="30"/>
          <w:highlight w:val="none"/>
        </w:rPr>
        <w:t xml:space="preserve">第十五条 </w:t>
      </w:r>
      <w:r>
        <w:rPr>
          <w:rFonts w:hint="eastAsia"/>
          <w:b/>
          <w:color w:val="auto"/>
          <w:kern w:val="0"/>
          <w:sz w:val="30"/>
          <w:szCs w:val="30"/>
          <w:highlight w:val="none"/>
        </w:rPr>
        <w:t>合同生效及其他</w:t>
      </w:r>
    </w:p>
    <w:p w14:paraId="425A6F1A">
      <w:pPr>
        <w:snapToGrid w:val="0"/>
        <w:spacing w:line="360" w:lineRule="auto"/>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28804FF6">
      <w:pPr>
        <w:snapToGrid w:val="0"/>
        <w:spacing w:line="360" w:lineRule="auto"/>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4ABC27E9">
      <w:pPr>
        <w:snapToGrid w:val="0"/>
        <w:spacing w:line="360" w:lineRule="auto"/>
        <w:ind w:firstLine="539"/>
        <w:rPr>
          <w:rFonts w:hint="eastAsia" w:ascii="宋体" w:hAnsi="宋体"/>
          <w:color w:val="auto"/>
          <w:szCs w:val="21"/>
          <w:highlight w:val="none"/>
        </w:rPr>
      </w:pPr>
      <w:r>
        <w:rPr>
          <w:rFonts w:hint="eastAsia" w:ascii="宋体" w:hAnsi="宋体"/>
          <w:color w:val="auto"/>
          <w:kern w:val="0"/>
          <w:szCs w:val="21"/>
          <w:highlight w:val="none"/>
        </w:rPr>
        <w:t>3.本合同一式</w:t>
      </w:r>
      <w:r>
        <w:rPr>
          <w:rFonts w:hint="eastAsia" w:ascii="宋体" w:hAnsi="宋体"/>
          <w:color w:val="auto"/>
          <w:kern w:val="0"/>
          <w:szCs w:val="21"/>
          <w:highlight w:val="none"/>
          <w:lang w:eastAsia="zh-CN"/>
        </w:rPr>
        <w:t>六</w:t>
      </w:r>
      <w:r>
        <w:rPr>
          <w:rFonts w:hint="eastAsia" w:ascii="宋体" w:hAnsi="宋体"/>
          <w:color w:val="auto"/>
          <w:kern w:val="0"/>
          <w:szCs w:val="21"/>
          <w:highlight w:val="none"/>
        </w:rPr>
        <w:t>份，具有同等法律效力，其中，甲方</w:t>
      </w:r>
      <w:r>
        <w:rPr>
          <w:rFonts w:hint="eastAsia" w:ascii="宋体" w:hAnsi="宋体"/>
          <w:color w:val="auto"/>
          <w:kern w:val="0"/>
          <w:szCs w:val="21"/>
          <w:highlight w:val="none"/>
          <w:lang w:eastAsia="zh-CN"/>
        </w:rPr>
        <w:t>两</w:t>
      </w:r>
      <w:r>
        <w:rPr>
          <w:rFonts w:hint="eastAsia" w:ascii="宋体" w:hAnsi="宋体"/>
          <w:color w:val="auto"/>
          <w:kern w:val="0"/>
          <w:szCs w:val="21"/>
          <w:highlight w:val="none"/>
        </w:rPr>
        <w:t>份，乙方</w:t>
      </w:r>
      <w:r>
        <w:rPr>
          <w:rFonts w:hint="eastAsia" w:ascii="宋体" w:hAnsi="宋体"/>
          <w:color w:val="auto"/>
          <w:kern w:val="0"/>
          <w:szCs w:val="21"/>
          <w:highlight w:val="none"/>
          <w:lang w:eastAsia="zh-CN"/>
        </w:rPr>
        <w:t>两</w:t>
      </w:r>
      <w:r>
        <w:rPr>
          <w:rFonts w:hint="eastAsia" w:ascii="宋体" w:hAnsi="宋体"/>
          <w:color w:val="auto"/>
          <w:kern w:val="0"/>
          <w:szCs w:val="21"/>
          <w:highlight w:val="none"/>
        </w:rPr>
        <w:t>份，</w:t>
      </w:r>
      <w:r>
        <w:rPr>
          <w:rFonts w:hint="eastAsia" w:ascii="宋体" w:hAnsi="宋体"/>
          <w:color w:val="auto"/>
          <w:kern w:val="0"/>
          <w:szCs w:val="21"/>
          <w:highlight w:val="none"/>
          <w:lang w:eastAsia="zh-CN"/>
        </w:rPr>
        <w:t>招标代理机构</w:t>
      </w:r>
      <w:r>
        <w:rPr>
          <w:rFonts w:hint="eastAsia" w:ascii="宋体" w:hAnsi="宋体"/>
          <w:color w:val="auto"/>
          <w:kern w:val="0"/>
          <w:szCs w:val="21"/>
          <w:highlight w:val="none"/>
        </w:rPr>
        <w:t>一份，政府采购监督管理部门备案一份。</w:t>
      </w:r>
    </w:p>
    <w:p w14:paraId="529C6234">
      <w:pPr>
        <w:spacing w:line="360" w:lineRule="auto"/>
        <w:ind w:firstLine="420" w:firstLineChars="200"/>
        <w:rPr>
          <w:rFonts w:hint="eastAsia" w:ascii="宋体" w:hAnsi="宋体"/>
          <w:color w:val="auto"/>
          <w:szCs w:val="21"/>
          <w:highlight w:val="none"/>
        </w:rPr>
      </w:pPr>
    </w:p>
    <w:p w14:paraId="43D9377A">
      <w:pPr>
        <w:spacing w:line="360" w:lineRule="auto"/>
        <w:ind w:firstLine="420" w:firstLineChars="200"/>
        <w:rPr>
          <w:rFonts w:hint="eastAsia" w:ascii="宋体" w:hAnsi="宋体"/>
          <w:color w:val="auto"/>
          <w:szCs w:val="21"/>
          <w:highlight w:val="none"/>
        </w:rPr>
      </w:pPr>
    </w:p>
    <w:p w14:paraId="7B888E7A">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1FFB82EF">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负责人/委托代理人：                 法定代表人/委托代理人：</w:t>
      </w:r>
    </w:p>
    <w:p w14:paraId="1AA0A18D">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43A26D91">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53D11879">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5BC0BC6C">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05E4DA99">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3DCB9542">
      <w:pPr>
        <w:spacing w:before="120" w:beforeLines="50" w:after="120" w:afterLines="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1BD4D0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83F48"/>
    <w:rsid w:val="1E604666"/>
    <w:rsid w:val="1FA0658E"/>
    <w:rsid w:val="2DBD7280"/>
    <w:rsid w:val="3F980BD8"/>
    <w:rsid w:val="4E4769B8"/>
    <w:rsid w:val="5B3C46B5"/>
    <w:rsid w:val="647C1FC7"/>
    <w:rsid w:val="6E13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3606</Words>
  <Characters>3694</Characters>
  <Lines>0</Lines>
  <Paragraphs>0</Paragraphs>
  <TotalTime>1</TotalTime>
  <ScaleCrop>false</ScaleCrop>
  <LinksUpToDate>false</LinksUpToDate>
  <CharactersWithSpaces>4076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2025-12-28T05:04:00Z</dcterms:created>
  <dc:creator>86153</dc:creator>
  <cp:lastModifiedBy>海盗阿西</cp:lastModifiedBy>
  <dcterms:modified xsi:type="dcterms:W3CDTF">2026-05-15T07:36:45Z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eyJoZGlkIjoiOWQyZjkyMmU0YjY0ZTdjZDdiY2VmODg0YjVmNmJhOGIiLCJ1c2VySWQiOiI2MTI0MTMyMTkifQ==</vt:lpwstr>
  </property>
  <property fmtid="{D5CDD505-2E9C-101B-9397-08002B2CF9AE}" pid="4" name="ICV">
    <vt:lpwstr>67EAC14568D64BDEA8E705AA274530D7_12</vt:lpwstr>
  </property>
</Properties>
</file>