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版本号：ZCSP-临渭区-2026-0018820260731001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2026年三张镇冷库配套设施项目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ZCSP-临渭区-2026-00188</w:t>
      </w:r>
      <w:r>
        <w:br/>
      </w:r>
      <w:r>
        <w:br/>
      </w:r>
      <w:r>
        <w:br/>
      </w:r>
    </w:p>
    <w:p>
      <w:pPr>
        <w:pStyle w:val="null3"/>
        <w:jc w:val="center"/>
        <w:outlineLvl w:val="2"/>
      </w:pPr>
      <w:r>
        <w:rPr>
          <w:rFonts w:ascii="仿宋_GB2312" w:hAnsi="仿宋_GB2312" w:cs="仿宋_GB2312" w:eastAsia="仿宋_GB2312"/>
          <w:sz w:val="28"/>
          <w:b/>
        </w:rPr>
        <w:t>陕西省渭南市临渭区三张镇人民政府</w:t>
      </w:r>
    </w:p>
    <w:p>
      <w:pPr>
        <w:pStyle w:val="null3"/>
        <w:jc w:val="center"/>
        <w:outlineLvl w:val="2"/>
      </w:pPr>
      <w:r>
        <w:rPr>
          <w:rFonts w:ascii="仿宋_GB2312" w:hAnsi="仿宋_GB2312" w:cs="仿宋_GB2312" w:eastAsia="仿宋_GB2312"/>
          <w:sz w:val="28"/>
          <w:b/>
        </w:rPr>
        <w:t>陕西嘉信至诚项目管理有限公司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陕西嘉信至诚项目管理有限公司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陕西省渭南市临渭区三张镇人民政府</w:t>
      </w:r>
      <w:r>
        <w:rPr>
          <w:rFonts w:ascii="仿宋_GB2312" w:hAnsi="仿宋_GB2312" w:cs="仿宋_GB2312" w:eastAsia="仿宋_GB2312"/>
        </w:rPr>
        <w:t>委托，拟对</w:t>
      </w:r>
      <w:r>
        <w:rPr>
          <w:rFonts w:ascii="仿宋_GB2312" w:hAnsi="仿宋_GB2312" w:cs="仿宋_GB2312" w:eastAsia="仿宋_GB2312"/>
        </w:rPr>
        <w:t>2026年三张镇冷库配套设施项目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ZCSP-临渭区-2026-00188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2026年三张镇冷库配套设施项目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为了推动村公益事业发展，带动村集体增收，本项目计划采购三张镇冷库配套的果筐、托盘、叉车等设施设备。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法定代表人授权委托书：法定代表人参与投标时需提供法定代表人身份证明书（法定代表人须提供身份证原件）；被授权人参与投标时需提供法定代表人授权委托书（被授权人须提供身份证原件）。</w:t>
      </w:r>
    </w:p>
    <w:p>
      <w:pPr>
        <w:pStyle w:val="null3"/>
      </w:pPr>
      <w:r>
        <w:rPr>
          <w:rFonts w:ascii="仿宋_GB2312" w:hAnsi="仿宋_GB2312" w:cs="仿宋_GB2312" w:eastAsia="仿宋_GB2312"/>
        </w:rPr>
        <w:t>2、投标保证金缴纳凭证：投标保证金缴纳凭证</w:t>
      </w:r>
    </w:p>
    <w:p>
      <w:pPr>
        <w:pStyle w:val="null3"/>
      </w:pPr>
      <w:r>
        <w:rPr>
          <w:rFonts w:ascii="仿宋_GB2312" w:hAnsi="仿宋_GB2312" w:cs="仿宋_GB2312" w:eastAsia="仿宋_GB2312"/>
        </w:rPr>
        <w:t>3、信用信息：投标人不得为“信用中国”网站（www.creditchina.gov.cn）中列入失信被执行人和重大税收违法失信主体的投标人，不得为中国政府采购网（www.ccgp.gov.cn）中列入政府采购严重违法失信行为记录名单的投标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陕西省渭南市临渭区三张镇人民政府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临渭区三张镇三张街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0913-3039932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陕西嘉信至诚项目管理有限公司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陕西省渭南市临渭区解放路与双王街十字东南角商贸楼三楼东侧（槐衙曦和公馆南门斜对面）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0913-2130688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开户名称：陕西嘉信至诚项目管理有限公司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银行账号：103714785487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陕西省渭南市临渭区三张镇人民政府</w:t>
      </w:r>
      <w:r>
        <w:rPr>
          <w:rFonts w:ascii="仿宋_GB2312" w:hAnsi="仿宋_GB2312" w:cs="仿宋_GB2312" w:eastAsia="仿宋_GB2312"/>
        </w:rPr>
        <w:t>和</w:t>
      </w:r>
      <w:r>
        <w:rPr>
          <w:rFonts w:ascii="仿宋_GB2312" w:hAnsi="仿宋_GB2312" w:cs="仿宋_GB2312" w:eastAsia="仿宋_GB2312"/>
        </w:rPr>
        <w:t>陕西嘉信至诚项目管理有限公司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陕西省渭南市临渭区三张镇人民政府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陕西嘉信至诚项目管理有限公司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陕西省渭南市临渭区三张镇人民政府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陕西嘉信至诚项目管理有限公司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联系人：田晶</w:t>
      </w:r>
    </w:p>
    <w:p>
      <w:pPr>
        <w:pStyle w:val="null3"/>
      </w:pPr>
      <w:r>
        <w:rPr>
          <w:rFonts w:ascii="仿宋_GB2312" w:hAnsi="仿宋_GB2312" w:cs="仿宋_GB2312" w:eastAsia="仿宋_GB2312"/>
        </w:rPr>
        <w:t>联系电话：0913-2130688</w:t>
      </w:r>
    </w:p>
    <w:p>
      <w:pPr>
        <w:pStyle w:val="null3"/>
      </w:pPr>
      <w:r>
        <w:rPr>
          <w:rFonts w:ascii="仿宋_GB2312" w:hAnsi="仿宋_GB2312" w:cs="仿宋_GB2312" w:eastAsia="仿宋_GB2312"/>
        </w:rPr>
        <w:t>地址：陕西省渭南市临渭区解放路与双王街十字东南角商贸楼三楼东侧（槐衙曦和公馆南门斜对面）</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为了推动村公益事业发展，带动村集体增收，本项目计划采购三张镇冷库配套的果筐、托盘、叉车等设施设备。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1,454,000.00</w:t>
      </w:r>
    </w:p>
    <w:p>
      <w:pPr>
        <w:pStyle w:val="null3"/>
      </w:pPr>
      <w:r>
        <w:rPr>
          <w:rFonts w:ascii="仿宋_GB2312" w:hAnsi="仿宋_GB2312" w:cs="仿宋_GB2312" w:eastAsia="仿宋_GB2312"/>
        </w:rPr>
        <w:t>采购包最高限价（元）: 1,454,000.00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2026年三张镇冷库配套设施采购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标的名称：2026年三张镇冷库配套设施采购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1.采购内容</w:t>
            </w:r>
          </w:p>
          <w:p>
            <w:pPr>
              <w:pStyle w:val="null3"/>
            </w:pPr>
            <w:r>
              <w:rPr>
                <w:rFonts w:ascii="仿宋_GB2312" w:hAnsi="仿宋_GB2312" w:cs="仿宋_GB2312" w:eastAsia="仿宋_GB2312"/>
              </w:rPr>
              <w:t>为了推动村公益事业发展，带动村集体增收，本项目计划采购三张镇冷库配套的果筐、托盘、叉车等设施设备。</w:t>
            </w:r>
          </w:p>
          <w:p>
            <w:pPr>
              <w:pStyle w:val="null3"/>
            </w:pPr>
            <w:r>
              <w:rPr>
                <w:rFonts w:ascii="仿宋_GB2312" w:hAnsi="仿宋_GB2312" w:cs="仿宋_GB2312" w:eastAsia="仿宋_GB2312"/>
              </w:rPr>
              <w:t>2.本次采购的核心产品为叉车</w:t>
            </w:r>
          </w:p>
          <w:p>
            <w:pPr>
              <w:pStyle w:val="null3"/>
            </w:pPr>
            <w:r>
              <w:rPr>
                <w:rFonts w:ascii="仿宋_GB2312" w:hAnsi="仿宋_GB2312" w:cs="仿宋_GB2312" w:eastAsia="仿宋_GB2312"/>
              </w:rPr>
              <w:t>3.采购标的及技术要求</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设备名称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技术参数要求</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筐子</w:t>
                  </w:r>
                </w:p>
              </w:tc>
              <w:tc>
                <w:tcPr>
                  <w:tcW w:type="dxa" w:w="511"/>
                </w:tcPr>
                <w:p>
                  <w:pPr>
                    <w:pStyle w:val="null3"/>
                  </w:pPr>
                  <w:r>
                    <w:rPr>
                      <w:rFonts w:ascii="仿宋_GB2312" w:hAnsi="仿宋_GB2312" w:cs="仿宋_GB2312" w:eastAsia="仿宋_GB2312"/>
                    </w:rPr>
                    <w:t>50400</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1.四面及底部须大面积镂空，底部须带加强筋；</w:t>
                  </w:r>
                </w:p>
                <w:p>
                  <w:pPr>
                    <w:pStyle w:val="null3"/>
                  </w:pPr>
                  <w:r>
                    <w:rPr>
                      <w:rFonts w:ascii="仿宋_GB2312" w:hAnsi="仿宋_GB2312" w:cs="仿宋_GB2312" w:eastAsia="仿宋_GB2312"/>
                    </w:rPr>
                    <w:t>2.须具有堆码防错位结构，两侧一体成式防滑提手。</w:t>
                  </w:r>
                </w:p>
                <w:p>
                  <w:pPr>
                    <w:pStyle w:val="null3"/>
                  </w:pPr>
                  <w:r>
                    <w:rPr>
                      <w:rFonts w:ascii="仿宋_GB2312" w:hAnsi="仿宋_GB2312" w:cs="仿宋_GB2312" w:eastAsia="仿宋_GB2312"/>
                    </w:rPr>
                    <w:t>3.规格：495mm*345mm*295mm（±5mm）</w:t>
                  </w:r>
                </w:p>
                <w:p>
                  <w:pPr>
                    <w:pStyle w:val="null3"/>
                  </w:pPr>
                  <w:r>
                    <w:rPr>
                      <w:rFonts w:ascii="仿宋_GB2312" w:hAnsi="仿宋_GB2312" w:cs="仿宋_GB2312" w:eastAsia="仿宋_GB2312"/>
                    </w:rPr>
                    <w:t>▲4.材质要求：须采用食品级HDPE纯原料一体注塑成型</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托盘</w:t>
                  </w:r>
                </w:p>
              </w:tc>
              <w:tc>
                <w:tcPr>
                  <w:tcW w:type="dxa" w:w="511"/>
                </w:tcPr>
                <w:p>
                  <w:pPr>
                    <w:pStyle w:val="null3"/>
                  </w:pPr>
                  <w:r>
                    <w:rPr>
                      <w:rFonts w:ascii="仿宋_GB2312" w:hAnsi="仿宋_GB2312" w:cs="仿宋_GB2312" w:eastAsia="仿宋_GB2312"/>
                    </w:rPr>
                    <w:t>1050</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1.规格：1000mm*1050mm（±5mm）</w:t>
                  </w:r>
                </w:p>
                <w:p>
                  <w:pPr>
                    <w:pStyle w:val="null3"/>
                  </w:pPr>
                  <w:r>
                    <w:rPr>
                      <w:rFonts w:ascii="仿宋_GB2312" w:hAnsi="仿宋_GB2312" w:cs="仿宋_GB2312" w:eastAsia="仿宋_GB2312"/>
                    </w:rPr>
                    <w:t>2.材质要求：做防霉处理的松木</w:t>
                  </w:r>
                </w:p>
                <w:p>
                  <w:pPr>
                    <w:pStyle w:val="null3"/>
                  </w:pPr>
                  <w:r>
                    <w:rPr>
                      <w:rFonts w:ascii="仿宋_GB2312" w:hAnsi="仿宋_GB2312" w:cs="仿宋_GB2312" w:eastAsia="仿宋_GB2312"/>
                    </w:rPr>
                    <w:t>3.面板：20mm*90mm*1000mm（±5mm），数量9块</w:t>
                  </w:r>
                </w:p>
                <w:p>
                  <w:pPr>
                    <w:pStyle w:val="null3"/>
                  </w:pPr>
                  <w:r>
                    <w:rPr>
                      <w:rFonts w:ascii="仿宋_GB2312" w:hAnsi="仿宋_GB2312" w:cs="仿宋_GB2312" w:eastAsia="仿宋_GB2312"/>
                    </w:rPr>
                    <w:t>4.大梁：80mm*90mm*1050mm（±5mm），数量3根</w:t>
                  </w:r>
                </w:p>
                <w:p>
                  <w:pPr>
                    <w:pStyle w:val="null3"/>
                  </w:pPr>
                  <w:r>
                    <w:rPr>
                      <w:rFonts w:ascii="仿宋_GB2312" w:hAnsi="仿宋_GB2312" w:cs="仿宋_GB2312" w:eastAsia="仿宋_GB2312"/>
                    </w:rPr>
                    <w:t>5.底板：20mm*90mm*1000mm（±5mm），数量4根</w:t>
                  </w:r>
                </w:p>
                <w:p>
                  <w:pPr>
                    <w:pStyle w:val="null3"/>
                  </w:pPr>
                  <w:r>
                    <w:rPr>
                      <w:rFonts w:ascii="仿宋_GB2312" w:hAnsi="仿宋_GB2312" w:cs="仿宋_GB2312" w:eastAsia="仿宋_GB2312"/>
                    </w:rPr>
                    <w:t>6.静载（平地堆码）：≥3000kg</w:t>
                  </w:r>
                </w:p>
                <w:p>
                  <w:pPr>
                    <w:pStyle w:val="null3"/>
                  </w:pPr>
                  <w:r>
                    <w:rPr>
                      <w:rFonts w:ascii="仿宋_GB2312" w:hAnsi="仿宋_GB2312" w:cs="仿宋_GB2312" w:eastAsia="仿宋_GB2312"/>
                    </w:rPr>
                    <w:t>动载（叉车作业）：≥1000kg</w:t>
                  </w:r>
                </w:p>
                <w:p>
                  <w:pPr>
                    <w:pStyle w:val="null3"/>
                  </w:pPr>
                  <w:r>
                    <w:rPr>
                      <w:rFonts w:ascii="仿宋_GB2312" w:hAnsi="仿宋_GB2312" w:cs="仿宋_GB2312" w:eastAsia="仿宋_GB2312"/>
                    </w:rPr>
                    <w:t>7.须适合多层堆放塑料周转筐</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叉车</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▲1.额定起重量：≥1800kg；</w:t>
                  </w:r>
                </w:p>
                <w:p>
                  <w:pPr>
                    <w:pStyle w:val="null3"/>
                  </w:pPr>
                  <w:r>
                    <w:rPr>
                      <w:rFonts w:ascii="仿宋_GB2312" w:hAnsi="仿宋_GB2312" w:cs="仿宋_GB2312" w:eastAsia="仿宋_GB2312"/>
                    </w:rPr>
                    <w:t>▲2.起升高度：≥5000mm</w:t>
                  </w:r>
                </w:p>
                <w:p>
                  <w:pPr>
                    <w:pStyle w:val="null3"/>
                  </w:pPr>
                  <w:r>
                    <w:rPr>
                      <w:rFonts w:ascii="仿宋_GB2312" w:hAnsi="仿宋_GB2312" w:cs="仿宋_GB2312" w:eastAsia="仿宋_GB2312"/>
                    </w:rPr>
                    <w:t>3.载荷中心距：500mm；</w:t>
                  </w:r>
                </w:p>
                <w:p>
                  <w:pPr>
                    <w:pStyle w:val="null3"/>
                  </w:pPr>
                  <w:r>
                    <w:rPr>
                      <w:rFonts w:ascii="仿宋_GB2312" w:hAnsi="仿宋_GB2312" w:cs="仿宋_GB2312" w:eastAsia="仿宋_GB2312"/>
                    </w:rPr>
                    <w:t>▲4.动力类型：锂电池（磷酸铁锂）连续工作续航≥6h</w:t>
                  </w:r>
                </w:p>
                <w:p>
                  <w:pPr>
                    <w:pStyle w:val="null3"/>
                  </w:pPr>
                  <w:r>
                    <w:rPr>
                      <w:rFonts w:ascii="仿宋_GB2312" w:hAnsi="仿宋_GB2312" w:cs="仿宋_GB2312" w:eastAsia="仿宋_GB2312"/>
                    </w:rPr>
                    <w:t>5.驾驶方式：座驾式；</w:t>
                  </w:r>
                </w:p>
                <w:p>
                  <w:pPr>
                    <w:pStyle w:val="null3"/>
                  </w:pPr>
                  <w:r>
                    <w:rPr>
                      <w:rFonts w:ascii="仿宋_GB2312" w:hAnsi="仿宋_GB2312" w:cs="仿宋_GB2312" w:eastAsia="仿宋_GB2312"/>
                    </w:rPr>
                    <w:t>6.整车总重：≤3179kg；</w:t>
                  </w:r>
                </w:p>
                <w:p>
                  <w:pPr>
                    <w:pStyle w:val="null3"/>
                  </w:pPr>
                  <w:r>
                    <w:rPr>
                      <w:rFonts w:ascii="仿宋_GB2312" w:hAnsi="仿宋_GB2312" w:cs="仿宋_GB2312" w:eastAsia="仿宋_GB2312"/>
                    </w:rPr>
                    <w:t>▲7.转弯半径：≤1920mm；</w:t>
                  </w:r>
                </w:p>
                <w:p>
                  <w:pPr>
                    <w:pStyle w:val="null3"/>
                  </w:pPr>
                  <w:r>
                    <w:rPr>
                      <w:rFonts w:ascii="仿宋_GB2312" w:hAnsi="仿宋_GB2312" w:cs="仿宋_GB2312" w:eastAsia="仿宋_GB2312"/>
                    </w:rPr>
                    <w:t>8.货叉尺寸：≥35mm*100mm*1220mm</w:t>
                  </w:r>
                </w:p>
                <w:p>
                  <w:pPr>
                    <w:pStyle w:val="null3"/>
                  </w:pPr>
                  <w:r>
                    <w:rPr>
                      <w:rFonts w:ascii="仿宋_GB2312" w:hAnsi="仿宋_GB2312" w:cs="仿宋_GB2312" w:eastAsia="仿宋_GB2312"/>
                    </w:rPr>
                    <w:t>▲9.需满足三电系统一体化;</w:t>
                  </w:r>
                </w:p>
                <w:p>
                  <w:pPr>
                    <w:pStyle w:val="null3"/>
                  </w:pPr>
                  <w:r>
                    <w:rPr>
                      <w:rFonts w:ascii="仿宋_GB2312" w:hAnsi="仿宋_GB2312" w:cs="仿宋_GB2312" w:eastAsia="仿宋_GB2312"/>
                    </w:rPr>
                    <w:t>10.需满足液压系统操纵三支阀杆右置式布置;</w:t>
                  </w:r>
                </w:p>
                <w:p>
                  <w:pPr>
                    <w:pStyle w:val="null3"/>
                  </w:pPr>
                  <w:r>
                    <w:rPr>
                      <w:rFonts w:ascii="仿宋_GB2312" w:hAnsi="仿宋_GB2312" w:cs="仿宋_GB2312" w:eastAsia="仿宋_GB2312"/>
                    </w:rPr>
                    <w:t>11.需满足整车配备S/E/P三档作业模式开关;</w:t>
                  </w:r>
                </w:p>
                <w:p>
                  <w:pPr>
                    <w:pStyle w:val="null3"/>
                  </w:pPr>
                  <w:r>
                    <w:rPr>
                      <w:rFonts w:ascii="仿宋_GB2312" w:hAnsi="仿宋_GB2312" w:cs="仿宋_GB2312" w:eastAsia="仿宋_GB2312"/>
                    </w:rPr>
                    <w:t>12.高清彩屏≥5寸，并且可实时显示电压、电量、工作时间、故障码等运行信息；</w:t>
                  </w:r>
                </w:p>
                <w:p>
                  <w:pPr>
                    <w:pStyle w:val="null3"/>
                  </w:pPr>
                  <w:r>
                    <w:rPr>
                      <w:rFonts w:ascii="仿宋_GB2312" w:hAnsi="仿宋_GB2312" w:cs="仿宋_GB2312" w:eastAsia="仿宋_GB2312"/>
                    </w:rPr>
                    <w:t>13.轮胎类型全车实心轮胎。</w:t>
                  </w:r>
                </w:p>
                <w:p>
                  <w:pPr>
                    <w:pStyle w:val="null3"/>
                  </w:pPr>
                  <w:r>
                    <w:rPr>
                      <w:rFonts w:ascii="仿宋_GB2312" w:hAnsi="仿宋_GB2312" w:cs="仿宋_GB2312" w:eastAsia="仿宋_GB2312"/>
                    </w:rPr>
                    <w:t>▲14.整车质保：≥12个月；</w:t>
                  </w:r>
                </w:p>
                <w:p>
                  <w:pPr>
                    <w:pStyle w:val="null3"/>
                  </w:pPr>
                  <w:r>
                    <w:rPr>
                      <w:rFonts w:ascii="仿宋_GB2312" w:hAnsi="仿宋_GB2312" w:cs="仿宋_GB2312" w:eastAsia="仿宋_GB2312"/>
                    </w:rPr>
                    <w:t>▲15.电机、电控质保：≥3年；</w:t>
                  </w:r>
                </w:p>
                <w:p>
                  <w:pPr>
                    <w:pStyle w:val="null3"/>
                  </w:pPr>
                  <w:r>
                    <w:rPr>
                      <w:rFonts w:ascii="仿宋_GB2312" w:hAnsi="仿宋_GB2312" w:cs="仿宋_GB2312" w:eastAsia="仿宋_GB2312"/>
                    </w:rPr>
                    <w:t>▲16.电池电芯质保：≥6年</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合同签订生效后20天内交货完毕，并安装调试到位。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临渭区三张镇岳家村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进度款，设备供货期间根据进度，达到付款条件起7个工作日内，支付合同总金额的40.0%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进度款，设备安装调试完成，投入正常使用经采购人验收合格后，达到付款条件起7个工作日内，支付合同总金额的27.0%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进度款，验收后需要进行结算审计，最终的结算审定金额为本项目的最终合同价款，达到付款条件起7个工作日内，支付合同总金额的3.0%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1.外观验收：设备外观无划痕、变形、破损等缺陷，标识清晰完整，配件齐全。 2.性能验收：按照本需求书规定的技术参数，对设备的显示效果、触控性能、硬件配置、功能等进行逐一测试，测试结果需全部符合要求。 3.文档验收：供应商需提供设备出厂合格证、检测报告、使用说明书、保修卡、培训资料等相关文档，文档内容完整、规范。 4.验收方法 4.1项目验收分初验和终验: 初验：货物到达交货地点后，由使用单位根据合同对货物的名称、品牌、规格、型号、产地、数量进行检查。 终验：所有货物(货物)安装、调试完毕，正常使用30个日历日后，由采购人进行终验（最终验收），合格后签发《终验合格单》。 验收不合格的中标单位，必须在接到通知后7个日历日内确保货物通过验收。如接到通知后7个日历日内验收仍不合格，采购人可提出索赔或取消其供货合同。采购代理机构将把中标资格授予评审排序下一名的中标单位。 4.2验收依据 4.2.1合同文本及合同补充文件（条款）； 4.2.2产品的合法来源渠道证明文件、佐证材料； 4.2.3招标文件； 4.2.4中标人的投标文件； 4.2.5货物清单。 4.2.6生产厂家货物的执行标准。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质量保修范围：2026年三张镇冷库配套设施项目包含的所有内容；质保期：自验收合格之日起不低于一年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未按合同要求提供服务或服务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货商的违法行为进行相应的处罚。 （二）其他未尽事宜，按《中华人民共和国民法典》中的相关条款执行。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2、根据《政府采购法实施条例》释义，银行、保险、石油石化、电力、电信等有行业特殊情况的，允许法人的分支机构参加政府采购活动。 3、中标（成交）供应商在中标（成交）结果公告发布后3个工作日内提供叁套纸质投标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投标人应具有独立承担民事责任的能力且具备向采购人提供相关制造的企业法人、事业法人、其他组织或者自然人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磋商时间不足一年的可提供成立后任意时段的资产负债表）或响应文件截止时间前六个月内其基本账户银行出具的资信证明（附基本账户证明）或政府采购信用担保机构出具的磋商担保函； ②税收缴纳证明：提供响应文件递交截止时间前一年内任意一个月的缴费凭据；依法免税的应提供相关文件证明； ③社会保障资金缴纳证明：提供响应文件递交截止时间前一年内任意一个月的社保缴费凭据或社保机构开具的社会保险参保缴费情况证明；依法不需要缴纳社会保障资金的供应商应提供相关文件证明；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①②③三项内容可根据本磋商文件格式要求出具承诺函，成交供应商的承诺函同成交结果一并公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法定代表人身份证明书/法定代表人授权委托书</w:t>
            </w:r>
          </w:p>
        </w:tc>
        <w:tc>
          <w:tcPr>
            <w:tcW w:type="dxa" w:w="3322"/>
          </w:tcPr>
          <w:p>
            <w:pPr>
              <w:pStyle w:val="null3"/>
            </w:pPr>
            <w:r>
              <w:rPr>
                <w:rFonts w:ascii="仿宋_GB2312" w:hAnsi="仿宋_GB2312" w:cs="仿宋_GB2312" w:eastAsia="仿宋_GB2312"/>
              </w:rPr>
              <w:t>法定代表人参与投标时需提供法定代表人身份证明书（法定代表人须提供身份证原件）；被授权人参与投标时需提供法定代表人授权委托书（被授权人须提供身份证原件）。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投标保证金缴纳凭证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投标人不得为“信用中国”网站（www.creditchina.gov.cn）中列入失信被执行人和重大税收违法失信主体的投标人，不得为中国政府采购网（www.ccgp.gov.cn）中列入政府采购严重违法失信行为记录名单的投标人。</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应满足采购文件中要求的交货期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应满足采购文件中的规定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应满足采购文件中的规定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对采购文件响应程度</w:t>
            </w:r>
          </w:p>
        </w:tc>
        <w:tc>
          <w:tcPr>
            <w:tcW w:type="dxa" w:w="3322"/>
          </w:tcPr>
          <w:p>
            <w:pPr>
              <w:pStyle w:val="null3"/>
            </w:pPr>
            <w:r>
              <w:rPr>
                <w:rFonts w:ascii="仿宋_GB2312" w:hAnsi="仿宋_GB2312" w:cs="仿宋_GB2312" w:eastAsia="仿宋_GB2312"/>
              </w:rPr>
              <w:t>要求实质性条款及商务要求全部响应，不能有采购人不能接受的附加条件</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应按采购文件要求签章</w:t>
            </w:r>
          </w:p>
        </w:tc>
        <w:tc>
          <w:tcPr>
            <w:tcW w:type="dxa" w:w="1661"/>
          </w:tcPr>
          <w:p>
            <w:pPr>
              <w:pStyle w:val="null3"/>
            </w:pPr>
            <w:r>
              <w:rPr>
                <w:rFonts w:ascii="仿宋_GB2312" w:hAnsi="仿宋_GB2312" w:cs="仿宋_GB2312" w:eastAsia="仿宋_GB2312"/>
              </w:rPr>
              <w:t>开标一览表 技术方案.docx 中小企业声明函 商务应答表 政府采购供应商拒绝政府采购领域商业贿赂承诺书.docx 产品技术参数表 分项报价表.docx 投标函 残疾人福利性单位声明函 标的清单 投标文件封面 供应商资格证明文件.docx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（一）评审内容：①备货、供货进度及组织保障方案；②货物运输方案；③备品配件齐全保障方案；④产品安装及调试方案；⑤应急方案。 （二）评审标准：每一条评审内容无缺陷得2分，满分10分；每一条评审内容存在一处缺陷扣0.4分，扣完为止；未提供不得分。（说明：存在下列情形之一的属于内容缺陷：①内容与项目服务需求不吻合、层次未细化的；②阐述未从实际出发，不切合项目背景、项目需求的；③存在抄袭或套用其他内容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产品质量保障措施</w:t>
            </w:r>
          </w:p>
        </w:tc>
        <w:tc>
          <w:tcPr>
            <w:tcW w:type="dxa" w:w="2492"/>
          </w:tcPr>
          <w:p>
            <w:pPr>
              <w:pStyle w:val="null3"/>
            </w:pPr>
            <w:r>
              <w:rPr>
                <w:rFonts w:ascii="仿宋_GB2312" w:hAnsi="仿宋_GB2312" w:cs="仿宋_GB2312" w:eastAsia="仿宋_GB2312"/>
              </w:rPr>
              <w:t>（一）评审内容：①产品质量保障措施；②产品的制作、工艺、加工、环保措施；③产品质量管控措施。 （二）评审标准：每一条评审内容无缺陷得2分，满分6分；每一条评审内容存在一处缺陷扣0.4分，扣完为止；未提供不得分。（说明：存在下列情形之一的属于内容缺陷：①内容与项目服务需求不吻合、层次未细化的；②阐述未从实际出发，不切合项目背景、项目需求的；③存在抄袭或套用其他内容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（一）评审内容：包含：①售后服务人员安排；②售后服务响应时间与处理时间。 （二）评审标准：每一条评审内容无缺陷得2分，满分4分；每一条评审内容存在一处缺陷扣0.4分，扣完为止；未提供不得分。（说明：存在下列情形之一的属于内容缺陷：①内容与项目服务需求不吻合、层次未细化的；②阐述未从实际出发，不切合项目背景、项目需求的；③存在抄袭或套用其他内容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投标人具有近三年（2023年7月至今）的类似项目业绩，提供一个得1分（提供合同复印件，并加盖单位公章。以合同签订时间为准），最高得5分。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技术指标配置</w:t>
            </w:r>
          </w:p>
        </w:tc>
        <w:tc>
          <w:tcPr>
            <w:tcW w:type="dxa" w:w="2492"/>
          </w:tcPr>
          <w:p>
            <w:pPr>
              <w:pStyle w:val="null3"/>
            </w:pPr>
            <w:r>
              <w:rPr>
                <w:rFonts w:ascii="仿宋_GB2312" w:hAnsi="仿宋_GB2312" w:cs="仿宋_GB2312" w:eastAsia="仿宋_GB2312"/>
              </w:rPr>
              <w:t>1.基本参数指标（18分）：非▲号技术参数为基本参数。满足招标文件要求得18分；每负偏离1项扣1分，扣完为止。 2.重点参数指标（18分）：带▲号技术参数为重点参数。满足招标文件要求得18分；每负偏离一项扣2分，扣完为止。 注：投标人应提供充足的技术证明材料（技术证明材料包括但不限于检测报告、官网和功能截图、彩页、说明书等相关资料）予以佐证，未提供证明材料导致技术指标被视为负偏离的风险，投标人自行承担。</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拟投入的人员安排合理，符合项目实施要求，岗位职责明确，每配备一个人员得0.5分，本项最高得4分。 注：提供人员的相关证明材料，否则不得分。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满足招标文件要求且投标价格最低的投标总报价为评标基准价，其价格分为满分。其他投标人的价格分统一按照下列公式计算： 投标报价得分=(评标基准价／投标报价)×35%×100。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详见附件：合同参考文本.docx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