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版本号：TZZB-2026119C.1B120260625001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眼科激光类医疗设备采购项目(二次)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TZZB-2026119C.1B1</w:t>
      </w:r>
      <w:r>
        <w:br/>
      </w:r>
      <w:r>
        <w:br/>
      </w:r>
      <w:r>
        <w:br/>
      </w:r>
    </w:p>
    <w:p>
      <w:pPr>
        <w:pStyle w:val="null3"/>
        <w:jc w:val="center"/>
        <w:outlineLvl w:val="2"/>
      </w:pPr>
      <w:r>
        <w:rPr>
          <w:rFonts w:ascii="仿宋_GB2312" w:hAnsi="仿宋_GB2312" w:cs="仿宋_GB2312" w:eastAsia="仿宋_GB2312"/>
          <w:sz w:val="28"/>
          <w:b/>
        </w:rPr>
        <w:t>西安市人民医院（西安市第四医院）</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西安市人民医院（西安市第四医院）</w:t>
      </w:r>
      <w:r>
        <w:rPr>
          <w:rFonts w:ascii="仿宋_GB2312" w:hAnsi="仿宋_GB2312" w:cs="仿宋_GB2312" w:eastAsia="仿宋_GB2312"/>
        </w:rPr>
        <w:t>委托，拟对</w:t>
      </w:r>
      <w:r>
        <w:rPr>
          <w:rFonts w:ascii="仿宋_GB2312" w:hAnsi="仿宋_GB2312" w:cs="仿宋_GB2312" w:eastAsia="仿宋_GB2312"/>
        </w:rPr>
        <w:t>眼科激光类医疗设备采购项目(二次)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TZZB-2026119C.1B1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眼科激光类医疗设备采购项目(二次)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眼科激光类医疗设备采购项目，具体详见第三章 磋商项目技术、服务、商务及其他要求。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为具有独立承担民事责任能力的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2、财务状况报告：提供2024年或2025年经审计的财务报告或开标前三个月内开户银行开具的资信证明；</w:t>
      </w:r>
    </w:p>
    <w:p>
      <w:pPr>
        <w:pStyle w:val="null3"/>
      </w:pPr>
      <w:r>
        <w:rPr>
          <w:rFonts w:ascii="仿宋_GB2312" w:hAnsi="仿宋_GB2312" w:cs="仿宋_GB2312" w:eastAsia="仿宋_GB2312"/>
        </w:rPr>
        <w:t>3、税收缴纳证明：提供2025年11月至今已缴纳任意一个月完税凭证或税务机关开具的完税证明（任意税种）；依法免税的应提供相关文件证明；</w:t>
      </w:r>
    </w:p>
    <w:p>
      <w:pPr>
        <w:pStyle w:val="null3"/>
      </w:pPr>
      <w:r>
        <w:rPr>
          <w:rFonts w:ascii="仿宋_GB2312" w:hAnsi="仿宋_GB2312" w:cs="仿宋_GB2312" w:eastAsia="仿宋_GB2312"/>
        </w:rPr>
        <w:t>4、社保缴纳证明：提供2025年11月至今已缴存的任意一个月的社会保障资金缴存证明或社保机构开具的社会保险参保缴费情况证明；依法不需要缴纳社会保障资金的应提供相关文件证明；</w:t>
      </w:r>
    </w:p>
    <w:p>
      <w:pPr>
        <w:pStyle w:val="null3"/>
      </w:pPr>
      <w:r>
        <w:rPr>
          <w:rFonts w:ascii="仿宋_GB2312" w:hAnsi="仿宋_GB2312" w:cs="仿宋_GB2312" w:eastAsia="仿宋_GB2312"/>
        </w:rPr>
        <w:t>5、书面声明：参加政府采购活动前三年内，在经营活动中没有重大违法记录的书面声明；</w:t>
      </w:r>
    </w:p>
    <w:p>
      <w:pPr>
        <w:pStyle w:val="null3"/>
      </w:pPr>
      <w:r>
        <w:rPr>
          <w:rFonts w:ascii="仿宋_GB2312" w:hAnsi="仿宋_GB2312" w:cs="仿宋_GB2312" w:eastAsia="仿宋_GB2312"/>
        </w:rPr>
        <w:t>6、信用记录：供应商不得为“信用中国”网站（www.creditchina.gov.cn）（中国执行信息公开网）和中国政府采购网（www.ccgp.gov.cn）中被列入失信被执行人、重大税收违法失信主体、政府采购严重违法失信行为记录名单的单位（以代理机构现场查询为准）；</w:t>
      </w:r>
    </w:p>
    <w:p>
      <w:pPr>
        <w:pStyle w:val="null3"/>
      </w:pPr>
      <w:r>
        <w:rPr>
          <w:rFonts w:ascii="仿宋_GB2312" w:hAnsi="仿宋_GB2312" w:cs="仿宋_GB2312" w:eastAsia="仿宋_GB2312"/>
        </w:rPr>
        <w:t>7、法定代表人授权委托书：法定代表人参加磋商时，提供本人身份证；授权代表参加磋商时，提供法定代表人授权书、被授权人身份证以及被授权人社保证明材料；非法人单位参照执行；</w:t>
      </w:r>
    </w:p>
    <w:p>
      <w:pPr>
        <w:pStyle w:val="null3"/>
      </w:pPr>
      <w:r>
        <w:rPr>
          <w:rFonts w:ascii="仿宋_GB2312" w:hAnsi="仿宋_GB2312" w:cs="仿宋_GB2312" w:eastAsia="仿宋_GB2312"/>
        </w:rPr>
        <w:t>8、企业资质：经销商提供医疗器械经营许可证或备案证，生产企业提供生产许可证（进口产品除外）；</w:t>
      </w:r>
    </w:p>
    <w:p>
      <w:pPr>
        <w:pStyle w:val="null3"/>
      </w:pPr>
      <w:r>
        <w:rPr>
          <w:rFonts w:ascii="仿宋_GB2312" w:hAnsi="仿宋_GB2312" w:cs="仿宋_GB2312" w:eastAsia="仿宋_GB2312"/>
        </w:rPr>
        <w:t>9、所投产品：所投产品属于医疗器械管理范围的须提供医疗器械注册证或备案凭证；</w:t>
      </w:r>
    </w:p>
    <w:p>
      <w:pPr>
        <w:pStyle w:val="null3"/>
      </w:pPr>
      <w:r>
        <w:rPr>
          <w:rFonts w:ascii="仿宋_GB2312" w:hAnsi="仿宋_GB2312" w:cs="仿宋_GB2312" w:eastAsia="仿宋_GB2312"/>
        </w:rPr>
        <w:t>10、授权管理：进口产品提供完整授权链，且授权范围需包含本次采购项目内容；</w:t>
      </w:r>
    </w:p>
    <w:p>
      <w:pPr>
        <w:pStyle w:val="null3"/>
      </w:pPr>
      <w:r>
        <w:rPr>
          <w:rFonts w:ascii="仿宋_GB2312" w:hAnsi="仿宋_GB2312" w:cs="仿宋_GB2312" w:eastAsia="仿宋_GB2312"/>
        </w:rPr>
        <w:t>11、非联合体：本项目不接受联合体投标。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西安市人民医院（西安市第四医院）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西安市长安区航天新城航天东路155号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仝老师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029-61220015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陕西省西安市经济技术开发区凤城八路180号长和国际F座22层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倪莹、赵淑涵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029-86522030转612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 （成交）供应商的中标（成交）金额为基数，参照国家计委印发《招标代理服务收费管理暂行办法》的通知（计价格〔2002〕1980号）文件、国家发展和改革委员会办公厅印发的《关于招标代理服务收费有关问题的通知》（发改办价格〔2003〕857号）、国家发展改革委印发的《关于进一步放开建设项目专业服务价格的通知》（发改价格〔2015〕299号）的有关规定标准下浮20%收取。 代理服务费缴纳账号： 账户名称：同正项目管理有限公司 开户银行：中国建设银行股份有限公司西安长庆支行 账 号：61050190550000001106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西安市人民医院（西安市第四医院）</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西安市人民医院（西安市第四医院）</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西安市人民医院（西安市第四医院）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1、按照合同约定时间，按院方指定地点提供货物，配合验收工作，并负责安装、调试、提供现场技术培训，保证使用人员正常操作设备的各种功能。 2、由供应商负责，运杂费已包含在合同总价内，包括从货物供应地点所含的运输费、装卸费、仓储费、保险费等。 3、定期派技术人员到现场走访，给予检查维护，一年不少于2次。 4、供应商应终身免费提供维护手册、维修手册、软件备份、故障代码表、备件清单、零部件、维修密码等维护维修必需的材料和信息。</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联系人：倪莹、赵淑涵</w:t>
      </w:r>
    </w:p>
    <w:p>
      <w:pPr>
        <w:pStyle w:val="null3"/>
      </w:pPr>
      <w:r>
        <w:rPr>
          <w:rFonts w:ascii="仿宋_GB2312" w:hAnsi="仿宋_GB2312" w:cs="仿宋_GB2312" w:eastAsia="仿宋_GB2312"/>
        </w:rPr>
        <w:t>联系电话：029-86522030转612</w:t>
      </w:r>
    </w:p>
    <w:p>
      <w:pPr>
        <w:pStyle w:val="null3"/>
      </w:pPr>
      <w:r>
        <w:rPr>
          <w:rFonts w:ascii="仿宋_GB2312" w:hAnsi="仿宋_GB2312" w:cs="仿宋_GB2312" w:eastAsia="仿宋_GB2312"/>
        </w:rPr>
        <w:t>地址：陕西省西安市经济技术开发区凤城八路180号长和国际F座22层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项目名称：</w:t>
      </w:r>
      <w:r>
        <w:rPr>
          <w:rFonts w:ascii="仿宋_GB2312" w:hAnsi="仿宋_GB2312" w:cs="仿宋_GB2312" w:eastAsia="仿宋_GB2312"/>
          <w:sz w:val="21"/>
        </w:rPr>
        <w:t>眼科激光类医疗设备采购项目</w:t>
      </w:r>
      <w:r>
        <w:rPr>
          <w:rFonts w:ascii="仿宋_GB2312" w:hAnsi="仿宋_GB2312" w:cs="仿宋_GB2312" w:eastAsia="仿宋_GB2312"/>
          <w:sz w:val="21"/>
        </w:rPr>
        <w:t>。</w:t>
      </w:r>
    </w:p>
    <w:p>
      <w:pPr>
        <w:pStyle w:val="null3"/>
        <w:ind w:firstLine="480"/>
      </w:pPr>
      <w:r>
        <w:rPr>
          <w:rFonts w:ascii="仿宋_GB2312" w:hAnsi="仿宋_GB2312" w:cs="仿宋_GB2312" w:eastAsia="仿宋_GB2312"/>
          <w:sz w:val="21"/>
        </w:rPr>
        <w:t>项目概况：</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704"/>
        <w:gridCol w:w="1799"/>
        <w:gridCol w:w="1057"/>
        <w:gridCol w:w="1636"/>
        <w:gridCol w:w="1409"/>
        <w:gridCol w:w="1648"/>
      </w:tblGrid>
      <w:tr>
        <w:tc>
          <w:tcPr>
            <w:tcW w:type="dxa" w:w="7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分项名称</w:t>
            </w:r>
          </w:p>
        </w:tc>
        <w:tc>
          <w:tcPr>
            <w:tcW w:type="dxa" w:w="10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6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预算</w:t>
            </w:r>
            <w:r>
              <w:rPr>
                <w:rFonts w:ascii="仿宋_GB2312" w:hAnsi="仿宋_GB2312" w:cs="仿宋_GB2312" w:eastAsia="仿宋_GB2312"/>
                <w:sz w:val="21"/>
              </w:rPr>
              <w:t>金额（元）</w:t>
            </w:r>
          </w:p>
        </w:tc>
        <w:tc>
          <w:tcPr>
            <w:tcW w:type="dxa" w:w="1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最高限价（元）</w:t>
            </w:r>
          </w:p>
        </w:tc>
        <w:tc>
          <w:tcPr>
            <w:tcW w:type="dxa" w:w="16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是否允许进口产品</w:t>
            </w:r>
          </w:p>
        </w:tc>
      </w:tr>
      <w:tr>
        <w:tc>
          <w:tcPr>
            <w:tcW w:type="dxa" w:w="7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眼科激光</w:t>
            </w:r>
            <w:r>
              <w:rPr>
                <w:rFonts w:ascii="仿宋_GB2312" w:hAnsi="仿宋_GB2312" w:cs="仿宋_GB2312" w:eastAsia="仿宋_GB2312"/>
                <w:sz w:val="21"/>
              </w:rPr>
              <w:t>光凝机</w:t>
            </w:r>
          </w:p>
        </w:tc>
        <w:tc>
          <w:tcPr>
            <w:tcW w:type="dxa" w:w="10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1.00</w:t>
            </w:r>
          </w:p>
        </w:tc>
        <w:tc>
          <w:tcPr>
            <w:tcW w:type="dxa" w:w="16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1,400,000.00</w:t>
            </w:r>
          </w:p>
        </w:tc>
        <w:tc>
          <w:tcPr>
            <w:tcW w:type="dxa" w:w="1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1,400,000.00</w:t>
            </w:r>
          </w:p>
        </w:tc>
        <w:tc>
          <w:tcPr>
            <w:tcW w:type="dxa" w:w="1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是</w:t>
            </w:r>
          </w:p>
        </w:tc>
      </w:tr>
    </w:tbl>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1,400,000.00</w:t>
      </w:r>
    </w:p>
    <w:p>
      <w:pPr>
        <w:pStyle w:val="null3"/>
      </w:pPr>
      <w:r>
        <w:rPr>
          <w:rFonts w:ascii="仿宋_GB2312" w:hAnsi="仿宋_GB2312" w:cs="仿宋_GB2312" w:eastAsia="仿宋_GB2312"/>
        </w:rPr>
        <w:t>采购包最高限价（元）: 1,400,000.00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眼科激光类医疗设备一批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标的名称：眼科激光类医疗设备一批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一、品目1：眼科激光光凝机（进口）</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品目名称后标注“进口”指该品目接受进口产品。</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（一）技术参数：</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1、用于全视网膜光凝及对视网膜和脉络膜中的异常血管结构进行眼内光凝。</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2、采用半导体激光发生器或光纤激光器。</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3、激光波长：577nm。</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4、功率范围：50mw-1500mw。</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5、激光发射模式≥3种（至少包含单发、重复、持续）。</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6、激光治疗模式≥3种（至少包含单点、多点、微脉冲）。</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7、脉冲持续时间：10ms-3000ms。</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8、脉冲间隔时间：20ms-1000ms。</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9、微脉冲激光占空比范围：5%-50%。</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10、单点光斑大小50-400μm；多点光斑大小100-400μm。</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11、多功能脚踏可控制激光发射、能量、曝光时间。</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12、扫描图形类型≥6种。</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13、矩形扫描范围2x2-5x5，范围大小可调。</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14、具有记忆功能，治疗中断后可继续治疗。</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rPr>
              <w:t>15、可自定义激光光斑与黄斑中心凹的安全距离。</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16、瞄准光：635nm。</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17、瞄准光功率≤1.0mw。</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rPr>
              <w:t>18、具有≥5英寸触摸屏。</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rPr>
              <w:t>19、具有冷却方式。</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20、裂隙灯：下光源LED，≥5档变倍。</w:t>
            </w:r>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p>
            <w:pPr>
              <w:pStyle w:val="null3"/>
            </w:pPr>
            <w:r>
              <w:rPr>
                <w:rFonts w:ascii="仿宋_GB2312" w:hAnsi="仿宋_GB2312" w:cs="仿宋_GB2312" w:eastAsia="仿宋_GB2312"/>
              </w:rPr>
              <w:t>（二）配置要求: 眼科激光光凝机（含多功能脚踏、电动升降桌）1套、裂隙灯（含适配器）1套、黄斑镜1个、全视网膜激光镜≥5个</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二、接口及数据要求（如有,须明确具体品目）</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rPr>
              <w:t>1. 负责系统升级，负责与我院HIS、LIS、眼科PACS、病理系统等信息系统及集成平台对接，并承担所接系统软件工作站、双向接口、配件及由此产生的所有费用（含高清采集卡、采集盒、视频线、脚踏、手控、交换机等）。</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2.设备具有时间同步功能机制。</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3.工作站为中文操作系统，保证工作站在连接设备后仍有可用网口。</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4.设备具有串口、USB、网口、DICOM端口之一的通讯端口。如通信接口特殊，不在上述范围内，需提供转换为以上4类接口的相应转换头。</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三、服务要求（产品伴随的服务或者配套建设要求或应当履行的相关义务）</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rPr>
              <w:t>中标商需完成计量器具的检定或校准工作，按照设备安装场地现场情况，完成场地准备，达到设备正常安装使用要求，提供满足诊疗需求并符合国家对消毒、控感、卫生的要求，其中所产生的所有人工、材料、运输、安装施工、配套设备、设备性能检测等费用均由中标方承担。</w:t>
            </w:r>
          </w:p>
        </w:tc>
      </w:tr>
      <w:tr>
        <w:tc>
          <w:tcPr>
            <w:tcW w:type="dxa" w:w="2769"/>
          </w:tcPr>
          <w:p>
            <w:pPr>
              <w:pStyle w:val="null3"/>
            </w:pPr>
            <w:r>
              <w:rPr>
                <w:rFonts w:ascii="仿宋_GB2312" w:hAnsi="仿宋_GB2312" w:cs="仿宋_GB2312" w:eastAsia="仿宋_GB2312"/>
              </w:rPr>
              <w:t>32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整机保修期为伍年（从验收合格之日起开始计算）,提供设备维护、软件升级的技术支持和指导，配合医院完成设备维修、保养、相关工作。 保修期内，同一主要部件出现质量问题经过两次维修后仍无法正常使用，可以更换同型号、同规格的全新产品，服务响应时间不超过2小时， 对问题较大短期内暂不能解决的，为不影响甲方正常工作，乙方在2日内提供替代产品，确保正常运行，由此产生的费用由乙方承担。</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rPr>
              <w:t>操作人员的技术培训时间不得少于一周，提供培训计划。</w:t>
            </w:r>
          </w:p>
        </w:tc>
      </w:tr>
      <w:tr>
        <w:tc>
          <w:tcPr>
            <w:tcW w:type="dxa" w:w="2769"/>
          </w:tcPr>
          <w:p>
            <w:pPr>
              <w:pStyle w:val="null3"/>
            </w:pPr>
            <w:r>
              <w:rPr>
                <w:rFonts w:ascii="仿宋_GB2312" w:hAnsi="仿宋_GB2312" w:cs="仿宋_GB2312" w:eastAsia="仿宋_GB2312"/>
              </w:rPr>
              <w:t>34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提供≥5年的质保声明或质保承诺书。</w:t>
            </w:r>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p>
            <w:pPr>
              <w:pStyle w:val="null3"/>
            </w:pPr>
            <w:r>
              <w:rPr>
                <w:rFonts w:ascii="仿宋_GB2312" w:hAnsi="仿宋_GB2312" w:cs="仿宋_GB2312" w:eastAsia="仿宋_GB2312"/>
              </w:rPr>
              <w:t>提供近五年内用户名单和相关联系方式。</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rPr>
              <w:t>四、耗材限价</w:t>
            </w:r>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p>
            <w:pPr>
              <w:pStyle w:val="null3"/>
            </w:pPr>
            <w:r>
              <w:rPr>
                <w:rFonts w:ascii="仿宋_GB2312" w:hAnsi="仿宋_GB2312" w:cs="仿宋_GB2312" w:eastAsia="仿宋_GB2312"/>
              </w:rPr>
              <w:t>品目1：眼科激光光凝机 全视网膜激光镜≤12000元/个，黄斑镜≤12000元/个。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合同签订后自采购人通知90日内完成全部项目内容，并交付采购人验收合格。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无预付款，所有货物到达甲方指定地点，安装、调试完毕、提供国家或行业标准的合格验收证明以及出具所有设备生产厂家提供的伍年质量保证书等，乙方完成自检合格后，提交甲方进行第一次验收，甲方自第一次验收合格且收到发票之日，达到付款条件起10个工作日内，支付合同总金额的95.0%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进度款，货物第一次验收合格满60个月后，进行二次验收，验收合格后，达到付款条件起10个工作日内，支付合同总金额的5.0%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有关规定以及院方招标文件的质量要求和技术指标、供应商的投标文件及承诺与本合同约定标准进行验收；双方如对质量要求和技术指标的约定标准有相互抵触或异议的事项，由院方在招标与投标文件中按质量要求和技术指标比较优胜的原则确定该项的约定标准进行验收； 2、验收时如发现所交付的货物有缺项、次品、损坏或其他不符合标准及本合同约定之情形者，院方应做出详尽的现场记录，记录形式包括摄像、拍照、供应商证明人的说明，并由双方签署备忘录，此现场记录或备忘录可用作补充缺失和更换损坏部件和更换符合要求的整机之有效证据，由此产生的时间延误与相关费用由供应商承担，验收期限相应顺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详见具体技术（参数）要求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未按合同要求提供货物或质量不能满足本合同、招标文件、投标文件等相关文件要求的，乙方须在合同约定的交货期内无条件更换合格的货物交付给甲方，若甲方有实际损失的乙方还应赔偿甲方的实际损失。否则，甲方有权解除合同，合同自书面解除通知到达乙方之日起解除，乙方向甲方支付违约金，违约金计算方法：以合同总价为基数，支付甲方合同最高限价的30%违约金；若违约金不足以弥补甲方所受损失，则甲方可以要求乙方赔偿解除合同的全部损失（包括但不限于律师费、重新采购产生的费用、合同未履行导致设备不能按规划交付使用可能产生的租赁费用及其它由此造成的甲方对第三方的违约损失）。同时甲方有权对乙方的违约行为报监管机构进行相应的处罚。 2、乙方逾期交付货物的，除应及时交足货物外，同时向甲方支付逾期交货部分货款总额的百分之一/天的违约金；逾期交货超过10天，甲方有权解除合同，合同自书面解除通知到达乙方之日起解除，乙方则应按合同最高限价的30%向甲方支付违约金，若违约金不足以弥补甲方损失，则甲方可要求乙方赔偿解除合同的全部损失（包括但不限于律师费、重新采购产生的费用、合同未履行导致设备不能按规划交付使用可能产生的租赁费用及其他由此造成的甲方对第三方的违约损失），同时甲方有权将乙方违约事宜上报至财政监督管理部门备案。</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通过电子化交易系统协商，供应商需在电子化交易系统上传响应的文件。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递交地址：陕西省西安市经济技术开发区凤城八路长和国际F座22层，联系电话：029-86522030转612）。 2、本项目所属行业为：工业（本项目不专门面向中小企业） 3、中小企业分类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供应商为具有独立承担民事责任能力的法人或其他组织。企业法人应提供合法有效的标识有统一社会信用代码的营业执照；事业法人应提供事业单位法人证书；其他组织应提供合法登记证明文件；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提供2024年或2025年经审计的财务报告或开标前三个月内开户银行开具的资信证明；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提供2025年11月至今已缴纳任意一个月完税凭证或税务机关开具的完税证明（任意税种）；依法免税的应提供相关文件证明；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提供2025年11月至今已缴存的任意一个月的社会保障资金缴存证明或社保机构开具的社会保险参保缴费情况证明；依法不需要缴纳社会保障资金的应提供相关文件证明；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国执行信息公开网）和中国政府采购网（www.ccgp.gov.cn）中被列入失信被执行人、重大税收违法失信主体、政府采购严重违法失信行为记录名单的单位（以代理机构现场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法定代表人参加磋商时，提供本人身份证；授权代表参加磋商时，提供法定代表人授权书、被授权人身份证以及被授权人社保证明材料；非法人单位参照执行；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经销商提供医疗器械经营许可证或备案证，生产企业提供生产许可证（进口产品除外）；</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所投产品</w:t>
            </w:r>
          </w:p>
        </w:tc>
        <w:tc>
          <w:tcPr>
            <w:tcW w:type="dxa" w:w="3322"/>
          </w:tcPr>
          <w:p>
            <w:pPr>
              <w:pStyle w:val="null3"/>
            </w:pPr>
            <w:r>
              <w:rPr>
                <w:rFonts w:ascii="仿宋_GB2312" w:hAnsi="仿宋_GB2312" w:cs="仿宋_GB2312" w:eastAsia="仿宋_GB2312"/>
              </w:rPr>
              <w:t>所投产品属于医疗器械管理范围的须提供医疗器械注册证或备案凭证；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授权管理</w:t>
            </w:r>
          </w:p>
        </w:tc>
        <w:tc>
          <w:tcPr>
            <w:tcW w:type="dxa" w:w="3322"/>
          </w:tcPr>
          <w:p>
            <w:pPr>
              <w:pStyle w:val="null3"/>
            </w:pPr>
            <w:r>
              <w:rPr>
                <w:rFonts w:ascii="仿宋_GB2312" w:hAnsi="仿宋_GB2312" w:cs="仿宋_GB2312" w:eastAsia="仿宋_GB2312"/>
              </w:rPr>
              <w:t>进口产品提供完整授权链，且授权范围需包含本次采购项目内容；</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文件签署、盖章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业绩.docx 本国产品说明 中小企业声明函 报价表 商务应答表.docx 中国境内生产的组件成本核算基本规则 参加政府采购活动行为自律承诺书（二）.docx 节能产品、环境标志产品明细表.docx 响应文件封面 供应商须知.docx 供应商应提交的相关资格证明材料.docx 技术偏离表.docx 残疾人福利性单位声明函 标的清单 关于符合本国产品标准的声明函 参加政府采购活动行为自律承诺书（一）.docx 实施方案.docx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完全理解并接受拒绝政府采购领域商业贿赂承诺书； 参加政府采购活动行为自律承诺书（一）； 参加政府采购活动行为自律承诺书（二）； 供应商须知。</w:t>
            </w:r>
          </w:p>
        </w:tc>
        <w:tc>
          <w:tcPr>
            <w:tcW w:type="dxa" w:w="1661"/>
          </w:tcPr>
          <w:p>
            <w:pPr>
              <w:pStyle w:val="null3"/>
            </w:pPr>
            <w:r>
              <w:rPr>
                <w:rFonts w:ascii="仿宋_GB2312" w:hAnsi="仿宋_GB2312" w:cs="仿宋_GB2312" w:eastAsia="仿宋_GB2312"/>
              </w:rPr>
              <w:t>响应文件封面 供应商须知.docx 参加政府采购活动行为自律承诺书（一）.docx 参加政府采购活动行为自律承诺书（二）.docx 陕西省政府采购供应商拒绝政府采购领域商业贿赂承诺书.docx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求或技术要求出现实质性偏差；（2）要求全面响应采购文件，不能有任何采购人不能接受的附加条件；（3）规定不接受选择方案和选择报价（包括交叉折扣）的，供应商提供了选择方案和/或选择报价（包括交叉折扣）；（4）提供虚假证明，开具虚假资质，出现虚假应答。</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实质性条款响应</w:t>
            </w:r>
          </w:p>
        </w:tc>
        <w:tc>
          <w:tcPr>
            <w:tcW w:type="dxa" w:w="3322"/>
          </w:tcPr>
          <w:p>
            <w:pPr>
              <w:pStyle w:val="null3"/>
            </w:pPr>
            <w:r>
              <w:rPr>
                <w:rFonts w:ascii="仿宋_GB2312" w:hAnsi="仿宋_GB2312" w:cs="仿宋_GB2312" w:eastAsia="仿宋_GB2312"/>
              </w:rPr>
              <w:t>完全响应磋商文件要求的实质性条款、核心参数(标注★条款)。</w:t>
            </w:r>
          </w:p>
        </w:tc>
        <w:tc>
          <w:tcPr>
            <w:tcW w:type="dxa" w:w="1661"/>
          </w:tcPr>
          <w:p>
            <w:pPr>
              <w:pStyle w:val="null3"/>
            </w:pPr>
            <w:r>
              <w:rPr>
                <w:rFonts w:ascii="仿宋_GB2312" w:hAnsi="仿宋_GB2312" w:cs="仿宋_GB2312" w:eastAsia="仿宋_GB2312"/>
              </w:rPr>
              <w:t>响应文件封面 技术偏离表.docx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技术参数要求</w:t>
            </w:r>
          </w:p>
        </w:tc>
        <w:tc>
          <w:tcPr>
            <w:tcW w:type="dxa" w:w="2492"/>
          </w:tcPr>
          <w:p>
            <w:pPr>
              <w:pStyle w:val="null3"/>
            </w:pPr>
            <w:r>
              <w:rPr>
                <w:rFonts w:ascii="仿宋_GB2312" w:hAnsi="仿宋_GB2312" w:cs="仿宋_GB2312" w:eastAsia="仿宋_GB2312"/>
              </w:rPr>
              <w:t>供应商根据文件采购需求及服务要求的内容进行响应：技术指标和性能完全满足本项目产品技术指标的，得30分；技术参数中标记“★”号项的技术参数有负偏离的，按废标处理，须提供佐证材料予以证明；其他参数为一般参数，每负偏离1项扣1.5分，扣完为止，须提供佐证材料予以证明。注：供应商须逐条对应技术参数进行应答，提供充足的佐证材料予以证明（佐证材料包括但不限于技术白皮书、官网截图、设备功能截图、产品彩页、权威第三方检测报告等证明材料），予以证明参数的技术响应并标明佐证材料的具体页码,未提供的不予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设备选型</w:t>
            </w:r>
          </w:p>
        </w:tc>
        <w:tc>
          <w:tcPr>
            <w:tcW w:type="dxa" w:w="2492"/>
          </w:tcPr>
          <w:p>
            <w:pPr>
              <w:pStyle w:val="null3"/>
            </w:pPr>
            <w:r>
              <w:rPr>
                <w:rFonts w:ascii="仿宋_GB2312" w:hAnsi="仿宋_GB2312" w:cs="仿宋_GB2312" w:eastAsia="仿宋_GB2312"/>
              </w:rPr>
              <w:t>一、评审内容：根据供应商提供的设备选型方案进行评审，该方案包含：①所投产品型号、功能、技术规格等详细信息描述；②根据所投产品品牌与配置清单，设备配置先进、选型科学合理，从配置完整性、性能稳定性、兼容性、行业使用广泛性等方面描述（供应商须提供证明材料，包括但不限于所投设备产品临床使用优势等）；③确保设备供应渠道正常、检验手续合法有效、无产权纠纷（供应商须提供证明材料，包括但不限于销售协议、代理协议等）。 提供的上述3项内容完整可行得6分；每有一项未提供扣2分，扣完为止；每有一处有缺陷扣1分，扣完为止，未提供或完全无法满足该评审标准得0分。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针对本项目提供具体可行的实施方案，包括但不限于：①项目实施计划；②供货组织安排、包装运输及配送措施；③安装、检测、调试、试运行方案；④组织机构人员配置；⑤备件耗材及专用工具配备方案 二、评审标准：1、完整性、针对性：方案必须全面，对评审内容中的各项要求有详细阐述，紧扣项目实际情况，内容科学合理。2、可实施性：切合本项目实际情况，提出步骤清晰合理的方案。 三、每满足一个评审标准得1分，基本满足一个评审标准得0.5分，对该评审标准的响应内容模糊或存在缺陷得0.2分，未提供或完全无法满足该评审标准得0分。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一、评审内容：供应商针对本项目提供保障措施，包括但不限于：①产品质量及供货保障措施；②供货安装保障措施；③保障维护及后期运行保障措施； 二、评审标准：1、完整性、针对性：方案必须全面，对评审内容中的各项要求有详细阐述，紧扣项目实际情况，内容科学合理；2、可实施性：切合本项目实际情况，提出步骤清晰合理的方案。 三、每满足一个评审标准得1分，基本满足一个评审标准得0.5分，对该评审标准的响应内容模糊或存在缺陷得0.2分，未提供或完全无法满足该评审标准得0分。 四、说明：缺陷是指内容没有结合项目实际需求、虽有内容但不完善、内容表述前后不一致、套用其他项目方案或与项目需求不匹配及其他不利于项目实施的等任意一种情形。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一、评审内容：根据本项目特点制定应急方案，方案应包括但不限于：①设备故障及维修服务响应方案及措施；②应急突发状况处置措施； 二、评审标准：1、完整性、针对性：方案必须全面，对评审内容中的各项要求有详细阐述，紧扣项目实际情况，内容科学合理；2、可实施性：切合本项目实际情况，提出步骤清晰合理的方案。 三、每满足一个评审标准得1分，基本满足一个评审标准得0.5分，对该评审标准的响应内容模糊或存在缺陷得0.2分，未提供或完全无法满足该评审标准得0分。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一、评审内容：针对本项目提供具体可行的售后服务方案及承诺包括但不限于：①售后服务方案及承诺；②具有健全的售后服务机构及人员； 二、评审标准：1、完整性、针对性：方案必须全面，对评审内容中的各项要求有详细阐述，紧扣项目实际情况，内容科学合理；2、可实施性：切合本项目实际情况，提出步骤清晰合理的方案。 三、每满足一个评审标准得1分，基本满足一个评审标准得0.5分，对该评审标准的响应内容模糊或存在缺陷得0.2分，未提供或完全无法满足该评审标准得0分。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一、评审内容：针对本项目提供具体可行的售后服务方案及承诺包括但不限于：包含：①培训内容；②培训计划安排；③培训人员安排； 二、评审标准：1、完整性、针对性：方案必须全面，对评审内容中的各项要求有详细阐述，紧扣项目实际情况，内容科学合理；2、可实施性：切合本项目实际情况，提出步骤清晰合理的方案。 三、每满足一个评审标准得1分，基本满足一个评审标准得0.5分，对该评审标准的响应内容模糊或存在缺陷得0.2分，未提供或完全无法满足该评审标准得0分。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提供供应商2023年5月1日至今以合同签订时间为准的类似项目业绩证明文件，需提供完整合同复印件加盖公章，每提供一份得1分，满分3分。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节能及环境标志产品</w:t>
            </w:r>
          </w:p>
        </w:tc>
        <w:tc>
          <w:tcPr>
            <w:tcW w:type="dxa" w:w="2492"/>
          </w:tcPr>
          <w:p>
            <w:pPr>
              <w:pStyle w:val="null3"/>
            </w:pPr>
            <w:r>
              <w:rPr>
                <w:rFonts w:ascii="仿宋_GB2312" w:hAnsi="仿宋_GB2312" w:cs="仿宋_GB2312" w:eastAsia="仿宋_GB2312"/>
              </w:rPr>
              <w:t>供应商所投产品中具有经国家确定的认证机构出具的、处于有效期之内的环境标志产品、节能产品认证证书，每有1个有效证书得0.5分，最多1分。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节能产品、环境标志产品明细表.docx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（3）投标（响应）报价低于最高限价50%的，即投标（响应）报价&lt;最高限价×50%。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满足文件要求且评审报价最低的报价为评标基准价，其价格分为满分。其他供应商的价格分统一按照下列公式计算： 投标报价得分=（评标基准价/投标报价）×30。注：对符合《政府采购促进中小企业发展管理办法》（财库〔2020〕46号）规定的小微企业报价给予10%的扣除，用扣除后的价格参加评审。监狱企业与残疾人福利性单位视同小型、微型企业，享受同等价格扣除，当企业属性重复时，不重复价格扣除。 注：关于陕西省财政厅关于在政府采购活动中实施本国产品标准及相关政策的通知（陕财办采〔2026〕2号）如下： （一）对于仅有本国产品参与竞争的政府采购项目，本国产品不享受价格扣除评审优惠。 （二）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 （三）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详见附件：参加政府采购活动行为自律承诺书（一）.docx</w:t>
      </w:r>
    </w:p>
    <w:p>
      <w:pPr>
        <w:pStyle w:val="null3"/>
        <w:ind w:firstLine="960"/>
      </w:pPr>
      <w:r>
        <w:rPr>
          <w:rFonts w:ascii="仿宋_GB2312" w:hAnsi="仿宋_GB2312" w:cs="仿宋_GB2312" w:eastAsia="仿宋_GB2312"/>
        </w:rPr>
        <w:t>详见附件：参加政府采购活动行为自律承诺书（二）.docx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详见附件：供应商须知.docx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详见附件：眼科激光类医疗设备采购项目合同.docx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