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BE2F66">
      <w:pPr>
        <w:jc w:val="center"/>
        <w:outlineLvl w:val="0"/>
        <w:rPr>
          <w:rFonts w:hint="eastAsia" w:ascii="方正小标宋简体" w:hAnsi="方正小标宋简体" w:eastAsia="方正小标宋简体" w:cs="方正小标宋简体"/>
          <w:b/>
          <w:sz w:val="44"/>
          <w:szCs w:val="44"/>
        </w:rPr>
      </w:pPr>
      <w:bookmarkStart w:id="0" w:name="_Toc196837461"/>
      <w:r>
        <w:rPr>
          <w:rFonts w:hint="eastAsia" w:ascii="方正小标宋简体" w:hAnsi="方正小标宋简体" w:eastAsia="方正小标宋简体" w:cs="方正小标宋简体"/>
          <w:b/>
          <w:sz w:val="44"/>
          <w:szCs w:val="44"/>
        </w:rPr>
        <w:t>采购需求书（服务类）</w:t>
      </w:r>
      <w:bookmarkEnd w:id="0"/>
    </w:p>
    <w:p w14:paraId="4C2D5B48">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32"/>
          <w:szCs w:val="32"/>
        </w:rPr>
        <w:t>项目名称：高职院校高质量发展综合服务项目</w:t>
      </w:r>
    </w:p>
    <w:p w14:paraId="0313C355">
      <w:pPr>
        <w:rPr>
          <w:rFonts w:hint="default" w:ascii="仿宋_GB2312" w:hAnsi="仿宋_GB2312" w:eastAsia="仿宋_GB2312" w:cs="仿宋_GB2312"/>
          <w:spacing w:val="-16"/>
          <w:w w:val="110"/>
          <w:sz w:val="26"/>
          <w:szCs w:val="26"/>
          <w:lang w:val="en-US" w:eastAsia="zh-CN"/>
        </w:rPr>
      </w:pPr>
      <w:r>
        <w:rPr>
          <w:rFonts w:hint="eastAsia" w:ascii="仿宋_GB2312" w:hAnsi="仿宋_GB2312" w:eastAsia="仿宋_GB2312" w:cs="仿宋_GB2312"/>
          <w:b/>
          <w:sz w:val="32"/>
          <w:szCs w:val="32"/>
        </w:rPr>
        <w:t>部门：</w:t>
      </w:r>
      <w:r>
        <w:rPr>
          <w:rFonts w:hint="eastAsia" w:ascii="仿宋_GB2312" w:hAnsi="仿宋_GB2312" w:eastAsia="仿宋_GB2312" w:cs="仿宋_GB2312"/>
          <w:b/>
          <w:sz w:val="32"/>
          <w:szCs w:val="32"/>
          <w:lang w:val="en-US" w:eastAsia="zh-CN"/>
        </w:rPr>
        <w:t>发展规划处</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8"/>
        <w:gridCol w:w="1623"/>
        <w:gridCol w:w="6961"/>
      </w:tblGrid>
      <w:tr w14:paraId="0037E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jc w:val="center"/>
        </w:trPr>
        <w:tc>
          <w:tcPr>
            <w:tcW w:w="998" w:type="dxa"/>
            <w:vAlign w:val="center"/>
          </w:tcPr>
          <w:p w14:paraId="2839561E">
            <w:pPr>
              <w:jc w:val="center"/>
              <w:rPr>
                <w:rFonts w:hint="eastAsia"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序号</w:t>
            </w:r>
          </w:p>
        </w:tc>
        <w:tc>
          <w:tcPr>
            <w:tcW w:w="1623" w:type="dxa"/>
            <w:vAlign w:val="center"/>
          </w:tcPr>
          <w:p w14:paraId="3AA98642">
            <w:pPr>
              <w:jc w:val="center"/>
              <w:rPr>
                <w:rFonts w:hint="eastAsia"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关键事项</w:t>
            </w:r>
          </w:p>
        </w:tc>
        <w:tc>
          <w:tcPr>
            <w:tcW w:w="6961" w:type="dxa"/>
            <w:vAlign w:val="center"/>
          </w:tcPr>
          <w:p w14:paraId="149055CA">
            <w:pPr>
              <w:jc w:val="center"/>
              <w:rPr>
                <w:rFonts w:hint="eastAsia"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说明和要求</w:t>
            </w:r>
          </w:p>
        </w:tc>
      </w:tr>
      <w:tr w14:paraId="7019F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0" w:hRule="atLeast"/>
          <w:jc w:val="center"/>
        </w:trPr>
        <w:tc>
          <w:tcPr>
            <w:tcW w:w="998" w:type="dxa"/>
            <w:vAlign w:val="center"/>
          </w:tcPr>
          <w:p w14:paraId="7BE3E51D">
            <w:pPr>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1</w:t>
            </w:r>
          </w:p>
        </w:tc>
        <w:tc>
          <w:tcPr>
            <w:tcW w:w="1623" w:type="dxa"/>
            <w:vAlign w:val="center"/>
          </w:tcPr>
          <w:p w14:paraId="70D98311">
            <w:pPr>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采购预算</w:t>
            </w:r>
          </w:p>
        </w:tc>
        <w:tc>
          <w:tcPr>
            <w:tcW w:w="6961" w:type="dxa"/>
            <w:vAlign w:val="center"/>
          </w:tcPr>
          <w:p w14:paraId="6386233A">
            <w:pPr>
              <w:rPr>
                <w:rFonts w:hint="eastAsia" w:ascii="仿宋_GB2312" w:hAnsi="仿宋_GB2312" w:eastAsia="仿宋_GB2312" w:cs="仿宋_GB2312"/>
                <w:kern w:val="0"/>
                <w:sz w:val="28"/>
                <w:szCs w:val="28"/>
                <w:u w:val="single"/>
              </w:rPr>
            </w:pPr>
            <w:r>
              <w:rPr>
                <w:rFonts w:hint="eastAsia" w:ascii="仿宋_GB2312" w:hAnsi="仿宋_GB2312" w:eastAsia="仿宋_GB2312" w:cs="仿宋_GB2312"/>
                <w:kern w:val="0"/>
                <w:sz w:val="28"/>
                <w:szCs w:val="28"/>
              </w:rPr>
              <w:t>人民币</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single"/>
                <w:lang w:val="en-US" w:eastAsia="zh-CN"/>
              </w:rPr>
              <w:t>37万</w:t>
            </w:r>
            <w:r>
              <w:rPr>
                <w:rFonts w:hint="eastAsia" w:ascii="仿宋_GB2312" w:hAnsi="仿宋_GB2312" w:eastAsia="仿宋_GB2312" w:cs="仿宋_GB2312"/>
                <w:kern w:val="0"/>
                <w:sz w:val="28"/>
                <w:szCs w:val="28"/>
                <w:u w:val="single"/>
              </w:rPr>
              <w:t>元</w:t>
            </w:r>
          </w:p>
          <w:p w14:paraId="2C02523F">
            <w:pPr>
              <w:rPr>
                <w:rFonts w:hint="eastAsia"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仅指与本次采购标的直接相关的费用，前期勘察费、设计费等已发生的费用，以及监理费、接口费等为未来预留费用，不应当包含在本项目采购预算内，甲方须向本级财政部门经费业务处室申请办理经费剥离手续。</w:t>
            </w:r>
          </w:p>
        </w:tc>
      </w:tr>
      <w:tr w14:paraId="0A9DB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6" w:hRule="atLeast"/>
          <w:jc w:val="center"/>
        </w:trPr>
        <w:tc>
          <w:tcPr>
            <w:tcW w:w="998" w:type="dxa"/>
            <w:vAlign w:val="center"/>
          </w:tcPr>
          <w:p w14:paraId="30107DFB">
            <w:pPr>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2</w:t>
            </w:r>
          </w:p>
        </w:tc>
        <w:tc>
          <w:tcPr>
            <w:tcW w:w="1623" w:type="dxa"/>
            <w:vAlign w:val="center"/>
          </w:tcPr>
          <w:p w14:paraId="03BDD96F">
            <w:pPr>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lang w:val="en-US" w:eastAsia="zh-CN"/>
              </w:rPr>
              <w:t>是否包含采购计算机</w:t>
            </w:r>
          </w:p>
        </w:tc>
        <w:tc>
          <w:tcPr>
            <w:tcW w:w="6961" w:type="dxa"/>
            <w:vAlign w:val="center"/>
          </w:tcPr>
          <w:p w14:paraId="4D201783">
            <w:pPr>
              <w:jc w:val="left"/>
              <w:rPr>
                <w:rFonts w:hint="eastAsia" w:ascii="仿宋_GB2312" w:hAnsi="仿宋_GB2312" w:eastAsia="仿宋_GB2312" w:cs="仿宋_GB2312"/>
                <w:kern w:val="0"/>
                <w:sz w:val="28"/>
                <w:szCs w:val="28"/>
                <w:u w:val="none"/>
                <w:lang w:val="en-US" w:eastAsia="zh-CN"/>
              </w:rPr>
            </w:pPr>
            <w:r>
              <w:rPr>
                <w:rFonts w:hint="eastAsia" w:ascii="仿宋_GB2312" w:hAnsi="仿宋_GB2312" w:eastAsia="仿宋_GB2312" w:cs="仿宋_GB2312"/>
                <w:kern w:val="0"/>
                <w:sz w:val="28"/>
                <w:szCs w:val="28"/>
                <w:lang w:val="en-US" w:eastAsia="zh-CN"/>
              </w:rPr>
              <w:t>是否采购计算机</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single"/>
                <w:lang w:val="en-US" w:eastAsia="zh-CN"/>
              </w:rPr>
              <w:t>否</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single"/>
                <w:lang w:val="en-US" w:eastAsia="zh-CN"/>
              </w:rPr>
              <w:t xml:space="preserve">    </w:t>
            </w:r>
            <w:r>
              <w:rPr>
                <w:rFonts w:hint="eastAsia" w:ascii="仿宋_GB2312" w:hAnsi="仿宋_GB2312" w:eastAsia="仿宋_GB2312" w:cs="仿宋_GB2312"/>
                <w:kern w:val="0"/>
                <w:sz w:val="28"/>
                <w:szCs w:val="28"/>
                <w:u w:val="none"/>
                <w:lang w:eastAsia="zh-CN"/>
              </w:rPr>
              <w:t>（</w:t>
            </w:r>
            <w:r>
              <w:rPr>
                <w:rFonts w:hint="eastAsia" w:ascii="仿宋_GB2312" w:hAnsi="仿宋_GB2312" w:eastAsia="仿宋_GB2312" w:cs="仿宋_GB2312"/>
                <w:kern w:val="0"/>
                <w:sz w:val="28"/>
                <w:szCs w:val="28"/>
                <w:u w:val="none"/>
                <w:lang w:val="en-US" w:eastAsia="zh-CN"/>
              </w:rPr>
              <w:t>是/否</w:t>
            </w:r>
            <w:r>
              <w:rPr>
                <w:rFonts w:hint="eastAsia" w:ascii="仿宋_GB2312" w:hAnsi="仿宋_GB2312" w:eastAsia="仿宋_GB2312" w:cs="仿宋_GB2312"/>
                <w:kern w:val="0"/>
                <w:sz w:val="28"/>
                <w:szCs w:val="28"/>
                <w:u w:val="none"/>
                <w:lang w:eastAsia="zh-CN"/>
              </w:rPr>
              <w:t>）</w:t>
            </w:r>
          </w:p>
          <w:p w14:paraId="473FC2A4">
            <w:pPr>
              <w:jc w:val="left"/>
              <w:rPr>
                <w:rFonts w:hint="eastAsia" w:ascii="仿宋_GB2312" w:hAnsi="仿宋_GB2312" w:eastAsia="仿宋_GB2312" w:cs="仿宋_GB2312"/>
                <w:kern w:val="0"/>
                <w:sz w:val="28"/>
                <w:szCs w:val="28"/>
                <w:u w:val="none"/>
              </w:rPr>
            </w:pPr>
            <w:r>
              <w:rPr>
                <w:rFonts w:hint="eastAsia" w:ascii="仿宋_GB2312" w:hAnsi="仿宋_GB2312" w:eastAsia="仿宋_GB2312" w:cs="仿宋_GB2312"/>
                <w:kern w:val="0"/>
                <w:sz w:val="28"/>
                <w:szCs w:val="28"/>
                <w:lang w:val="en-US" w:eastAsia="zh-CN"/>
              </w:rPr>
              <w:t>数量</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single"/>
                <w:lang w:val="en-US" w:eastAsia="zh-CN"/>
              </w:rPr>
              <w:t xml:space="preserve">  </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none"/>
                <w:lang w:eastAsia="zh-CN"/>
              </w:rPr>
              <w:t>（</w:t>
            </w:r>
            <w:r>
              <w:rPr>
                <w:rFonts w:hint="eastAsia" w:ascii="仿宋_GB2312" w:hAnsi="仿宋_GB2312" w:eastAsia="仿宋_GB2312" w:cs="仿宋_GB2312"/>
                <w:kern w:val="0"/>
                <w:sz w:val="28"/>
                <w:szCs w:val="28"/>
                <w:u w:val="none"/>
                <w:lang w:val="en-US" w:eastAsia="zh-CN"/>
              </w:rPr>
              <w:t>台），</w:t>
            </w:r>
            <w:r>
              <w:rPr>
                <w:rFonts w:hint="eastAsia" w:ascii="仿宋_GB2312" w:hAnsi="仿宋_GB2312" w:eastAsia="仿宋_GB2312" w:cs="仿宋_GB2312"/>
                <w:sz w:val="32"/>
                <w:szCs w:val="40"/>
                <w:vertAlign w:val="baseline"/>
                <w:lang w:val="en-US" w:eastAsia="zh-CN"/>
              </w:rPr>
              <w:t>用途：</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single"/>
                <w:lang w:val="en-US" w:eastAsia="zh-CN"/>
              </w:rPr>
              <w:t xml:space="preserve">           </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single"/>
                <w:lang w:val="en-US" w:eastAsia="zh-CN"/>
              </w:rPr>
              <w:t xml:space="preserve">      </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none"/>
                <w:lang w:eastAsia="zh-CN"/>
              </w:rPr>
              <w:t>。</w:t>
            </w:r>
            <w:r>
              <w:rPr>
                <w:rFonts w:hint="eastAsia" w:ascii="仿宋_GB2312" w:hAnsi="仿宋_GB2312" w:eastAsia="仿宋_GB2312" w:cs="仿宋_GB2312"/>
                <w:kern w:val="0"/>
                <w:sz w:val="28"/>
                <w:szCs w:val="28"/>
                <w:u w:val="none"/>
              </w:rPr>
              <w:t xml:space="preserve"> </w:t>
            </w:r>
          </w:p>
          <w:p w14:paraId="30CD6472">
            <w:pPr>
              <w:jc w:val="left"/>
              <w:rPr>
                <w:rFonts w:hint="eastAsia" w:ascii="仿宋_GB2312" w:hAnsi="仿宋_GB2312" w:eastAsia="仿宋_GB2312" w:cs="仿宋_GB2312"/>
                <w:kern w:val="0"/>
                <w:sz w:val="20"/>
                <w:szCs w:val="20"/>
              </w:rPr>
            </w:pPr>
            <w:r>
              <w:rPr>
                <w:rFonts w:hint="eastAsia" w:ascii="仿宋_GB2312" w:hAnsi="仿宋_GB2312" w:eastAsia="仿宋_GB2312" w:cs="仿宋_GB2312"/>
                <w:kern w:val="0"/>
                <w:sz w:val="20"/>
                <w:szCs w:val="20"/>
                <w:u w:val="none"/>
                <w:lang w:val="en-US" w:eastAsia="zh-CN"/>
              </w:rPr>
              <w:t>包含CPU的笔记本、台式、服务器等均视为计算机设备。</w:t>
            </w:r>
            <w:r>
              <w:rPr>
                <w:rFonts w:hint="eastAsia" w:ascii="仿宋_GB2312" w:hAnsi="仿宋_GB2312" w:eastAsia="仿宋_GB2312" w:cs="仿宋_GB2312"/>
                <w:kern w:val="0"/>
                <w:sz w:val="28"/>
                <w:szCs w:val="28"/>
                <w:u w:val="none"/>
                <w:lang w:val="en-US" w:eastAsia="zh-CN"/>
              </w:rPr>
              <w:t xml:space="preserve"> </w:t>
            </w:r>
          </w:p>
        </w:tc>
      </w:tr>
      <w:tr w14:paraId="660BF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6" w:hRule="atLeast"/>
          <w:jc w:val="center"/>
        </w:trPr>
        <w:tc>
          <w:tcPr>
            <w:tcW w:w="998" w:type="dxa"/>
            <w:vMerge w:val="restart"/>
            <w:vAlign w:val="center"/>
          </w:tcPr>
          <w:p w14:paraId="5FF0951F">
            <w:pPr>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3</w:t>
            </w:r>
          </w:p>
        </w:tc>
        <w:tc>
          <w:tcPr>
            <w:tcW w:w="1623" w:type="dxa"/>
            <w:vMerge w:val="restart"/>
            <w:vAlign w:val="center"/>
          </w:tcPr>
          <w:p w14:paraId="2B95C2CB">
            <w:pPr>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项目性质</w:t>
            </w:r>
          </w:p>
        </w:tc>
        <w:tc>
          <w:tcPr>
            <w:tcW w:w="6961" w:type="dxa"/>
            <w:vAlign w:val="center"/>
          </w:tcPr>
          <w:p w14:paraId="2B5EBB3E">
            <w:pP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fldChar w:fldCharType="begin"/>
            </w:r>
            <w:r>
              <w:rPr>
                <w:rFonts w:hint="eastAsia" w:ascii="仿宋_GB2312" w:hAnsi="仿宋_GB2312" w:eastAsia="仿宋_GB2312" w:cs="仿宋_GB2312"/>
                <w:kern w:val="0"/>
                <w:sz w:val="28"/>
                <w:szCs w:val="28"/>
              </w:rPr>
              <w:instrText xml:space="preserve"> EQ \o\ac(</w:instrText>
            </w:r>
            <w:r>
              <w:rPr>
                <w:rFonts w:hint="eastAsia" w:ascii="仿宋_GB2312" w:hAnsi="仿宋_GB2312" w:eastAsia="仿宋_GB2312" w:cs="仿宋_GB2312"/>
                <w:kern w:val="0"/>
                <w:sz w:val="28"/>
                <w:szCs w:val="28"/>
                <w:lang w:val="en-US" w:eastAsia="zh-CN" w:bidi="ar-SA"/>
              </w:rPr>
              <w:instrText xml:space="preserve">○</w:instrText>
            </w:r>
            <w:r>
              <w:rPr>
                <w:rFonts w:hint="eastAsia" w:ascii="仿宋_GB2312" w:hAnsi="仿宋_GB2312" w:eastAsia="仿宋_GB2312" w:cs="仿宋_GB2312"/>
                <w:kern w:val="0"/>
                <w:sz w:val="28"/>
                <w:szCs w:val="28"/>
              </w:rPr>
              <w:instrText xml:space="preserve">,</w:instrText>
            </w:r>
            <w:r>
              <w:rPr>
                <w:rFonts w:hint="eastAsia" w:ascii="仿宋_GB2312" w:hAnsi="仿宋_GB2312" w:eastAsia="仿宋_GB2312" w:cs="仿宋_GB2312"/>
                <w:kern w:val="0"/>
                <w:position w:val="3"/>
                <w:sz w:val="19"/>
                <w:szCs w:val="28"/>
                <w:lang w:val="en-US" w:eastAsia="zh-CN" w:bidi="ar-SA"/>
              </w:rPr>
              <w:instrText xml:space="preserve">√</w:instrText>
            </w:r>
            <w:r>
              <w:rPr>
                <w:rFonts w:hint="eastAsia" w:ascii="仿宋_GB2312" w:hAnsi="仿宋_GB2312" w:eastAsia="仿宋_GB2312" w:cs="仿宋_GB2312"/>
                <w:kern w:val="0"/>
                <w:sz w:val="28"/>
                <w:szCs w:val="28"/>
              </w:rPr>
              <w:instrText xml:space="preserve">)</w:instrText>
            </w:r>
            <w:r>
              <w:rPr>
                <w:rFonts w:hint="eastAsia" w:ascii="仿宋_GB2312" w:hAnsi="仿宋_GB2312" w:eastAsia="仿宋_GB2312" w:cs="仿宋_GB2312"/>
                <w:kern w:val="0"/>
                <w:sz w:val="28"/>
                <w:szCs w:val="28"/>
              </w:rPr>
              <w:fldChar w:fldCharType="end"/>
            </w:r>
            <w:r>
              <w:rPr>
                <w:rFonts w:hint="eastAsia" w:ascii="仿宋_GB2312" w:hAnsi="仿宋_GB2312" w:eastAsia="仿宋_GB2312" w:cs="仿宋_GB2312"/>
                <w:kern w:val="0"/>
                <w:sz w:val="28"/>
                <w:szCs w:val="28"/>
              </w:rPr>
              <w:t>专门面向中小企业采购</w:t>
            </w:r>
          </w:p>
          <w:p w14:paraId="6C41F6AA">
            <w:pP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○专门面向小微企业采购</w:t>
            </w:r>
          </w:p>
          <w:p w14:paraId="39A0B9FD">
            <w:pPr>
              <w:rPr>
                <w:rFonts w:hint="eastAsia"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一般选择专门面向中小企业采购，只允许中、小、微型企业参与投标。</w:t>
            </w:r>
          </w:p>
          <w:p w14:paraId="770E5C0E">
            <w:pPr>
              <w:rPr>
                <w:rFonts w:hint="default"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rPr>
              <w:t>专门面向小微企业采购</w:t>
            </w:r>
            <w:r>
              <w:rPr>
                <w:rFonts w:hint="eastAsia" w:ascii="仿宋_GB2312" w:hAnsi="仿宋_GB2312" w:eastAsia="仿宋_GB2312" w:cs="仿宋_GB2312"/>
                <w:kern w:val="0"/>
                <w:sz w:val="20"/>
                <w:szCs w:val="20"/>
                <w:lang w:eastAsia="zh-CN"/>
              </w:rPr>
              <w:t>，</w:t>
            </w:r>
            <w:r>
              <w:rPr>
                <w:rFonts w:hint="eastAsia" w:ascii="仿宋_GB2312" w:hAnsi="仿宋_GB2312" w:eastAsia="仿宋_GB2312" w:cs="仿宋_GB2312"/>
                <w:kern w:val="0"/>
                <w:sz w:val="20"/>
                <w:szCs w:val="20"/>
                <w:lang w:val="en-US" w:eastAsia="zh-CN"/>
              </w:rPr>
              <w:t>只允许小微企业参与投标。</w:t>
            </w:r>
          </w:p>
        </w:tc>
      </w:tr>
      <w:tr w14:paraId="1D114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1" w:hRule="atLeast"/>
          <w:jc w:val="center"/>
        </w:trPr>
        <w:tc>
          <w:tcPr>
            <w:tcW w:w="998" w:type="dxa"/>
            <w:vMerge w:val="continue"/>
            <w:vAlign w:val="center"/>
          </w:tcPr>
          <w:p w14:paraId="751626A0">
            <w:pPr>
              <w:jc w:val="center"/>
              <w:rPr>
                <w:rFonts w:hint="eastAsia" w:ascii="仿宋_GB2312" w:hAnsi="仿宋_GB2312" w:eastAsia="仿宋_GB2312" w:cs="仿宋_GB2312"/>
                <w:kern w:val="0"/>
                <w:sz w:val="28"/>
                <w:szCs w:val="28"/>
              </w:rPr>
            </w:pPr>
          </w:p>
        </w:tc>
        <w:tc>
          <w:tcPr>
            <w:tcW w:w="1623" w:type="dxa"/>
            <w:vMerge w:val="continue"/>
            <w:vAlign w:val="center"/>
          </w:tcPr>
          <w:p w14:paraId="6DD4BC30">
            <w:pPr>
              <w:jc w:val="center"/>
              <w:rPr>
                <w:rFonts w:hint="eastAsia" w:ascii="仿宋_GB2312" w:hAnsi="仿宋_GB2312" w:eastAsia="仿宋_GB2312" w:cs="仿宋_GB2312"/>
                <w:kern w:val="0"/>
                <w:sz w:val="28"/>
                <w:szCs w:val="28"/>
              </w:rPr>
            </w:pPr>
          </w:p>
        </w:tc>
        <w:tc>
          <w:tcPr>
            <w:tcW w:w="6961" w:type="dxa"/>
            <w:vAlign w:val="center"/>
          </w:tcPr>
          <w:p w14:paraId="53E889F7">
            <w:pPr>
              <w:rPr>
                <w:rFonts w:hint="eastAsia" w:ascii="仿宋_GB2312" w:hAnsi="仿宋_GB2312" w:eastAsia="仿宋_GB2312" w:cs="仿宋_GB2312"/>
                <w:b/>
                <w:bCs/>
                <w:kern w:val="0"/>
                <w:sz w:val="28"/>
                <w:szCs w:val="28"/>
                <w:lang w:eastAsia="zh-CN"/>
              </w:rPr>
            </w:pPr>
            <w:r>
              <w:rPr>
                <w:rFonts w:hint="eastAsia" w:ascii="仿宋_GB2312" w:hAnsi="仿宋_GB2312" w:eastAsia="仿宋_GB2312" w:cs="仿宋_GB2312"/>
                <w:kern w:val="0"/>
                <w:sz w:val="28"/>
                <w:szCs w:val="28"/>
              </w:rPr>
              <w:t>○非专门面向中小企业采购</w:t>
            </w:r>
            <w:r>
              <w:rPr>
                <w:rFonts w:hint="eastAsia" w:ascii="仿宋_GB2312" w:hAnsi="仿宋_GB2312" w:eastAsia="仿宋_GB2312" w:cs="仿宋_GB2312"/>
                <w:b/>
                <w:bCs/>
                <w:kern w:val="0"/>
                <w:sz w:val="28"/>
                <w:szCs w:val="28"/>
                <w:lang w:val="en-US" w:eastAsia="zh-CN"/>
              </w:rPr>
              <w:t>(需填写最后一页的说明表)</w:t>
            </w:r>
          </w:p>
          <w:p w14:paraId="5C74A316">
            <w:pPr>
              <w:rPr>
                <w:rFonts w:hint="eastAsia"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选择此项</w:t>
            </w:r>
            <w:r>
              <w:rPr>
                <w:rFonts w:hint="eastAsia" w:ascii="仿宋_GB2312" w:hAnsi="仿宋_GB2312" w:eastAsia="仿宋_GB2312" w:cs="仿宋_GB2312"/>
                <w:kern w:val="0"/>
                <w:sz w:val="20"/>
                <w:szCs w:val="20"/>
                <w:lang w:val="en-US" w:eastAsia="zh-CN"/>
              </w:rPr>
              <w:t>是允许大、中、小和微型企业都可以进行投标。</w:t>
            </w:r>
            <w:r>
              <w:rPr>
                <w:rFonts w:hint="eastAsia" w:ascii="仿宋_GB2312" w:hAnsi="仿宋_GB2312" w:eastAsia="仿宋_GB2312" w:cs="仿宋_GB2312"/>
                <w:kern w:val="0"/>
                <w:sz w:val="20"/>
                <w:szCs w:val="20"/>
              </w:rPr>
              <w:t>需要单独填写不专门面向中小企业情况说明表。</w:t>
            </w:r>
          </w:p>
          <w:p w14:paraId="74BD1223">
            <w:pPr>
              <w:rPr>
                <w:rFonts w:hint="eastAsia" w:ascii="仿宋_GB2312" w:hAnsi="仿宋_GB2312" w:eastAsia="仿宋_GB2312" w:cs="仿宋_GB2312"/>
                <w:kern w:val="0"/>
                <w:sz w:val="20"/>
                <w:szCs w:val="20"/>
              </w:rPr>
            </w:pPr>
            <w:r>
              <w:rPr>
                <w:rFonts w:hint="eastAsia" w:ascii="仿宋_GB2312" w:hAnsi="仿宋_GB2312" w:eastAsia="仿宋_GB2312" w:cs="仿宋_GB2312"/>
                <w:kern w:val="0"/>
                <w:sz w:val="20"/>
                <w:szCs w:val="20"/>
                <w:lang w:val="en-US" w:eastAsia="zh-CN"/>
              </w:rPr>
              <w:t>例如采购包含服务器、交换机、防火墙、大型专用等设备，中小企业无法生产的要选择这个。</w:t>
            </w:r>
          </w:p>
        </w:tc>
      </w:tr>
      <w:tr w14:paraId="66E73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27" w:hRule="atLeast"/>
          <w:jc w:val="center"/>
        </w:trPr>
        <w:tc>
          <w:tcPr>
            <w:tcW w:w="998" w:type="dxa"/>
            <w:vAlign w:val="center"/>
          </w:tcPr>
          <w:p w14:paraId="3BF01798">
            <w:pPr>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4</w:t>
            </w:r>
          </w:p>
        </w:tc>
        <w:tc>
          <w:tcPr>
            <w:tcW w:w="1623" w:type="dxa"/>
            <w:vAlign w:val="center"/>
          </w:tcPr>
          <w:p w14:paraId="04C5EB81">
            <w:pPr>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对供应商的资格要求</w:t>
            </w:r>
          </w:p>
        </w:tc>
        <w:tc>
          <w:tcPr>
            <w:tcW w:w="6961" w:type="dxa"/>
            <w:vAlign w:val="center"/>
          </w:tcPr>
          <w:p w14:paraId="7B6D9F10">
            <w:pPr>
              <w:spacing w:line="480" w:lineRule="exact"/>
              <w:rPr>
                <w:rFonts w:hint="eastAsia" w:ascii="宋体" w:hAnsi="宋体" w:eastAsia="宋体" w:cs="宋体"/>
                <w:kern w:val="0"/>
                <w:sz w:val="22"/>
                <w:szCs w:val="22"/>
                <w:highlight w:val="none"/>
                <w:lang w:val="en-US" w:eastAsia="zh-CN"/>
              </w:rPr>
            </w:pPr>
            <w:r>
              <w:rPr>
                <w:rFonts w:hint="eastAsia" w:ascii="宋体" w:hAnsi="宋体" w:eastAsia="宋体" w:cs="宋体"/>
                <w:kern w:val="0"/>
                <w:sz w:val="22"/>
                <w:szCs w:val="22"/>
                <w:highlight w:val="none"/>
                <w:lang w:val="en-US" w:eastAsia="zh-CN"/>
              </w:rPr>
              <w:t>1.有独立承担民事责任能力的法人、其他组织或自然人，并出具合法有效的营业执照或事业单位法人证书等国家规定的相关证明，自然人参与的提供其身份证明；</w:t>
            </w:r>
          </w:p>
          <w:p w14:paraId="7E202B06">
            <w:pPr>
              <w:spacing w:line="480" w:lineRule="exact"/>
              <w:rPr>
                <w:rFonts w:hint="eastAsia" w:ascii="宋体" w:hAnsi="宋体" w:eastAsia="宋体" w:cs="宋体"/>
                <w:kern w:val="0"/>
                <w:sz w:val="22"/>
                <w:szCs w:val="22"/>
                <w:highlight w:val="none"/>
                <w:lang w:val="en-US" w:eastAsia="zh-CN"/>
              </w:rPr>
            </w:pPr>
            <w:r>
              <w:rPr>
                <w:rFonts w:hint="eastAsia" w:ascii="宋体" w:hAnsi="宋体" w:eastAsia="宋体" w:cs="宋体"/>
                <w:kern w:val="0"/>
                <w:sz w:val="22"/>
                <w:szCs w:val="22"/>
                <w:highlight w:val="none"/>
                <w:lang w:val="en-US" w:eastAsia="zh-CN"/>
              </w:rPr>
              <w:t>2.提供法定代表人授权书及法定代表人证明书（法定代表人谈判时不需提供授权书，须出具法人身份证，并与营业执照上信息一致）；</w:t>
            </w:r>
          </w:p>
          <w:p w14:paraId="3EFF81AA">
            <w:pPr>
              <w:spacing w:line="480" w:lineRule="exact"/>
              <w:rPr>
                <w:rFonts w:hint="eastAsia" w:ascii="宋体" w:hAnsi="宋体" w:eastAsia="宋体" w:cs="宋体"/>
                <w:kern w:val="0"/>
                <w:sz w:val="22"/>
                <w:szCs w:val="22"/>
                <w:highlight w:val="none"/>
                <w:lang w:val="en-US" w:eastAsia="zh-CN"/>
              </w:rPr>
            </w:pPr>
            <w:r>
              <w:rPr>
                <w:rFonts w:hint="eastAsia" w:ascii="宋体" w:hAnsi="宋体" w:eastAsia="宋体" w:cs="宋体"/>
                <w:kern w:val="0"/>
                <w:sz w:val="22"/>
                <w:szCs w:val="22"/>
                <w:highlight w:val="none"/>
                <w:lang w:val="en-US" w:eastAsia="zh-CN"/>
              </w:rPr>
              <w:t>3.提供赋码的2025年度财务审计报告（提供的财务审计报告需在注册会计师行业统一监管平台（http：//acc.mof.gov.cn/）可查询）或其基本存款账户开户银行出具的开标前三个月内资信证明及基本存款账户的开户证明；</w:t>
            </w:r>
          </w:p>
          <w:p w14:paraId="3C34917A">
            <w:pPr>
              <w:spacing w:line="480" w:lineRule="exact"/>
              <w:rPr>
                <w:rFonts w:hint="eastAsia" w:ascii="宋体" w:hAnsi="宋体" w:eastAsia="宋体" w:cs="宋体"/>
                <w:kern w:val="0"/>
                <w:sz w:val="22"/>
                <w:szCs w:val="22"/>
                <w:highlight w:val="none"/>
                <w:lang w:val="en-US" w:eastAsia="zh-CN"/>
              </w:rPr>
            </w:pPr>
            <w:r>
              <w:rPr>
                <w:rFonts w:hint="eastAsia" w:ascii="宋体" w:hAnsi="宋体" w:eastAsia="宋体" w:cs="宋体"/>
                <w:kern w:val="0"/>
                <w:sz w:val="22"/>
                <w:szCs w:val="22"/>
                <w:highlight w:val="none"/>
                <w:lang w:val="en-US" w:eastAsia="zh-CN"/>
              </w:rPr>
              <w:t>4.提供近一年任意一个月的社会保障资金缴存单据或社保机构开具的社会保险参保缴费情况证明，依法不需要缴纳社会保障资金的单位应提供相关证明材料；</w:t>
            </w:r>
          </w:p>
          <w:p w14:paraId="2FC91D57">
            <w:pPr>
              <w:spacing w:line="480" w:lineRule="exact"/>
              <w:rPr>
                <w:rFonts w:hint="eastAsia" w:ascii="宋体" w:hAnsi="宋体" w:eastAsia="宋体" w:cs="宋体"/>
                <w:kern w:val="0"/>
                <w:sz w:val="22"/>
                <w:szCs w:val="22"/>
                <w:highlight w:val="none"/>
                <w:lang w:val="en-US" w:eastAsia="zh-CN"/>
              </w:rPr>
            </w:pPr>
            <w:r>
              <w:rPr>
                <w:rFonts w:hint="eastAsia" w:ascii="宋体" w:hAnsi="宋体" w:eastAsia="宋体" w:cs="宋体"/>
                <w:kern w:val="0"/>
                <w:sz w:val="22"/>
                <w:szCs w:val="22"/>
                <w:highlight w:val="none"/>
                <w:lang w:val="en-US" w:eastAsia="zh-CN"/>
              </w:rPr>
              <w:t>5.提供近一年任意一个月的纳税证明或完税证明，依法免税的单位应提供相关证明材料；</w:t>
            </w:r>
          </w:p>
          <w:p w14:paraId="18D6B7D3">
            <w:pPr>
              <w:spacing w:line="480" w:lineRule="exact"/>
              <w:rPr>
                <w:rFonts w:hint="eastAsia" w:ascii="宋体" w:hAnsi="宋体" w:eastAsia="宋体" w:cs="宋体"/>
                <w:kern w:val="0"/>
                <w:sz w:val="22"/>
                <w:szCs w:val="22"/>
                <w:highlight w:val="none"/>
                <w:lang w:val="en-US" w:eastAsia="zh-CN"/>
              </w:rPr>
            </w:pPr>
            <w:r>
              <w:rPr>
                <w:rFonts w:hint="eastAsia" w:ascii="宋体" w:hAnsi="宋体" w:eastAsia="宋体" w:cs="宋体"/>
                <w:kern w:val="0"/>
                <w:sz w:val="22"/>
                <w:szCs w:val="22"/>
                <w:highlight w:val="none"/>
                <w:lang w:val="en-US" w:eastAsia="zh-CN"/>
              </w:rPr>
              <w:t>6.参加本次政府采购活动前三年内，在经营活动中没有重大违法记录的书面声明；</w:t>
            </w:r>
          </w:p>
          <w:p w14:paraId="2566B4BF">
            <w:pPr>
              <w:spacing w:line="480" w:lineRule="exact"/>
              <w:rPr>
                <w:rFonts w:hint="eastAsia" w:ascii="宋体" w:hAnsi="宋体" w:eastAsia="宋体" w:cs="宋体"/>
                <w:kern w:val="0"/>
                <w:sz w:val="22"/>
                <w:szCs w:val="22"/>
                <w:highlight w:val="none"/>
                <w:lang w:val="en-US" w:eastAsia="zh-CN"/>
              </w:rPr>
            </w:pPr>
            <w:r>
              <w:rPr>
                <w:rFonts w:hint="eastAsia" w:ascii="宋体" w:hAnsi="宋体" w:eastAsia="宋体" w:cs="宋体"/>
                <w:kern w:val="0"/>
                <w:sz w:val="22"/>
                <w:szCs w:val="22"/>
                <w:highlight w:val="none"/>
                <w:lang w:val="en-US" w:eastAsia="zh-CN"/>
              </w:rPr>
              <w:t>7.供应商具有履行本合同所必需的专业技术能力的说明及承诺；</w:t>
            </w:r>
          </w:p>
          <w:p w14:paraId="5B5FEE68">
            <w:pPr>
              <w:spacing w:line="480" w:lineRule="exact"/>
              <w:rPr>
                <w:rFonts w:hint="eastAsia" w:ascii="宋体" w:hAnsi="宋体" w:eastAsia="宋体" w:cs="宋体"/>
                <w:kern w:val="0"/>
                <w:sz w:val="22"/>
                <w:szCs w:val="22"/>
                <w:highlight w:val="none"/>
                <w:lang w:val="en-US" w:eastAsia="zh-CN"/>
              </w:rPr>
            </w:pPr>
            <w:r>
              <w:rPr>
                <w:rFonts w:hint="eastAsia" w:ascii="宋体" w:hAnsi="宋体" w:eastAsia="宋体" w:cs="宋体"/>
                <w:kern w:val="0"/>
                <w:sz w:val="22"/>
                <w:szCs w:val="22"/>
                <w:highlight w:val="none"/>
                <w:lang w:val="en-US" w:eastAsia="zh-CN"/>
              </w:rPr>
              <w:t>8.供应商不得为“信用中国”网站中被列入失信被执行人、重大税收违法失信主体名单，不得被列为“中国政府采购网”中政府采购严重违法失信行为记录名单（不强制要求供应商提供查询截图，以开标现场查询结果为评审依据）；</w:t>
            </w:r>
          </w:p>
          <w:p w14:paraId="20391357">
            <w:pPr>
              <w:spacing w:line="480" w:lineRule="exact"/>
              <w:rPr>
                <w:rFonts w:hint="eastAsia" w:ascii="仿宋_GB2312" w:hAnsi="仿宋_GB2312" w:eastAsia="仿宋_GB2312" w:cs="仿宋_GB2312"/>
                <w:kern w:val="0"/>
                <w:sz w:val="28"/>
                <w:szCs w:val="28"/>
                <w:highlight w:val="none"/>
              </w:rPr>
            </w:pPr>
            <w:r>
              <w:rPr>
                <w:rFonts w:hint="eastAsia" w:ascii="宋体" w:hAnsi="宋体" w:eastAsia="宋体" w:cs="宋体"/>
                <w:kern w:val="0"/>
                <w:sz w:val="22"/>
                <w:szCs w:val="22"/>
                <w:highlight w:val="none"/>
                <w:lang w:val="en-US" w:eastAsia="zh-CN"/>
              </w:rPr>
              <w:t>9.单位负责人为同一人或者存在直接控股、管理关系的不同供应商，不得参加本次采购活动</w:t>
            </w:r>
            <w:r>
              <w:rPr>
                <w:rFonts w:hint="eastAsia" w:ascii="仿宋_GB2312" w:hAnsi="仿宋_GB2312" w:eastAsia="仿宋_GB2312" w:cs="仿宋_GB2312"/>
                <w:kern w:val="0"/>
                <w:sz w:val="28"/>
                <w:szCs w:val="28"/>
                <w:highlight w:val="none"/>
              </w:rPr>
              <w:t>。</w:t>
            </w:r>
          </w:p>
          <w:p w14:paraId="3672A315">
            <w:pPr>
              <w:rPr>
                <w:rFonts w:hint="eastAsia" w:ascii="仿宋_GB2312" w:hAnsi="仿宋_GB2312" w:eastAsia="仿宋_GB2312" w:cs="仿宋_GB2312"/>
                <w:kern w:val="0"/>
                <w:sz w:val="20"/>
                <w:szCs w:val="20"/>
                <w:highlight w:val="none"/>
              </w:rPr>
            </w:pPr>
            <w:r>
              <w:rPr>
                <w:rFonts w:hint="eastAsia" w:ascii="仿宋_GB2312" w:hAnsi="仿宋_GB2312" w:eastAsia="仿宋_GB2312" w:cs="仿宋_GB2312"/>
                <w:kern w:val="0"/>
                <w:sz w:val="20"/>
                <w:szCs w:val="20"/>
                <w:highlight w:val="none"/>
              </w:rPr>
              <w:t>根据《政府采购促进中小企业发展管理办法》的规定，不得以企业注册资本、资产总额、营业收入、从业人员、利润、纳税额等规模条件和财务指标作为供应商的资格要求或者评审因素，不得在企业股权结构、经营年限等方面对中小企业实行差别待遇或者歧视待遇。</w:t>
            </w:r>
          </w:p>
        </w:tc>
      </w:tr>
      <w:tr w14:paraId="5298C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8" w:hRule="atLeast"/>
          <w:jc w:val="center"/>
        </w:trPr>
        <w:tc>
          <w:tcPr>
            <w:tcW w:w="998" w:type="dxa"/>
            <w:vMerge w:val="restart"/>
            <w:vAlign w:val="center"/>
          </w:tcPr>
          <w:p w14:paraId="4EAB9091">
            <w:pPr>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5</w:t>
            </w:r>
          </w:p>
        </w:tc>
        <w:tc>
          <w:tcPr>
            <w:tcW w:w="1623" w:type="dxa"/>
            <w:vMerge w:val="restart"/>
            <w:vAlign w:val="center"/>
          </w:tcPr>
          <w:p w14:paraId="26D5F394">
            <w:pPr>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是否接受联合体投标</w:t>
            </w:r>
          </w:p>
        </w:tc>
        <w:tc>
          <w:tcPr>
            <w:tcW w:w="6961" w:type="dxa"/>
            <w:vAlign w:val="center"/>
          </w:tcPr>
          <w:p w14:paraId="78EE33A1">
            <w:pP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○接受</w:t>
            </w:r>
          </w:p>
          <w:p w14:paraId="653F9089">
            <w:pPr>
              <w:rPr>
                <w:rFonts w:hint="eastAsia"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对于联合体协议或者分包意向协议约定小微企业的合同份额占到合同总金额30%以上的，对联合体或者大中型企业的报价给予%(2%-3%）的扣除，用扣除后的报价参加评审。</w:t>
            </w:r>
          </w:p>
        </w:tc>
      </w:tr>
      <w:tr w14:paraId="6D911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4" w:hRule="atLeast"/>
          <w:jc w:val="center"/>
        </w:trPr>
        <w:tc>
          <w:tcPr>
            <w:tcW w:w="998" w:type="dxa"/>
            <w:vMerge w:val="continue"/>
            <w:vAlign w:val="center"/>
          </w:tcPr>
          <w:p w14:paraId="4AB3D35F">
            <w:pPr>
              <w:jc w:val="center"/>
              <w:rPr>
                <w:rFonts w:hint="eastAsia" w:ascii="仿宋_GB2312" w:hAnsi="仿宋_GB2312" w:eastAsia="仿宋_GB2312" w:cs="仿宋_GB2312"/>
                <w:kern w:val="0"/>
                <w:sz w:val="28"/>
                <w:szCs w:val="28"/>
              </w:rPr>
            </w:pPr>
          </w:p>
        </w:tc>
        <w:tc>
          <w:tcPr>
            <w:tcW w:w="1623" w:type="dxa"/>
            <w:vMerge w:val="continue"/>
            <w:vAlign w:val="center"/>
          </w:tcPr>
          <w:p w14:paraId="6FC0CF2E">
            <w:pPr>
              <w:jc w:val="center"/>
              <w:rPr>
                <w:rFonts w:hint="eastAsia" w:ascii="仿宋_GB2312" w:hAnsi="仿宋_GB2312" w:eastAsia="仿宋_GB2312" w:cs="仿宋_GB2312"/>
                <w:kern w:val="0"/>
                <w:sz w:val="28"/>
                <w:szCs w:val="28"/>
              </w:rPr>
            </w:pPr>
          </w:p>
        </w:tc>
        <w:tc>
          <w:tcPr>
            <w:tcW w:w="6961" w:type="dxa"/>
            <w:vAlign w:val="center"/>
          </w:tcPr>
          <w:p w14:paraId="52D91896">
            <w:pP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fldChar w:fldCharType="begin"/>
            </w:r>
            <w:r>
              <w:rPr>
                <w:rFonts w:hint="eastAsia" w:ascii="仿宋_GB2312" w:hAnsi="仿宋_GB2312" w:eastAsia="仿宋_GB2312" w:cs="仿宋_GB2312"/>
                <w:kern w:val="0"/>
                <w:sz w:val="28"/>
                <w:szCs w:val="28"/>
              </w:rPr>
              <w:instrText xml:space="preserve"> EQ \o\ac(</w:instrText>
            </w:r>
            <w:r>
              <w:rPr>
                <w:rFonts w:hint="eastAsia" w:ascii="仿宋_GB2312" w:hAnsi="仿宋_GB2312" w:eastAsia="仿宋_GB2312" w:cs="仿宋_GB2312"/>
                <w:kern w:val="0"/>
                <w:sz w:val="28"/>
                <w:szCs w:val="28"/>
                <w:lang w:val="en-US" w:eastAsia="zh-CN" w:bidi="ar-SA"/>
              </w:rPr>
              <w:instrText xml:space="preserve">○</w:instrText>
            </w:r>
            <w:r>
              <w:rPr>
                <w:rFonts w:hint="eastAsia" w:ascii="仿宋_GB2312" w:hAnsi="仿宋_GB2312" w:eastAsia="仿宋_GB2312" w:cs="仿宋_GB2312"/>
                <w:kern w:val="0"/>
                <w:sz w:val="28"/>
                <w:szCs w:val="28"/>
              </w:rPr>
              <w:instrText xml:space="preserve">,</w:instrText>
            </w:r>
            <w:r>
              <w:rPr>
                <w:rFonts w:hint="eastAsia" w:ascii="仿宋_GB2312" w:hAnsi="仿宋_GB2312" w:eastAsia="仿宋_GB2312" w:cs="仿宋_GB2312"/>
                <w:kern w:val="0"/>
                <w:position w:val="3"/>
                <w:sz w:val="19"/>
                <w:szCs w:val="28"/>
                <w:lang w:val="en-US" w:eastAsia="zh-CN" w:bidi="ar-SA"/>
              </w:rPr>
              <w:instrText xml:space="preserve">√</w:instrText>
            </w:r>
            <w:r>
              <w:rPr>
                <w:rFonts w:hint="eastAsia" w:ascii="仿宋_GB2312" w:hAnsi="仿宋_GB2312" w:eastAsia="仿宋_GB2312" w:cs="仿宋_GB2312"/>
                <w:kern w:val="0"/>
                <w:sz w:val="28"/>
                <w:szCs w:val="28"/>
              </w:rPr>
              <w:instrText xml:space="preserve">)</w:instrText>
            </w:r>
            <w:r>
              <w:rPr>
                <w:rFonts w:hint="eastAsia" w:ascii="仿宋_GB2312" w:hAnsi="仿宋_GB2312" w:eastAsia="仿宋_GB2312" w:cs="仿宋_GB2312"/>
                <w:kern w:val="0"/>
                <w:sz w:val="28"/>
                <w:szCs w:val="28"/>
              </w:rPr>
              <w:fldChar w:fldCharType="end"/>
            </w:r>
            <w:r>
              <w:rPr>
                <w:rFonts w:hint="eastAsia" w:ascii="仿宋_GB2312" w:hAnsi="仿宋_GB2312" w:eastAsia="仿宋_GB2312" w:cs="仿宋_GB2312"/>
                <w:kern w:val="0"/>
                <w:sz w:val="28"/>
                <w:szCs w:val="28"/>
              </w:rPr>
              <w:t>不接受</w:t>
            </w:r>
          </w:p>
          <w:p w14:paraId="328D4E74">
            <w:pPr>
              <w:rPr>
                <w:rFonts w:hint="eastAsia" w:ascii="仿宋_GB2312" w:hAnsi="仿宋_GB2312" w:eastAsia="仿宋_GB2312" w:cs="仿宋_GB2312"/>
                <w:kern w:val="0"/>
                <w:sz w:val="28"/>
                <w:szCs w:val="28"/>
                <w:lang w:val="en-US" w:eastAsia="zh-CN"/>
              </w:rPr>
            </w:pPr>
            <w:r>
              <w:rPr>
                <w:rFonts w:hint="eastAsia" w:ascii="仿宋_GB2312" w:hAnsi="仿宋_GB2312" w:eastAsia="仿宋_GB2312" w:cs="仿宋_GB2312"/>
                <w:kern w:val="0"/>
                <w:sz w:val="21"/>
                <w:szCs w:val="21"/>
                <w:lang w:val="en-US" w:eastAsia="zh-CN"/>
              </w:rPr>
              <w:t>一般选择不接受联合体投标。</w:t>
            </w:r>
          </w:p>
        </w:tc>
      </w:tr>
      <w:tr w14:paraId="53A04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7" w:hRule="atLeast"/>
          <w:jc w:val="center"/>
        </w:trPr>
        <w:tc>
          <w:tcPr>
            <w:tcW w:w="998" w:type="dxa"/>
            <w:vAlign w:val="center"/>
          </w:tcPr>
          <w:p w14:paraId="72FFCE9D">
            <w:pPr>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6</w:t>
            </w:r>
          </w:p>
        </w:tc>
        <w:tc>
          <w:tcPr>
            <w:tcW w:w="1623" w:type="dxa"/>
            <w:vAlign w:val="center"/>
          </w:tcPr>
          <w:p w14:paraId="5AA65525">
            <w:pPr>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履约保证金</w:t>
            </w:r>
          </w:p>
        </w:tc>
        <w:tc>
          <w:tcPr>
            <w:tcW w:w="6961" w:type="dxa"/>
            <w:vAlign w:val="center"/>
          </w:tcPr>
          <w:p w14:paraId="054FB63B">
            <w:pPr>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占政府采购合同金额</w:t>
            </w:r>
            <w:r>
              <w:rPr>
                <w:rFonts w:hint="eastAsia" w:ascii="仿宋_GB2312" w:hAnsi="仿宋_GB2312" w:eastAsia="仿宋_GB2312" w:cs="仿宋_GB2312"/>
                <w:color w:val="auto"/>
                <w:kern w:val="0"/>
                <w:sz w:val="28"/>
                <w:szCs w:val="28"/>
                <w:highlight w:val="none"/>
              </w:rPr>
              <w:t>的</w:t>
            </w:r>
            <w:r>
              <w:rPr>
                <w:rFonts w:hint="eastAsia" w:ascii="仿宋_GB2312" w:hAnsi="仿宋_GB2312" w:eastAsia="仿宋_GB2312" w:cs="仿宋_GB2312"/>
                <w:color w:val="auto"/>
                <w:kern w:val="0"/>
                <w:sz w:val="28"/>
                <w:szCs w:val="28"/>
                <w:highlight w:val="none"/>
                <w:u w:val="single"/>
              </w:rPr>
              <w:t xml:space="preserve"> </w:t>
            </w:r>
            <w:r>
              <w:rPr>
                <w:rFonts w:hint="eastAsia" w:ascii="仿宋_GB2312" w:hAnsi="仿宋_GB2312" w:eastAsia="仿宋_GB2312" w:cs="仿宋_GB2312"/>
                <w:color w:val="auto"/>
                <w:kern w:val="0"/>
                <w:sz w:val="28"/>
                <w:szCs w:val="28"/>
                <w:highlight w:val="none"/>
                <w:u w:val="single"/>
                <w:lang w:val="en-US" w:eastAsia="zh-CN"/>
              </w:rPr>
              <w:t>5</w:t>
            </w:r>
            <w:r>
              <w:rPr>
                <w:rFonts w:hint="eastAsia" w:ascii="仿宋_GB2312" w:hAnsi="仿宋_GB2312" w:eastAsia="仿宋_GB2312" w:cs="仿宋_GB2312"/>
                <w:color w:val="auto"/>
                <w:kern w:val="0"/>
                <w:sz w:val="28"/>
                <w:szCs w:val="28"/>
                <w:highlight w:val="none"/>
                <w:u w:val="single"/>
              </w:rPr>
              <w:t xml:space="preserve"> </w:t>
            </w:r>
            <w:r>
              <w:rPr>
                <w:rFonts w:hint="eastAsia" w:ascii="仿宋_GB2312" w:hAnsi="仿宋_GB2312" w:eastAsia="仿宋_GB2312" w:cs="仿宋_GB2312"/>
                <w:color w:val="auto"/>
                <w:kern w:val="0"/>
                <w:sz w:val="28"/>
                <w:szCs w:val="28"/>
                <w:highlight w:val="none"/>
              </w:rPr>
              <w:t xml:space="preserve"> %</w:t>
            </w:r>
          </w:p>
          <w:p w14:paraId="3DFE6E21">
            <w:pPr>
              <w:rPr>
                <w:rFonts w:hint="eastAsia" w:ascii="仿宋_GB2312" w:hAnsi="仿宋_GB2312" w:eastAsia="仿宋_GB2312" w:cs="仿宋_GB2312"/>
                <w:kern w:val="0"/>
                <w:sz w:val="20"/>
                <w:szCs w:val="20"/>
                <w:highlight w:val="none"/>
                <w:lang w:eastAsia="zh-CN"/>
              </w:rPr>
            </w:pPr>
            <w:r>
              <w:rPr>
                <w:rFonts w:hint="eastAsia" w:ascii="仿宋_GB2312" w:hAnsi="仿宋_GB2312" w:eastAsia="仿宋_GB2312" w:cs="仿宋_GB2312"/>
                <w:kern w:val="0"/>
                <w:sz w:val="20"/>
                <w:szCs w:val="20"/>
                <w:highlight w:val="none"/>
                <w:lang w:val="en-US" w:eastAsia="zh-CN"/>
              </w:rPr>
              <w:t>（一般为采购合同金额的5%，特殊情况也可以设置范围为0-10</w:t>
            </w:r>
            <w:r>
              <w:rPr>
                <w:rFonts w:hint="eastAsia" w:ascii="仿宋_GB2312" w:hAnsi="仿宋_GB2312" w:eastAsia="仿宋_GB2312" w:cs="仿宋_GB2312"/>
                <w:kern w:val="0"/>
                <w:sz w:val="20"/>
                <w:szCs w:val="20"/>
                <w:highlight w:val="none"/>
              </w:rPr>
              <w:t>%</w:t>
            </w:r>
            <w:r>
              <w:rPr>
                <w:rFonts w:hint="eastAsia" w:ascii="仿宋_GB2312" w:hAnsi="仿宋_GB2312" w:eastAsia="仿宋_GB2312" w:cs="仿宋_GB2312"/>
                <w:kern w:val="0"/>
                <w:sz w:val="20"/>
                <w:szCs w:val="20"/>
                <w:highlight w:val="none"/>
                <w:lang w:eastAsia="zh-CN"/>
              </w:rPr>
              <w:t>）</w:t>
            </w:r>
          </w:p>
        </w:tc>
      </w:tr>
      <w:tr w14:paraId="46731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0" w:hRule="atLeast"/>
          <w:jc w:val="center"/>
        </w:trPr>
        <w:tc>
          <w:tcPr>
            <w:tcW w:w="998" w:type="dxa"/>
            <w:vAlign w:val="center"/>
          </w:tcPr>
          <w:p w14:paraId="34B7B5EA">
            <w:pPr>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7</w:t>
            </w:r>
          </w:p>
        </w:tc>
        <w:tc>
          <w:tcPr>
            <w:tcW w:w="1623" w:type="dxa"/>
            <w:vAlign w:val="center"/>
          </w:tcPr>
          <w:p w14:paraId="181571C0">
            <w:pPr>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集中</w:t>
            </w:r>
          </w:p>
          <w:p w14:paraId="28DBCBB7">
            <w:pPr>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踏勘</w:t>
            </w:r>
            <w:r>
              <w:rPr>
                <w:rFonts w:hint="eastAsia" w:ascii="仿宋_GB2312" w:hAnsi="仿宋_GB2312" w:eastAsia="仿宋_GB2312" w:cs="仿宋_GB2312"/>
                <w:kern w:val="0"/>
                <w:sz w:val="28"/>
                <w:szCs w:val="28"/>
                <w:lang w:val="en-US" w:eastAsia="zh-CN"/>
              </w:rPr>
              <w:t>和</w:t>
            </w:r>
            <w:r>
              <w:rPr>
                <w:rFonts w:hint="eastAsia" w:ascii="仿宋_GB2312" w:hAnsi="仿宋_GB2312" w:eastAsia="仿宋_GB2312" w:cs="仿宋_GB2312"/>
                <w:kern w:val="0"/>
                <w:sz w:val="28"/>
                <w:szCs w:val="28"/>
              </w:rPr>
              <w:t>答疑</w:t>
            </w:r>
          </w:p>
        </w:tc>
        <w:tc>
          <w:tcPr>
            <w:tcW w:w="6961" w:type="dxa"/>
            <w:vAlign w:val="center"/>
          </w:tcPr>
          <w:p w14:paraId="28C20EE9">
            <w:pPr>
              <w:rPr>
                <w:rFonts w:hint="eastAsia" w:ascii="仿宋_GB2312" w:hAnsi="仿宋_GB2312" w:eastAsia="仿宋_GB2312" w:cs="仿宋_GB2312"/>
                <w:kern w:val="0"/>
                <w:sz w:val="28"/>
                <w:szCs w:val="28"/>
                <w:u w:val="single"/>
              </w:rPr>
            </w:pPr>
            <w:r>
              <w:rPr>
                <w:rFonts w:hint="eastAsia" w:ascii="仿宋_GB2312" w:hAnsi="仿宋_GB2312" w:eastAsia="仿宋_GB2312" w:cs="仿宋_GB2312"/>
                <w:kern w:val="0"/>
                <w:sz w:val="28"/>
                <w:szCs w:val="28"/>
              </w:rPr>
              <w:t>○组织，答疑地点为：</w:t>
            </w:r>
          </w:p>
          <w:p w14:paraId="37C2C7AD">
            <w:pP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fldChar w:fldCharType="begin"/>
            </w:r>
            <w:r>
              <w:rPr>
                <w:rFonts w:hint="eastAsia" w:ascii="仿宋_GB2312" w:hAnsi="仿宋_GB2312" w:eastAsia="仿宋_GB2312" w:cs="仿宋_GB2312"/>
                <w:kern w:val="0"/>
                <w:sz w:val="28"/>
                <w:szCs w:val="28"/>
              </w:rPr>
              <w:instrText xml:space="preserve"> EQ \o\ac(</w:instrText>
            </w:r>
            <w:r>
              <w:rPr>
                <w:rFonts w:hint="eastAsia" w:ascii="仿宋_GB2312" w:hAnsi="仿宋_GB2312" w:eastAsia="仿宋_GB2312" w:cs="仿宋_GB2312"/>
                <w:kern w:val="0"/>
                <w:sz w:val="28"/>
                <w:szCs w:val="28"/>
                <w:lang w:val="en-US" w:eastAsia="zh-CN" w:bidi="ar-SA"/>
              </w:rPr>
              <w:instrText xml:space="preserve">○</w:instrText>
            </w:r>
            <w:r>
              <w:rPr>
                <w:rFonts w:hint="eastAsia" w:ascii="仿宋_GB2312" w:hAnsi="仿宋_GB2312" w:eastAsia="仿宋_GB2312" w:cs="仿宋_GB2312"/>
                <w:kern w:val="0"/>
                <w:sz w:val="28"/>
                <w:szCs w:val="28"/>
              </w:rPr>
              <w:instrText xml:space="preserve">,</w:instrText>
            </w:r>
            <w:r>
              <w:rPr>
                <w:rFonts w:hint="eastAsia" w:ascii="仿宋_GB2312" w:hAnsi="仿宋_GB2312" w:eastAsia="仿宋_GB2312" w:cs="仿宋_GB2312"/>
                <w:kern w:val="0"/>
                <w:position w:val="3"/>
                <w:sz w:val="19"/>
                <w:szCs w:val="28"/>
                <w:lang w:val="en-US" w:eastAsia="zh-CN" w:bidi="ar-SA"/>
              </w:rPr>
              <w:instrText xml:space="preserve">√</w:instrText>
            </w:r>
            <w:r>
              <w:rPr>
                <w:rFonts w:hint="eastAsia" w:ascii="仿宋_GB2312" w:hAnsi="仿宋_GB2312" w:eastAsia="仿宋_GB2312" w:cs="仿宋_GB2312"/>
                <w:kern w:val="0"/>
                <w:sz w:val="28"/>
                <w:szCs w:val="28"/>
              </w:rPr>
              <w:instrText xml:space="preserve">)</w:instrText>
            </w:r>
            <w:r>
              <w:rPr>
                <w:rFonts w:hint="eastAsia" w:ascii="仿宋_GB2312" w:hAnsi="仿宋_GB2312" w:eastAsia="仿宋_GB2312" w:cs="仿宋_GB2312"/>
                <w:kern w:val="0"/>
                <w:sz w:val="28"/>
                <w:szCs w:val="28"/>
              </w:rPr>
              <w:fldChar w:fldCharType="end"/>
            </w:r>
            <w:r>
              <w:rPr>
                <w:rFonts w:hint="eastAsia" w:ascii="仿宋_GB2312" w:hAnsi="仿宋_GB2312" w:eastAsia="仿宋_GB2312" w:cs="仿宋_GB2312"/>
                <w:kern w:val="0"/>
                <w:sz w:val="28"/>
                <w:szCs w:val="28"/>
              </w:rPr>
              <w:t>不组织</w:t>
            </w:r>
          </w:p>
        </w:tc>
      </w:tr>
      <w:tr w14:paraId="7DF57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3" w:hRule="atLeast"/>
          <w:jc w:val="center"/>
        </w:trPr>
        <w:tc>
          <w:tcPr>
            <w:tcW w:w="998" w:type="dxa"/>
            <w:vAlign w:val="center"/>
          </w:tcPr>
          <w:p w14:paraId="4899D1AD">
            <w:pPr>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8</w:t>
            </w:r>
          </w:p>
        </w:tc>
        <w:tc>
          <w:tcPr>
            <w:tcW w:w="1623" w:type="dxa"/>
            <w:vAlign w:val="center"/>
          </w:tcPr>
          <w:p w14:paraId="6FA34FBF">
            <w:pPr>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价格分</w:t>
            </w:r>
          </w:p>
          <w:p w14:paraId="500DBD21">
            <w:pPr>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比重</w:t>
            </w:r>
          </w:p>
        </w:tc>
        <w:tc>
          <w:tcPr>
            <w:tcW w:w="6961" w:type="dxa"/>
            <w:vAlign w:val="center"/>
          </w:tcPr>
          <w:p w14:paraId="3A1D6851">
            <w:pP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占总分值的</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single"/>
                <w:lang w:val="en-US" w:eastAsia="zh-CN"/>
              </w:rPr>
              <w:t>10</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rPr>
              <w:t>%</w:t>
            </w:r>
          </w:p>
          <w:p w14:paraId="0FF9D1E2">
            <w:pPr>
              <w:rPr>
                <w:rFonts w:hint="eastAsia"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（服务类的价格分占比范围为：10%-30%）</w:t>
            </w:r>
          </w:p>
        </w:tc>
      </w:tr>
      <w:tr w14:paraId="069F3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7" w:hRule="atLeast"/>
          <w:jc w:val="center"/>
        </w:trPr>
        <w:tc>
          <w:tcPr>
            <w:tcW w:w="998" w:type="dxa"/>
            <w:vAlign w:val="center"/>
          </w:tcPr>
          <w:p w14:paraId="4DCF27E5">
            <w:pPr>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9</w:t>
            </w:r>
          </w:p>
        </w:tc>
        <w:tc>
          <w:tcPr>
            <w:tcW w:w="1623" w:type="dxa"/>
            <w:vAlign w:val="center"/>
          </w:tcPr>
          <w:p w14:paraId="1F3A573B">
            <w:pPr>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合同类型</w:t>
            </w:r>
          </w:p>
        </w:tc>
        <w:tc>
          <w:tcPr>
            <w:tcW w:w="6961" w:type="dxa"/>
            <w:vAlign w:val="center"/>
          </w:tcPr>
          <w:p w14:paraId="1C314083">
            <w:pPr>
              <w:spacing w:line="480" w:lineRule="exact"/>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fldChar w:fldCharType="begin"/>
            </w:r>
            <w:r>
              <w:rPr>
                <w:rFonts w:hint="eastAsia" w:ascii="仿宋_GB2312" w:hAnsi="仿宋_GB2312" w:eastAsia="仿宋_GB2312" w:cs="仿宋_GB2312"/>
                <w:kern w:val="0"/>
                <w:sz w:val="28"/>
                <w:szCs w:val="28"/>
              </w:rPr>
              <w:instrText xml:space="preserve"> EQ \o\ac(</w:instrText>
            </w:r>
            <w:r>
              <w:rPr>
                <w:rFonts w:hint="eastAsia" w:ascii="仿宋_GB2312" w:hAnsi="仿宋_GB2312" w:eastAsia="仿宋_GB2312" w:cs="仿宋_GB2312"/>
                <w:kern w:val="0"/>
                <w:sz w:val="28"/>
                <w:szCs w:val="28"/>
                <w:lang w:val="en-US" w:eastAsia="zh-CN" w:bidi="ar-SA"/>
              </w:rPr>
              <w:instrText xml:space="preserve">○</w:instrText>
            </w:r>
            <w:r>
              <w:rPr>
                <w:rFonts w:hint="eastAsia" w:ascii="仿宋_GB2312" w:hAnsi="仿宋_GB2312" w:eastAsia="仿宋_GB2312" w:cs="仿宋_GB2312"/>
                <w:kern w:val="0"/>
                <w:sz w:val="28"/>
                <w:szCs w:val="28"/>
              </w:rPr>
              <w:instrText xml:space="preserve">,</w:instrText>
            </w:r>
            <w:r>
              <w:rPr>
                <w:rFonts w:hint="eastAsia" w:ascii="仿宋_GB2312" w:hAnsi="仿宋_GB2312" w:eastAsia="仿宋_GB2312" w:cs="仿宋_GB2312"/>
                <w:kern w:val="0"/>
                <w:position w:val="3"/>
                <w:sz w:val="19"/>
                <w:szCs w:val="28"/>
                <w:lang w:val="en-US" w:eastAsia="zh-CN" w:bidi="ar-SA"/>
              </w:rPr>
              <w:instrText xml:space="preserve">√</w:instrText>
            </w:r>
            <w:r>
              <w:rPr>
                <w:rFonts w:hint="eastAsia" w:ascii="仿宋_GB2312" w:hAnsi="仿宋_GB2312" w:eastAsia="仿宋_GB2312" w:cs="仿宋_GB2312"/>
                <w:kern w:val="0"/>
                <w:sz w:val="28"/>
                <w:szCs w:val="28"/>
              </w:rPr>
              <w:instrText xml:space="preserve">)</w:instrText>
            </w:r>
            <w:r>
              <w:rPr>
                <w:rFonts w:hint="eastAsia" w:ascii="仿宋_GB2312" w:hAnsi="仿宋_GB2312" w:eastAsia="仿宋_GB2312" w:cs="仿宋_GB2312"/>
                <w:kern w:val="0"/>
                <w:sz w:val="28"/>
                <w:szCs w:val="28"/>
              </w:rPr>
              <w:fldChar w:fldCharType="end"/>
            </w:r>
            <w:r>
              <w:rPr>
                <w:rFonts w:hint="eastAsia" w:ascii="仿宋_GB2312" w:hAnsi="仿宋_GB2312" w:eastAsia="仿宋_GB2312" w:cs="仿宋_GB2312"/>
                <w:kern w:val="0"/>
                <w:sz w:val="28"/>
                <w:szCs w:val="28"/>
              </w:rPr>
              <w:t>固定总价</w:t>
            </w:r>
          </w:p>
          <w:p w14:paraId="28849F68">
            <w:pPr>
              <w:spacing w:line="480" w:lineRule="exact"/>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○固定单价 （适用于采购数量不定的情形）</w:t>
            </w:r>
          </w:p>
          <w:p w14:paraId="02E42D01">
            <w:pPr>
              <w:pStyle w:val="100"/>
              <w:spacing w:line="480" w:lineRule="exact"/>
              <w:ind w:left="0"/>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○其他：</w:t>
            </w:r>
          </w:p>
        </w:tc>
      </w:tr>
      <w:tr w14:paraId="76843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jc w:val="center"/>
        </w:trPr>
        <w:tc>
          <w:tcPr>
            <w:tcW w:w="998" w:type="dxa"/>
            <w:vAlign w:val="center"/>
          </w:tcPr>
          <w:p w14:paraId="255FA8EB">
            <w:pPr>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10</w:t>
            </w:r>
          </w:p>
        </w:tc>
        <w:tc>
          <w:tcPr>
            <w:tcW w:w="1623" w:type="dxa"/>
            <w:vAlign w:val="center"/>
          </w:tcPr>
          <w:p w14:paraId="61E0087D">
            <w:pPr>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争议解决途径</w:t>
            </w:r>
          </w:p>
        </w:tc>
        <w:tc>
          <w:tcPr>
            <w:tcW w:w="6961" w:type="dxa"/>
            <w:vAlign w:val="center"/>
          </w:tcPr>
          <w:p w14:paraId="6AB29F27">
            <w:pPr>
              <w:spacing w:line="480" w:lineRule="exact"/>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fldChar w:fldCharType="begin"/>
            </w:r>
            <w:r>
              <w:rPr>
                <w:rFonts w:hint="eastAsia" w:ascii="仿宋_GB2312" w:hAnsi="仿宋_GB2312" w:eastAsia="仿宋_GB2312" w:cs="仿宋_GB2312"/>
                <w:kern w:val="0"/>
                <w:sz w:val="28"/>
                <w:szCs w:val="28"/>
              </w:rPr>
              <w:instrText xml:space="preserve"> EQ \o\ac(</w:instrText>
            </w:r>
            <w:r>
              <w:rPr>
                <w:rFonts w:hint="eastAsia" w:ascii="仿宋_GB2312" w:hAnsi="仿宋_GB2312" w:eastAsia="仿宋_GB2312" w:cs="仿宋_GB2312"/>
                <w:kern w:val="0"/>
                <w:sz w:val="28"/>
                <w:szCs w:val="28"/>
                <w:lang w:val="en-US" w:eastAsia="zh-CN" w:bidi="ar-SA"/>
              </w:rPr>
              <w:instrText xml:space="preserve">○</w:instrText>
            </w:r>
            <w:r>
              <w:rPr>
                <w:rFonts w:hint="eastAsia" w:ascii="仿宋_GB2312" w:hAnsi="仿宋_GB2312" w:eastAsia="仿宋_GB2312" w:cs="仿宋_GB2312"/>
                <w:kern w:val="0"/>
                <w:sz w:val="28"/>
                <w:szCs w:val="28"/>
              </w:rPr>
              <w:instrText xml:space="preserve">,</w:instrText>
            </w:r>
            <w:r>
              <w:rPr>
                <w:rFonts w:hint="eastAsia" w:ascii="仿宋_GB2312" w:hAnsi="仿宋_GB2312" w:eastAsia="仿宋_GB2312" w:cs="仿宋_GB2312"/>
                <w:kern w:val="0"/>
                <w:position w:val="3"/>
                <w:sz w:val="19"/>
                <w:szCs w:val="28"/>
                <w:lang w:val="en-US" w:eastAsia="zh-CN" w:bidi="ar-SA"/>
              </w:rPr>
              <w:instrText xml:space="preserve">√</w:instrText>
            </w:r>
            <w:r>
              <w:rPr>
                <w:rFonts w:hint="eastAsia" w:ascii="仿宋_GB2312" w:hAnsi="仿宋_GB2312" w:eastAsia="仿宋_GB2312" w:cs="仿宋_GB2312"/>
                <w:kern w:val="0"/>
                <w:sz w:val="28"/>
                <w:szCs w:val="28"/>
              </w:rPr>
              <w:instrText xml:space="preserve">)</w:instrText>
            </w:r>
            <w:r>
              <w:rPr>
                <w:rFonts w:hint="eastAsia" w:ascii="仿宋_GB2312" w:hAnsi="仿宋_GB2312" w:eastAsia="仿宋_GB2312" w:cs="仿宋_GB2312"/>
                <w:kern w:val="0"/>
                <w:sz w:val="28"/>
                <w:szCs w:val="28"/>
              </w:rPr>
              <w:fldChar w:fldCharType="end"/>
            </w:r>
            <w:r>
              <w:rPr>
                <w:rFonts w:hint="eastAsia" w:ascii="仿宋_GB2312" w:hAnsi="仿宋_GB2312" w:eastAsia="仿宋_GB2312" w:cs="仿宋_GB2312"/>
                <w:kern w:val="0"/>
                <w:sz w:val="28"/>
                <w:szCs w:val="28"/>
              </w:rPr>
              <w:t>向有管辖权的人民法院提起诉讼</w:t>
            </w:r>
          </w:p>
          <w:p w14:paraId="6190875D">
            <w:pPr>
              <w:spacing w:line="480" w:lineRule="exact"/>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○向西安仲裁委员会提请仲裁</w:t>
            </w:r>
          </w:p>
          <w:p w14:paraId="00A5DFB8">
            <w:pPr>
              <w:spacing w:line="480" w:lineRule="exac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8"/>
                <w:szCs w:val="28"/>
              </w:rPr>
              <w:t>○由供应商做出选择</w:t>
            </w:r>
          </w:p>
        </w:tc>
      </w:tr>
      <w:tr w14:paraId="6C9A5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7" w:hRule="atLeast"/>
          <w:jc w:val="center"/>
        </w:trPr>
        <w:tc>
          <w:tcPr>
            <w:tcW w:w="998" w:type="dxa"/>
            <w:vAlign w:val="center"/>
          </w:tcPr>
          <w:p w14:paraId="4A17D651">
            <w:pPr>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11</w:t>
            </w:r>
          </w:p>
        </w:tc>
        <w:tc>
          <w:tcPr>
            <w:tcW w:w="1623" w:type="dxa"/>
            <w:vAlign w:val="center"/>
          </w:tcPr>
          <w:p w14:paraId="0F85CC5A">
            <w:pPr>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联系方式</w:t>
            </w:r>
          </w:p>
        </w:tc>
        <w:tc>
          <w:tcPr>
            <w:tcW w:w="6961" w:type="dxa"/>
            <w:vAlign w:val="center"/>
          </w:tcPr>
          <w:p w14:paraId="1AFD53E4">
            <w:pPr>
              <w:spacing w:line="480" w:lineRule="exact"/>
              <w:rPr>
                <w:rFonts w:hint="default" w:ascii="仿宋_GB2312" w:hAnsi="仿宋_GB2312" w:eastAsia="仿宋_GB2312" w:cs="仿宋_GB2312"/>
                <w:kern w:val="0"/>
                <w:sz w:val="28"/>
                <w:szCs w:val="28"/>
                <w:u w:val="single"/>
                <w:lang w:val="en-US" w:eastAsia="zh-CN"/>
              </w:rPr>
            </w:pPr>
            <w:r>
              <w:rPr>
                <w:rFonts w:hint="eastAsia" w:ascii="仿宋_GB2312" w:hAnsi="仿宋_GB2312" w:eastAsia="仿宋_GB2312" w:cs="仿宋_GB2312"/>
                <w:kern w:val="0"/>
                <w:sz w:val="28"/>
                <w:szCs w:val="28"/>
              </w:rPr>
              <w:t>项目对接人：</w:t>
            </w:r>
            <w:r>
              <w:rPr>
                <w:rFonts w:hint="eastAsia" w:ascii="仿宋_GB2312" w:hAnsi="仿宋_GB2312" w:eastAsia="仿宋_GB2312" w:cs="仿宋_GB2312"/>
                <w:kern w:val="0"/>
                <w:sz w:val="28"/>
                <w:szCs w:val="28"/>
                <w:lang w:val="en-US" w:eastAsia="zh-CN"/>
              </w:rPr>
              <w:t>王娟</w:t>
            </w:r>
          </w:p>
          <w:p w14:paraId="171A7229">
            <w:pPr>
              <w:spacing w:line="480" w:lineRule="exact"/>
              <w:rPr>
                <w:rFonts w:hint="default" w:ascii="仿宋_GB2312" w:hAnsi="仿宋_GB2312" w:eastAsia="仿宋_GB2312" w:cs="仿宋_GB2312"/>
                <w:kern w:val="0"/>
                <w:sz w:val="28"/>
                <w:szCs w:val="28"/>
                <w:u w:val="single"/>
                <w:lang w:val="en-US" w:eastAsia="zh-CN"/>
              </w:rPr>
            </w:pPr>
            <w:r>
              <w:rPr>
                <w:rFonts w:hint="eastAsia" w:ascii="仿宋_GB2312" w:hAnsi="仿宋_GB2312" w:eastAsia="仿宋_GB2312" w:cs="仿宋_GB2312"/>
                <w:kern w:val="0"/>
                <w:sz w:val="28"/>
                <w:szCs w:val="28"/>
              </w:rPr>
              <w:t>联 系 电话：</w:t>
            </w:r>
            <w:r>
              <w:rPr>
                <w:rFonts w:hint="eastAsia" w:ascii="仿宋_GB2312" w:hAnsi="仿宋_GB2312" w:eastAsia="仿宋_GB2312" w:cs="仿宋_GB2312"/>
                <w:kern w:val="0"/>
                <w:sz w:val="28"/>
                <w:szCs w:val="28"/>
                <w:lang w:val="en-US" w:eastAsia="zh-CN"/>
              </w:rPr>
              <w:t>15109110989</w:t>
            </w:r>
          </w:p>
        </w:tc>
      </w:tr>
    </w:tbl>
    <w:p w14:paraId="3A337C0A">
      <w:pPr>
        <w:widowControl/>
        <w:jc w:val="center"/>
        <w:rPr>
          <w:rFonts w:hint="eastAsia" w:ascii="仿宋_GB2312" w:hAnsi="仿宋_GB2312" w:eastAsia="仿宋_GB2312" w:cs="仿宋_GB2312"/>
          <w:b/>
          <w:sz w:val="36"/>
          <w:szCs w:val="36"/>
          <w:lang w:eastAsia="zh-CN"/>
        </w:rPr>
      </w:pPr>
    </w:p>
    <w:p w14:paraId="6D1747D2">
      <w:pPr>
        <w:widowControl/>
        <w:jc w:val="center"/>
        <w:rPr>
          <w:rFonts w:hint="eastAsia" w:ascii="仿宋_GB2312" w:hAnsi="仿宋_GB2312" w:eastAsia="仿宋_GB2312" w:cs="仿宋_GB2312"/>
          <w:b/>
          <w:bCs w:val="0"/>
          <w:sz w:val="36"/>
          <w:szCs w:val="36"/>
          <w:lang w:eastAsia="zh-CN"/>
        </w:rPr>
      </w:pPr>
      <w:r>
        <w:rPr>
          <w:rFonts w:hint="eastAsia" w:ascii="仿宋_GB2312" w:hAnsi="仿宋_GB2312" w:eastAsia="仿宋_GB2312" w:cs="仿宋_GB2312"/>
          <w:b/>
          <w:bCs w:val="0"/>
          <w:sz w:val="36"/>
          <w:szCs w:val="36"/>
          <w:lang w:eastAsia="zh-CN"/>
        </w:rPr>
        <w:t>需求框架（服务类）</w:t>
      </w:r>
    </w:p>
    <w:p w14:paraId="312B2B71">
      <w:pPr>
        <w:pStyle w:val="101"/>
        <w:spacing w:line="460" w:lineRule="exact"/>
        <w:ind w:left="0" w:firstLine="640" w:firstLineChars="200"/>
        <w:jc w:val="both"/>
        <w:outlineLvl w:val="9"/>
        <w:rPr>
          <w:rFonts w:hint="eastAsia" w:ascii="仿宋_GB2312" w:hAnsi="仿宋_GB2312" w:eastAsia="仿宋_GB2312" w:cs="仿宋_GB2312"/>
          <w:b/>
          <w:sz w:val="32"/>
          <w:szCs w:val="32"/>
          <w:lang w:eastAsia="zh-CN"/>
        </w:rPr>
      </w:pPr>
      <w:r>
        <w:rPr>
          <w:rFonts w:hint="eastAsia" w:ascii="仿宋_GB2312" w:hAnsi="仿宋_GB2312" w:eastAsia="仿宋_GB2312" w:cs="仿宋_GB2312"/>
          <w:b/>
          <w:sz w:val="32"/>
          <w:szCs w:val="32"/>
          <w:lang w:eastAsia="zh-CN"/>
        </w:rPr>
        <w:t>一、项目概况</w:t>
      </w:r>
    </w:p>
    <w:p w14:paraId="7ABCCF96">
      <w:pPr>
        <w:pStyle w:val="101"/>
        <w:spacing w:line="460" w:lineRule="exact"/>
        <w:ind w:left="0" w:firstLine="560" w:firstLineChars="200"/>
        <w:jc w:val="left"/>
        <w:outlineLvl w:val="9"/>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sz w:val="28"/>
          <w:szCs w:val="28"/>
          <w:lang w:eastAsia="zh-CN"/>
        </w:rPr>
        <w:t>为高效推进院校高质量发展建设工作，深化职业教育教学改革，夯实院校办学核心竞争力，本次拟通过政府采购方式，引入具备高职院校战略规划</w:t>
      </w:r>
      <w:r>
        <w:rPr>
          <w:rFonts w:hint="eastAsia" w:ascii="仿宋_GB2312" w:hAnsi="仿宋_GB2312" w:eastAsia="仿宋_GB2312" w:cs="仿宋_GB2312"/>
          <w:color w:val="auto"/>
          <w:sz w:val="28"/>
          <w:szCs w:val="28"/>
          <w:lang w:val="en-US" w:eastAsia="zh-CN"/>
        </w:rPr>
        <w:t>论证、</w:t>
      </w:r>
      <w:r>
        <w:rPr>
          <w:rFonts w:hint="eastAsia" w:ascii="仿宋_GB2312" w:hAnsi="仿宋_GB2312" w:eastAsia="仿宋_GB2312" w:cs="仿宋_GB2312"/>
          <w:color w:val="auto"/>
          <w:sz w:val="28"/>
          <w:szCs w:val="28"/>
          <w:lang w:eastAsia="zh-CN"/>
        </w:rPr>
        <w:t>教育教学改革研究及重大职教项目申报丰富成功经验的第三方专业机构。</w:t>
      </w:r>
    </w:p>
    <w:p w14:paraId="40FC59EB">
      <w:pPr>
        <w:pStyle w:val="101"/>
        <w:spacing w:line="460" w:lineRule="exact"/>
        <w:ind w:left="0" w:firstLine="560" w:firstLineChars="200"/>
        <w:jc w:val="left"/>
        <w:outlineLvl w:val="9"/>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sz w:val="28"/>
          <w:szCs w:val="28"/>
          <w:lang w:eastAsia="zh-CN"/>
        </w:rPr>
        <w:t>服务商需组建涵盖职教研究、行业产业等领域专家的专项服务团队，为我</w:t>
      </w:r>
      <w:r>
        <w:rPr>
          <w:rFonts w:hint="eastAsia" w:ascii="仿宋_GB2312" w:hAnsi="仿宋_GB2312" w:eastAsia="仿宋_GB2312" w:cs="仿宋_GB2312"/>
          <w:color w:val="auto"/>
          <w:sz w:val="28"/>
          <w:szCs w:val="28"/>
          <w:lang w:val="en-US" w:eastAsia="zh-CN"/>
        </w:rPr>
        <w:t>院</w:t>
      </w:r>
      <w:r>
        <w:rPr>
          <w:rFonts w:hint="eastAsia" w:ascii="仿宋_GB2312" w:hAnsi="仿宋_GB2312" w:eastAsia="仿宋_GB2312" w:cs="仿宋_GB2312"/>
          <w:color w:val="auto"/>
          <w:sz w:val="28"/>
          <w:szCs w:val="28"/>
          <w:lang w:eastAsia="zh-CN"/>
        </w:rPr>
        <w:t>提供调研诊断、专家论证、全过程指导的一体化全流程咨询服务。本项目核心服务内容包含三项重点工作，</w:t>
      </w:r>
      <w:r>
        <w:rPr>
          <w:rFonts w:hint="eastAsia" w:ascii="仿宋_GB2312" w:hAnsi="仿宋_GB2312" w:eastAsia="仿宋_GB2312" w:cs="仿宋_GB2312"/>
          <w:color w:val="auto"/>
          <w:sz w:val="28"/>
          <w:szCs w:val="28"/>
          <w:lang w:val="en-US" w:eastAsia="zh-CN"/>
        </w:rPr>
        <w:t>一</w:t>
      </w:r>
      <w:r>
        <w:rPr>
          <w:rFonts w:hint="eastAsia" w:ascii="仿宋_GB2312" w:hAnsi="仿宋_GB2312" w:eastAsia="仿宋_GB2312" w:cs="仿宋_GB2312"/>
          <w:color w:val="auto"/>
          <w:sz w:val="28"/>
          <w:szCs w:val="28"/>
          <w:lang w:eastAsia="zh-CN"/>
        </w:rPr>
        <w:t>是“十五五”发展规划产业需求调研分析与论证；</w:t>
      </w:r>
      <w:r>
        <w:rPr>
          <w:rFonts w:hint="eastAsia" w:ascii="仿宋_GB2312" w:hAnsi="仿宋_GB2312" w:eastAsia="仿宋_GB2312" w:cs="仿宋_GB2312"/>
          <w:color w:val="auto"/>
          <w:sz w:val="28"/>
          <w:szCs w:val="28"/>
          <w:lang w:val="en-US" w:eastAsia="zh-CN"/>
        </w:rPr>
        <w:t>二是教学改革成果培育方案咨询与论证；三是</w:t>
      </w:r>
      <w:r>
        <w:rPr>
          <w:rFonts w:hint="eastAsia" w:ascii="仿宋_GB2312" w:hAnsi="仿宋_GB2312" w:eastAsia="仿宋_GB2312" w:cs="仿宋_GB2312"/>
          <w:color w:val="auto"/>
          <w:sz w:val="28"/>
          <w:szCs w:val="28"/>
          <w:lang w:eastAsia="zh-CN"/>
        </w:rPr>
        <w:t>省级双高专业群</w:t>
      </w:r>
      <w:r>
        <w:rPr>
          <w:rFonts w:hint="eastAsia" w:ascii="仿宋_GB2312" w:hAnsi="仿宋_GB2312" w:eastAsia="仿宋_GB2312" w:cs="仿宋_GB2312"/>
          <w:color w:val="auto"/>
          <w:sz w:val="28"/>
          <w:szCs w:val="28"/>
          <w:lang w:val="en-US" w:eastAsia="zh-CN"/>
        </w:rPr>
        <w:t>验收与</w:t>
      </w:r>
      <w:r>
        <w:rPr>
          <w:rFonts w:hint="eastAsia" w:ascii="仿宋_GB2312" w:hAnsi="仿宋_GB2312" w:eastAsia="仿宋_GB2312" w:cs="仿宋_GB2312"/>
          <w:color w:val="auto"/>
          <w:sz w:val="28"/>
          <w:szCs w:val="28"/>
          <w:lang w:eastAsia="zh-CN"/>
        </w:rPr>
        <w:t>申报全流程咨询。</w:t>
      </w:r>
    </w:p>
    <w:p w14:paraId="602E541B">
      <w:pPr>
        <w:pStyle w:val="101"/>
        <w:spacing w:line="460" w:lineRule="exact"/>
        <w:ind w:left="0" w:firstLine="560" w:firstLineChars="200"/>
        <w:jc w:val="left"/>
        <w:outlineLvl w:val="9"/>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sz w:val="28"/>
          <w:szCs w:val="28"/>
          <w:lang w:eastAsia="zh-CN"/>
        </w:rPr>
        <w:t>本次采购旨在依托专业第三方资源，精准高效完成院校重点职教建设任务，提升规划专业性、项目申报成功率与教改成果质量，现诚邀具备相关资质与服务经验的优质机构积极参与本次项目。</w:t>
      </w:r>
    </w:p>
    <w:p w14:paraId="6C5D89A4">
      <w:pPr>
        <w:pStyle w:val="101"/>
        <w:spacing w:line="460" w:lineRule="exact"/>
        <w:ind w:left="0" w:firstLine="640" w:firstLineChars="200"/>
        <w:jc w:val="both"/>
        <w:outlineLvl w:val="9"/>
        <w:rPr>
          <w:rFonts w:hint="eastAsia" w:ascii="仿宋_GB2312" w:hAnsi="仿宋_GB2312" w:eastAsia="仿宋_GB2312" w:cs="仿宋_GB2312"/>
          <w:b/>
          <w:sz w:val="32"/>
          <w:szCs w:val="32"/>
          <w:lang w:eastAsia="zh-CN"/>
        </w:rPr>
      </w:pPr>
      <w:r>
        <w:rPr>
          <w:rFonts w:hint="eastAsia" w:ascii="仿宋_GB2312" w:hAnsi="仿宋_GB2312" w:eastAsia="仿宋_GB2312" w:cs="仿宋_GB2312"/>
          <w:b/>
          <w:sz w:val="32"/>
          <w:szCs w:val="32"/>
          <w:lang w:eastAsia="zh-CN"/>
        </w:rPr>
        <w:t>二、服务内容（包括工作区域、工作内容等）</w:t>
      </w:r>
    </w:p>
    <w:p w14:paraId="74658713">
      <w:pPr>
        <w:pStyle w:val="101"/>
        <w:keepNext w:val="0"/>
        <w:keepLines w:val="0"/>
        <w:pageBreakBefore w:val="0"/>
        <w:kinsoku/>
        <w:wordWrap/>
        <w:overflowPunct/>
        <w:topLinePunct w:val="0"/>
        <w:autoSpaceDE/>
        <w:autoSpaceDN/>
        <w:bidi w:val="0"/>
        <w:adjustRightInd/>
        <w:snapToGrid/>
        <w:spacing w:line="460" w:lineRule="exact"/>
        <w:ind w:left="0" w:firstLine="560" w:firstLineChars="200"/>
        <w:jc w:val="both"/>
        <w:textAlignment w:val="auto"/>
        <w:outlineLvl w:val="9"/>
        <w:rPr>
          <w:rFonts w:hint="eastAsia" w:ascii="仿宋_GB2312" w:hAnsi="仿宋_GB2312" w:eastAsia="仿宋_GB2312" w:cs="仿宋_GB2312"/>
          <w:b/>
          <w:bCs/>
          <w:sz w:val="28"/>
          <w:szCs w:val="28"/>
          <w:lang w:eastAsia="zh-CN"/>
        </w:rPr>
      </w:pPr>
      <w:r>
        <w:rPr>
          <w:rFonts w:hint="eastAsia" w:ascii="仿宋_GB2312" w:hAnsi="仿宋_GB2312" w:eastAsia="仿宋_GB2312" w:cs="仿宋_GB2312"/>
          <w:b/>
          <w:bCs/>
          <w:sz w:val="28"/>
          <w:szCs w:val="28"/>
          <w:lang w:eastAsia="zh-CN"/>
        </w:rPr>
        <w:t>（</w:t>
      </w:r>
      <w:r>
        <w:rPr>
          <w:rFonts w:hint="eastAsia" w:ascii="仿宋_GB2312" w:hAnsi="仿宋_GB2312" w:eastAsia="仿宋_GB2312" w:cs="仿宋_GB2312"/>
          <w:b/>
          <w:bCs/>
          <w:sz w:val="28"/>
          <w:szCs w:val="28"/>
          <w:lang w:val="en-US" w:eastAsia="zh-CN"/>
        </w:rPr>
        <w:t>一</w:t>
      </w:r>
      <w:r>
        <w:rPr>
          <w:rFonts w:hint="eastAsia" w:ascii="仿宋_GB2312" w:hAnsi="仿宋_GB2312" w:eastAsia="仿宋_GB2312" w:cs="仿宋_GB2312"/>
          <w:b/>
          <w:bCs/>
          <w:sz w:val="28"/>
          <w:szCs w:val="28"/>
          <w:lang w:eastAsia="zh-CN"/>
        </w:rPr>
        <w:t>）</w:t>
      </w:r>
      <w:bookmarkStart w:id="1" w:name="模块六调研诊断"/>
      <w:r>
        <w:rPr>
          <w:rFonts w:hint="eastAsia" w:ascii="仿宋_GB2312" w:hAnsi="仿宋_GB2312" w:eastAsia="仿宋_GB2312" w:cs="仿宋_GB2312"/>
          <w:b/>
          <w:bCs/>
          <w:color w:val="auto"/>
          <w:sz w:val="28"/>
          <w:szCs w:val="28"/>
          <w:lang w:eastAsia="zh-CN"/>
        </w:rPr>
        <w:t>“十五五”发展规划产业需求调研分析与论证</w:t>
      </w:r>
    </w:p>
    <w:p w14:paraId="427C720F">
      <w:pPr>
        <w:pStyle w:val="101"/>
        <w:keepNext w:val="0"/>
        <w:keepLines w:val="0"/>
        <w:pageBreakBefore w:val="0"/>
        <w:kinsoku/>
        <w:wordWrap/>
        <w:overflowPunct/>
        <w:topLinePunct w:val="0"/>
        <w:autoSpaceDE/>
        <w:autoSpaceDN/>
        <w:bidi w:val="0"/>
        <w:adjustRightInd/>
        <w:snapToGrid/>
        <w:spacing w:line="460" w:lineRule="exact"/>
        <w:ind w:left="0" w:firstLine="560" w:firstLineChars="200"/>
        <w:jc w:val="both"/>
        <w:textAlignment w:val="auto"/>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lang w:eastAsia="zh-CN"/>
        </w:rPr>
        <w:t>政策研究与产业趋势分析</w:t>
      </w:r>
    </w:p>
    <w:p w14:paraId="0F5E074A">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spacing w:val="-6"/>
          <w:sz w:val="28"/>
          <w:szCs w:val="28"/>
          <w:lang w:val="en-US" w:eastAsia="zh-CN" w:bidi="ar-SA"/>
        </w:rPr>
      </w:pPr>
      <w:r>
        <w:rPr>
          <w:rFonts w:hint="eastAsia" w:ascii="仿宋_GB2312" w:hAnsi="仿宋_GB2312" w:eastAsia="仿宋_GB2312" w:cs="仿宋_GB2312"/>
          <w:spacing w:val="-6"/>
          <w:sz w:val="28"/>
          <w:szCs w:val="28"/>
          <w:lang w:val="en-US" w:eastAsia="zh-CN" w:bidi="ar-SA"/>
        </w:rPr>
        <w:t>服务内容：系统梳理国家、陕西省、西安市“十五五”规划纲要及相关产业专项规划，重点分析陕西省“7+5+5”未来产业布局和西安市“7+8+5+6”现代化产业体系新架构（含各千亿级产业链目标）的政策导向与发展重点；调研陕西省已遴选建设的产教融合特色专业群（第一批53个）的布局情况，提取可供学校参考的经验做法；分析国家和省市关于职业教育专业设置管理、产教融合型企业建设等最新政策要求，研判其对学校“十五五”发展的影响。</w:t>
      </w:r>
    </w:p>
    <w:p w14:paraId="43F49BEB">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spacing w:val="-6"/>
          <w:sz w:val="28"/>
          <w:szCs w:val="28"/>
          <w:lang w:val="en-US" w:eastAsia="zh-CN" w:bidi="ar-SA"/>
        </w:rPr>
      </w:pPr>
      <w:r>
        <w:rPr>
          <w:rFonts w:hint="eastAsia" w:ascii="仿宋_GB2312" w:hAnsi="仿宋_GB2312" w:eastAsia="仿宋_GB2312" w:cs="仿宋_GB2312"/>
          <w:spacing w:val="-6"/>
          <w:sz w:val="28"/>
          <w:szCs w:val="28"/>
          <w:lang w:val="en-US" w:eastAsia="zh-CN" w:bidi="ar-SA"/>
        </w:rPr>
        <w:t>交付物：《“十五五”产教融合政策与产业趋势分析报告》1份。</w:t>
      </w:r>
    </w:p>
    <w:bookmarkEnd w:id="1"/>
    <w:p w14:paraId="33E9C0FD">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default" w:cs="仿宋_GB2312"/>
          <w:spacing w:val="-6"/>
          <w:sz w:val="28"/>
          <w:szCs w:val="28"/>
          <w:lang w:val="en-US" w:eastAsia="zh-CN" w:bidi="ar-SA"/>
        </w:rPr>
      </w:pPr>
      <w:bookmarkStart w:id="2" w:name="模块八专家论证"/>
      <w:r>
        <w:rPr>
          <w:rFonts w:hint="eastAsia" w:cs="仿宋_GB2312"/>
          <w:spacing w:val="-6"/>
          <w:sz w:val="28"/>
          <w:szCs w:val="28"/>
          <w:lang w:val="en-US" w:eastAsia="zh-CN" w:bidi="ar-SA"/>
        </w:rPr>
        <w:t>2.专业布局与产业链对接及人才需求研判</w:t>
      </w:r>
    </w:p>
    <w:p w14:paraId="734EB730">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spacing w:val="-6"/>
          <w:sz w:val="28"/>
          <w:szCs w:val="28"/>
          <w:lang w:val="en-US" w:eastAsia="zh-CN" w:bidi="ar-SA"/>
        </w:rPr>
      </w:pPr>
      <w:r>
        <w:rPr>
          <w:rFonts w:hint="eastAsia" w:cs="仿宋_GB2312"/>
          <w:spacing w:val="-6"/>
          <w:sz w:val="28"/>
          <w:szCs w:val="28"/>
          <w:lang w:val="en-US" w:eastAsia="zh-CN" w:bidi="ar-SA"/>
        </w:rPr>
        <w:t>服务内容：</w:t>
      </w:r>
      <w:r>
        <w:rPr>
          <w:rFonts w:hint="eastAsia" w:ascii="仿宋_GB2312" w:hAnsi="仿宋_GB2312" w:eastAsia="仿宋_GB2312" w:cs="仿宋_GB2312"/>
          <w:spacing w:val="-6"/>
          <w:sz w:val="28"/>
          <w:szCs w:val="28"/>
          <w:lang w:val="en-US" w:eastAsia="zh-CN" w:bidi="ar-SA"/>
        </w:rPr>
        <w:t>在梳理学校现有专业对接基础上，开展补充调研与诊断。首先，对照陕西省、西安市“十五五”产业体系，重新梳理各专业群与重点产业链的对应关系，识别对接空白与薄弱环节，评估专业群服务产业的能力。其次，聚焦轨道交通、新能源、半导体及光子、智能网联新能源汽车等重点领域，走访调研不少于8家代表性企业或行业组织，研判“十五五”期间高技能人才需求规模与岗位能力变化趋势。综合产业规划与政策导向，明确学校专业优化方向与产教融合重点领域，提出针对性建议。</w:t>
      </w:r>
    </w:p>
    <w:p w14:paraId="1C3F7F8E">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default" w:ascii="仿宋_GB2312" w:hAnsi="仿宋_GB2312" w:eastAsia="仿宋_GB2312" w:cs="仿宋_GB2312"/>
          <w:sz w:val="28"/>
          <w:szCs w:val="28"/>
          <w:lang w:val="en-US" w:eastAsia="zh-CN"/>
        </w:rPr>
      </w:pPr>
      <w:r>
        <w:rPr>
          <w:rFonts w:hint="eastAsia" w:cs="仿宋_GB2312"/>
          <w:sz w:val="28"/>
          <w:szCs w:val="28"/>
          <w:lang w:val="en-US" w:eastAsia="zh-CN"/>
        </w:rPr>
        <w:t>交付物：《专业布局与产业链对接及人才需求研判报告》1份。</w:t>
      </w:r>
    </w:p>
    <w:p w14:paraId="7F34BB05">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3.综合调研报告编制</w:t>
      </w:r>
    </w:p>
    <w:p w14:paraId="457822B0">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spacing w:val="-6"/>
          <w:sz w:val="28"/>
          <w:szCs w:val="28"/>
          <w:lang w:val="en-US" w:eastAsia="zh-CN" w:bidi="ar-SA"/>
        </w:rPr>
      </w:pPr>
      <w:r>
        <w:rPr>
          <w:rFonts w:hint="eastAsia" w:ascii="仿宋_GB2312" w:hAnsi="仿宋_GB2312" w:eastAsia="仿宋_GB2312" w:cs="仿宋_GB2312"/>
          <w:spacing w:val="-6"/>
          <w:sz w:val="28"/>
          <w:szCs w:val="28"/>
          <w:lang w:val="en-US" w:eastAsia="zh-CN" w:bidi="ar-SA"/>
        </w:rPr>
        <w:t>服务内容：在以上各模块工作基础上，将调研成果进行整合凝练，聚焦“十五五”期间学校专业结构优化、新专业申报方向、现有专业改造路径及产教融合机制建设，形成综合调研报告，为学校“十五五”发展规划编制提供决策参考。</w:t>
      </w:r>
    </w:p>
    <w:p w14:paraId="5C9719F8">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spacing w:val="-6"/>
          <w:sz w:val="28"/>
          <w:szCs w:val="28"/>
          <w:lang w:val="en-US" w:eastAsia="zh-CN" w:bidi="ar-SA"/>
        </w:rPr>
        <w:t>交付物：《西安铁路职业技术学院“十五五”产教融合产业调研报告》1份。</w:t>
      </w:r>
    </w:p>
    <w:bookmarkEnd w:id="2"/>
    <w:p w14:paraId="65C88ECC">
      <w:pPr>
        <w:pStyle w:val="3"/>
        <w:keepNext w:val="0"/>
        <w:keepLines w:val="0"/>
        <w:pageBreakBefore w:val="0"/>
        <w:widowControl/>
        <w:kinsoku/>
        <w:wordWrap/>
        <w:overflowPunct/>
        <w:topLinePunct w:val="0"/>
        <w:autoSpaceDE/>
        <w:autoSpaceDN/>
        <w:bidi w:val="0"/>
        <w:adjustRightInd/>
        <w:snapToGrid/>
        <w:spacing w:line="460" w:lineRule="exact"/>
        <w:ind w:firstLine="536" w:firstLineChars="200"/>
        <w:textAlignment w:val="auto"/>
        <w:rPr>
          <w:rFonts w:hint="eastAsia" w:ascii="仿宋_GB2312" w:hAnsi="仿宋_GB2312" w:eastAsia="仿宋_GB2312" w:cs="仿宋_GB2312"/>
          <w:b w:val="0"/>
          <w:bCs/>
          <w:sz w:val="28"/>
          <w:szCs w:val="28"/>
        </w:rPr>
      </w:pPr>
      <w:r>
        <w:rPr>
          <w:rFonts w:hint="eastAsia" w:cs="仿宋_GB2312"/>
          <w:b w:val="0"/>
          <w:bCs/>
          <w:sz w:val="28"/>
          <w:szCs w:val="28"/>
          <w:lang w:val="en-US" w:eastAsia="zh-CN"/>
        </w:rPr>
        <w:t>4.</w:t>
      </w:r>
      <w:r>
        <w:rPr>
          <w:rFonts w:hint="eastAsia" w:ascii="仿宋_GB2312" w:hAnsi="仿宋_GB2312" w:eastAsia="仿宋_GB2312" w:cs="仿宋_GB2312"/>
          <w:b w:val="0"/>
          <w:bCs/>
          <w:sz w:val="28"/>
          <w:szCs w:val="28"/>
        </w:rPr>
        <w:t>专家论证</w:t>
      </w:r>
    </w:p>
    <w:p w14:paraId="314084D7">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spacing w:val="-6"/>
          <w:sz w:val="28"/>
          <w:szCs w:val="28"/>
          <w:lang w:val="en-US" w:eastAsia="zh-CN" w:bidi="ar-SA"/>
        </w:rPr>
      </w:pPr>
      <w:r>
        <w:rPr>
          <w:rFonts w:hint="eastAsia" w:ascii="仿宋_GB2312" w:hAnsi="仿宋_GB2312" w:eastAsia="仿宋_GB2312" w:cs="仿宋_GB2312"/>
          <w:spacing w:val="-6"/>
          <w:sz w:val="28"/>
          <w:szCs w:val="28"/>
          <w:lang w:val="en-US" w:eastAsia="zh-CN" w:bidi="ar-SA"/>
        </w:rPr>
        <w:t>服务内容：乙方负责邀请并组织专家论证会不少于1次，就调研成果的科学性、可行性和前瞻性进行系统论证。专家邀请工作由乙方负责，专家费用由乙方承担。</w:t>
      </w:r>
    </w:p>
    <w:p w14:paraId="2D6AB515">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default" w:ascii="仿宋_GB2312" w:hAnsi="仿宋_GB2312" w:eastAsia="仿宋_GB2312" w:cs="仿宋_GB2312"/>
          <w:spacing w:val="-6"/>
          <w:sz w:val="28"/>
          <w:szCs w:val="28"/>
          <w:lang w:val="en-US" w:eastAsia="zh-CN" w:bidi="ar-SA"/>
        </w:rPr>
      </w:pPr>
      <w:r>
        <w:rPr>
          <w:rFonts w:hint="eastAsia" w:cs="仿宋_GB2312"/>
          <w:spacing w:val="-6"/>
          <w:sz w:val="28"/>
          <w:szCs w:val="28"/>
          <w:lang w:val="en-US" w:eastAsia="zh-CN" w:bidi="ar-SA"/>
        </w:rPr>
        <w:t>专家团队：</w:t>
      </w:r>
      <w:r>
        <w:rPr>
          <w:rFonts w:hint="eastAsia" w:ascii="仿宋_GB2312" w:hAnsi="仿宋_GB2312" w:eastAsia="仿宋_GB2312" w:cs="仿宋_GB2312"/>
          <w:spacing w:val="-6"/>
          <w:sz w:val="28"/>
          <w:szCs w:val="28"/>
          <w:lang w:val="en-US" w:eastAsia="zh-CN" w:bidi="ar-SA"/>
        </w:rPr>
        <w:t>专家不少于5名，其中职业教育政策研究、院校战略管理、行业产业领域专家各不少于1名。</w:t>
      </w:r>
    </w:p>
    <w:p w14:paraId="30DCE326">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spacing w:val="-6"/>
          <w:sz w:val="28"/>
          <w:szCs w:val="28"/>
          <w:lang w:val="en-US" w:eastAsia="zh-CN" w:bidi="ar-SA"/>
        </w:rPr>
      </w:pPr>
      <w:r>
        <w:rPr>
          <w:rFonts w:hint="eastAsia" w:ascii="仿宋_GB2312" w:hAnsi="仿宋_GB2312" w:eastAsia="仿宋_GB2312" w:cs="仿宋_GB2312"/>
          <w:spacing w:val="-6"/>
          <w:sz w:val="28"/>
          <w:szCs w:val="28"/>
          <w:lang w:val="en-US" w:eastAsia="zh-CN" w:bidi="ar-SA"/>
        </w:rPr>
        <w:t>交付物：《专家论证意见》1份。</w:t>
      </w:r>
    </w:p>
    <w:p w14:paraId="7E8445D5">
      <w:pPr>
        <w:pStyle w:val="101"/>
        <w:keepNext w:val="0"/>
        <w:keepLines w:val="0"/>
        <w:pageBreakBefore w:val="0"/>
        <w:kinsoku/>
        <w:wordWrap/>
        <w:overflowPunct/>
        <w:topLinePunct w:val="0"/>
        <w:autoSpaceDE/>
        <w:autoSpaceDN/>
        <w:bidi w:val="0"/>
        <w:adjustRightInd/>
        <w:snapToGrid/>
        <w:spacing w:line="460" w:lineRule="exact"/>
        <w:ind w:left="0" w:firstLine="560" w:firstLineChars="200"/>
        <w:jc w:val="both"/>
        <w:textAlignment w:val="auto"/>
        <w:outlineLvl w:val="9"/>
        <w:rPr>
          <w:rFonts w:hint="eastAsia" w:ascii="仿宋_GB2312" w:hAnsi="仿宋_GB2312" w:eastAsia="仿宋_GB2312" w:cs="仿宋_GB2312"/>
          <w:b/>
          <w:bCs/>
          <w:sz w:val="28"/>
          <w:szCs w:val="28"/>
          <w:lang w:eastAsia="zh-CN"/>
        </w:rPr>
      </w:pPr>
      <w:r>
        <w:rPr>
          <w:rFonts w:hint="eastAsia" w:ascii="仿宋_GB2312" w:hAnsi="仿宋_GB2312" w:eastAsia="仿宋_GB2312" w:cs="仿宋_GB2312"/>
          <w:b/>
          <w:bCs/>
          <w:sz w:val="28"/>
          <w:szCs w:val="28"/>
          <w:lang w:eastAsia="zh-CN"/>
        </w:rPr>
        <w:t>（</w:t>
      </w:r>
      <w:r>
        <w:rPr>
          <w:rFonts w:hint="eastAsia" w:ascii="仿宋_GB2312" w:hAnsi="仿宋_GB2312" w:eastAsia="仿宋_GB2312" w:cs="仿宋_GB2312"/>
          <w:b/>
          <w:bCs/>
          <w:sz w:val="28"/>
          <w:szCs w:val="28"/>
          <w:lang w:val="en-US" w:eastAsia="zh-CN"/>
        </w:rPr>
        <w:t>二</w:t>
      </w:r>
      <w:r>
        <w:rPr>
          <w:rFonts w:hint="eastAsia" w:ascii="仿宋_GB2312" w:hAnsi="仿宋_GB2312" w:eastAsia="仿宋_GB2312" w:cs="仿宋_GB2312"/>
          <w:b/>
          <w:bCs/>
          <w:sz w:val="28"/>
          <w:szCs w:val="28"/>
          <w:lang w:eastAsia="zh-CN"/>
        </w:rPr>
        <w:t>）教学改革成果培育方案咨询与论证</w:t>
      </w:r>
    </w:p>
    <w:p w14:paraId="7DA6A228">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b w:val="0"/>
          <w:bCs w:val="0"/>
          <w:sz w:val="28"/>
          <w:szCs w:val="28"/>
        </w:rPr>
      </w:pPr>
      <w:r>
        <w:rPr>
          <w:rFonts w:hint="eastAsia" w:ascii="仿宋_GB2312" w:hAnsi="仿宋_GB2312" w:eastAsia="仿宋_GB2312" w:cs="仿宋_GB2312"/>
          <w:b w:val="0"/>
          <w:bCs w:val="0"/>
          <w:sz w:val="28"/>
          <w:szCs w:val="28"/>
          <w:lang w:val="en-US" w:eastAsia="zh-CN"/>
        </w:rPr>
        <w:t>1.</w:t>
      </w:r>
      <w:r>
        <w:rPr>
          <w:rFonts w:hint="eastAsia" w:ascii="仿宋_GB2312" w:hAnsi="仿宋_GB2312" w:eastAsia="仿宋_GB2312" w:cs="仿宋_GB2312"/>
          <w:b w:val="0"/>
          <w:bCs w:val="0"/>
          <w:sz w:val="28"/>
          <w:szCs w:val="28"/>
        </w:rPr>
        <w:t>教学改革政策研究与成果评审标准解读</w:t>
      </w:r>
    </w:p>
    <w:p w14:paraId="44338E68">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sz w:val="28"/>
          <w:szCs w:val="28"/>
        </w:rPr>
        <w:t>服务内容：系统梳理国家、陕西省职业教育教学改革最新政策，重点分析第二期</w:t>
      </w:r>
      <w:r>
        <w:rPr>
          <w:rFonts w:hint="eastAsia" w:ascii="仿宋_GB2312" w:hAnsi="仿宋_GB2312" w:eastAsia="仿宋_GB2312" w:cs="仿宋_GB2312"/>
          <w:b w:val="0"/>
          <w:bCs w:val="0"/>
          <w:color w:val="auto"/>
          <w:sz w:val="28"/>
          <w:szCs w:val="28"/>
        </w:rPr>
        <w:t>“双高计划”建设对教学改革成果的核心要求；解读国家级、省级教学</w:t>
      </w:r>
      <w:r>
        <w:rPr>
          <w:rFonts w:hint="eastAsia" w:ascii="仿宋_GB2312" w:hAnsi="仿宋_GB2312" w:eastAsia="仿宋_GB2312" w:cs="仿宋_GB2312"/>
          <w:b w:val="0"/>
          <w:bCs w:val="0"/>
          <w:color w:val="auto"/>
          <w:sz w:val="28"/>
          <w:szCs w:val="28"/>
          <w:lang w:val="en-US" w:eastAsia="zh-CN"/>
        </w:rPr>
        <w:t>改革项目</w:t>
      </w:r>
      <w:r>
        <w:rPr>
          <w:rFonts w:hint="eastAsia" w:ascii="仿宋_GB2312" w:hAnsi="仿宋_GB2312" w:eastAsia="仿宋_GB2312" w:cs="仿宋_GB2312"/>
          <w:b w:val="0"/>
          <w:bCs w:val="0"/>
          <w:color w:val="auto"/>
          <w:sz w:val="28"/>
          <w:szCs w:val="28"/>
        </w:rPr>
        <w:t>的评审标准、价值导向与申报要求；调研分析近年来国家级、省级职业教育</w:t>
      </w:r>
      <w:r>
        <w:rPr>
          <w:rFonts w:hint="eastAsia" w:ascii="仿宋_GB2312" w:hAnsi="仿宋_GB2312" w:eastAsia="仿宋_GB2312" w:cs="仿宋_GB2312"/>
          <w:b w:val="0"/>
          <w:bCs w:val="0"/>
          <w:color w:val="auto"/>
          <w:sz w:val="28"/>
          <w:szCs w:val="28"/>
          <w:lang w:val="en-US" w:eastAsia="zh-CN"/>
        </w:rPr>
        <w:t>教学改革</w:t>
      </w:r>
      <w:r>
        <w:rPr>
          <w:rFonts w:hint="eastAsia" w:ascii="仿宋_GB2312" w:hAnsi="仿宋_GB2312" w:eastAsia="仿宋_GB2312" w:cs="仿宋_GB2312"/>
          <w:b w:val="0"/>
          <w:bCs w:val="0"/>
          <w:color w:val="auto"/>
          <w:sz w:val="28"/>
          <w:szCs w:val="28"/>
        </w:rPr>
        <w:t>项目的选题方向、成果特色与共性规律；结合西安铁路职业技术学院轨道交通办学特色</w:t>
      </w:r>
      <w:r>
        <w:rPr>
          <w:rFonts w:hint="eastAsia" w:ascii="仿宋_GB2312" w:hAnsi="仿宋_GB2312" w:eastAsia="仿宋_GB2312" w:cs="仿宋_GB2312"/>
          <w:b w:val="0"/>
          <w:bCs w:val="0"/>
          <w:color w:val="auto"/>
          <w:sz w:val="28"/>
          <w:szCs w:val="28"/>
          <w:lang w:val="en-US" w:eastAsia="zh-CN"/>
        </w:rPr>
        <w:t>和“十五五”发展规划</w:t>
      </w:r>
      <w:r>
        <w:rPr>
          <w:rFonts w:hint="eastAsia" w:ascii="仿宋_GB2312" w:hAnsi="仿宋_GB2312" w:eastAsia="仿宋_GB2312" w:cs="仿宋_GB2312"/>
          <w:b w:val="0"/>
          <w:bCs w:val="0"/>
          <w:color w:val="auto"/>
          <w:sz w:val="28"/>
          <w:szCs w:val="28"/>
        </w:rPr>
        <w:t>，研判学院</w:t>
      </w:r>
      <w:r>
        <w:rPr>
          <w:rFonts w:hint="eastAsia" w:ascii="仿宋_GB2312" w:hAnsi="仿宋_GB2312" w:eastAsia="仿宋_GB2312" w:cs="仿宋_GB2312"/>
          <w:b w:val="0"/>
          <w:bCs w:val="0"/>
          <w:color w:val="auto"/>
          <w:sz w:val="28"/>
          <w:szCs w:val="28"/>
          <w:lang w:val="en-US" w:eastAsia="zh-CN"/>
        </w:rPr>
        <w:t>教学改革项目</w:t>
      </w:r>
      <w:r>
        <w:rPr>
          <w:rFonts w:hint="eastAsia" w:ascii="仿宋_GB2312" w:hAnsi="仿宋_GB2312" w:eastAsia="仿宋_GB2312" w:cs="仿宋_GB2312"/>
          <w:b w:val="0"/>
          <w:bCs w:val="0"/>
          <w:color w:val="auto"/>
          <w:sz w:val="28"/>
          <w:szCs w:val="28"/>
        </w:rPr>
        <w:t>培育的重点方向与突破空间。</w:t>
      </w:r>
    </w:p>
    <w:p w14:paraId="5D16C74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b w:val="0"/>
          <w:bCs w:val="0"/>
          <w:sz w:val="28"/>
          <w:szCs w:val="28"/>
        </w:rPr>
      </w:pPr>
      <w:r>
        <w:rPr>
          <w:rFonts w:hint="eastAsia" w:ascii="仿宋_GB2312" w:hAnsi="仿宋_GB2312" w:eastAsia="仿宋_GB2312" w:cs="仿宋_GB2312"/>
          <w:b w:val="0"/>
          <w:bCs w:val="0"/>
          <w:sz w:val="28"/>
          <w:szCs w:val="28"/>
        </w:rPr>
        <w:t>交付物：《教学改革政策与成果评审标准分析报告》1份。</w:t>
      </w:r>
    </w:p>
    <w:p w14:paraId="1544D85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b w:val="0"/>
          <w:bCs w:val="0"/>
          <w:sz w:val="28"/>
          <w:szCs w:val="28"/>
        </w:rPr>
      </w:pPr>
      <w:r>
        <w:rPr>
          <w:rFonts w:hint="eastAsia" w:ascii="仿宋_GB2312" w:hAnsi="仿宋_GB2312" w:eastAsia="仿宋_GB2312" w:cs="仿宋_GB2312"/>
          <w:b w:val="0"/>
          <w:bCs w:val="0"/>
          <w:sz w:val="28"/>
          <w:szCs w:val="28"/>
          <w:lang w:val="en-US" w:eastAsia="zh-CN"/>
        </w:rPr>
        <w:t>2.</w:t>
      </w:r>
      <w:r>
        <w:rPr>
          <w:rFonts w:hint="eastAsia" w:ascii="仿宋_GB2312" w:hAnsi="仿宋_GB2312" w:eastAsia="仿宋_GB2312" w:cs="仿宋_GB2312"/>
          <w:b w:val="0"/>
          <w:bCs w:val="0"/>
          <w:sz w:val="28"/>
          <w:szCs w:val="28"/>
        </w:rPr>
        <w:t>学院现有教学改革成果梳理与诊断</w:t>
      </w:r>
    </w:p>
    <w:p w14:paraId="22E75762">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b w:val="0"/>
          <w:bCs w:val="0"/>
          <w:sz w:val="28"/>
          <w:szCs w:val="28"/>
        </w:rPr>
      </w:pPr>
      <w:r>
        <w:rPr>
          <w:rFonts w:hint="eastAsia" w:ascii="仿宋_GB2312" w:hAnsi="仿宋_GB2312" w:eastAsia="仿宋_GB2312" w:cs="仿宋_GB2312"/>
          <w:b w:val="0"/>
          <w:bCs w:val="0"/>
          <w:sz w:val="28"/>
          <w:szCs w:val="28"/>
        </w:rPr>
        <w:t>服务内容：在学院提供的教学改革项目、课程建设、教材建设、教学竞赛、育人模式等成果资料基础上，开展系统梳理与深度诊断。对照国家级、省级教学</w:t>
      </w:r>
      <w:r>
        <w:rPr>
          <w:rFonts w:hint="eastAsia" w:ascii="仿宋_GB2312" w:hAnsi="仿宋_GB2312" w:eastAsia="仿宋_GB2312" w:cs="仿宋_GB2312"/>
          <w:b w:val="0"/>
          <w:bCs w:val="0"/>
          <w:sz w:val="28"/>
          <w:szCs w:val="28"/>
          <w:lang w:val="en-US" w:eastAsia="zh-CN"/>
        </w:rPr>
        <w:t>改革项目</w:t>
      </w:r>
      <w:r>
        <w:rPr>
          <w:rFonts w:hint="eastAsia" w:ascii="仿宋_GB2312" w:hAnsi="仿宋_GB2312" w:eastAsia="仿宋_GB2312" w:cs="仿宋_GB2312"/>
          <w:b w:val="0"/>
          <w:bCs w:val="0"/>
          <w:sz w:val="28"/>
          <w:szCs w:val="28"/>
        </w:rPr>
        <w:t>评审标准，评估学院现有教学</w:t>
      </w:r>
      <w:r>
        <w:rPr>
          <w:rFonts w:hint="eastAsia" w:ascii="仿宋_GB2312" w:hAnsi="仿宋_GB2312" w:eastAsia="仿宋_GB2312" w:cs="仿宋_GB2312"/>
          <w:b w:val="0"/>
          <w:bCs w:val="0"/>
          <w:sz w:val="28"/>
          <w:szCs w:val="28"/>
          <w:lang w:val="en-US" w:eastAsia="zh-CN"/>
        </w:rPr>
        <w:t>改革项目</w:t>
      </w:r>
      <w:r>
        <w:rPr>
          <w:rFonts w:hint="eastAsia" w:ascii="仿宋_GB2312" w:hAnsi="仿宋_GB2312" w:eastAsia="仿宋_GB2312" w:cs="仿宋_GB2312"/>
          <w:b w:val="0"/>
          <w:bCs w:val="0"/>
          <w:sz w:val="28"/>
          <w:szCs w:val="28"/>
        </w:rPr>
        <w:t>的成熟度、创新性、实效性与示范性；识别各成果在成果名称精准提炼、核心内容逻辑梳理、佐证材料筛选整合等方面的短板与提升空间；结合学院“十五五”发展规划定位，提出成果优化与整合建议。</w:t>
      </w:r>
    </w:p>
    <w:p w14:paraId="7BE24A4C">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val="0"/>
          <w:bCs w:val="0"/>
          <w:sz w:val="28"/>
          <w:szCs w:val="28"/>
        </w:rPr>
        <w:t>交付物：《教学改革成果梳理与诊断报告》1份</w:t>
      </w:r>
      <w:r>
        <w:rPr>
          <w:rFonts w:hint="eastAsia" w:ascii="仿宋_GB2312" w:hAnsi="仿宋_GB2312" w:eastAsia="仿宋_GB2312" w:cs="仿宋_GB2312"/>
          <w:sz w:val="28"/>
          <w:szCs w:val="28"/>
        </w:rPr>
        <w:t>。</w:t>
      </w:r>
    </w:p>
    <w:p w14:paraId="5812FCA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b w:val="0"/>
          <w:bCs w:val="0"/>
          <w:sz w:val="28"/>
          <w:szCs w:val="28"/>
        </w:rPr>
      </w:pPr>
      <w:r>
        <w:rPr>
          <w:rFonts w:hint="eastAsia" w:ascii="仿宋_GB2312" w:hAnsi="仿宋_GB2312" w:eastAsia="仿宋_GB2312" w:cs="仿宋_GB2312"/>
          <w:b w:val="0"/>
          <w:bCs w:val="0"/>
          <w:sz w:val="28"/>
          <w:szCs w:val="28"/>
          <w:lang w:val="en-US" w:eastAsia="zh-CN"/>
        </w:rPr>
        <w:t>3.</w:t>
      </w:r>
      <w:r>
        <w:rPr>
          <w:rFonts w:hint="eastAsia" w:ascii="仿宋_GB2312" w:hAnsi="仿宋_GB2312" w:eastAsia="仿宋_GB2312" w:cs="仿宋_GB2312"/>
          <w:b w:val="0"/>
          <w:bCs w:val="0"/>
          <w:sz w:val="28"/>
          <w:szCs w:val="28"/>
        </w:rPr>
        <w:t>教学改革成果培育方向规划与培育方案制定</w:t>
      </w:r>
    </w:p>
    <w:p w14:paraId="365B3D32">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b w:val="0"/>
          <w:bCs w:val="0"/>
          <w:sz w:val="28"/>
          <w:szCs w:val="28"/>
        </w:rPr>
      </w:pPr>
      <w:r>
        <w:rPr>
          <w:rFonts w:hint="eastAsia" w:ascii="仿宋_GB2312" w:hAnsi="仿宋_GB2312" w:eastAsia="仿宋_GB2312" w:cs="仿宋_GB2312"/>
          <w:b w:val="0"/>
          <w:bCs w:val="0"/>
          <w:sz w:val="28"/>
          <w:szCs w:val="28"/>
        </w:rPr>
        <w:t>服务内容：基于政策研究与成果诊断，围绕学院核心优势领域（如轨道交通类专业群育人模式创新、产教融合实践、课程思政建设、数字化转型等），聚焦立德树人、专业建设、校企</w:t>
      </w:r>
      <w:r>
        <w:rPr>
          <w:rFonts w:hint="eastAsia" w:ascii="仿宋_GB2312" w:hAnsi="仿宋_GB2312" w:eastAsia="仿宋_GB2312" w:cs="仿宋_GB2312"/>
          <w:b w:val="0"/>
          <w:bCs w:val="0"/>
          <w:color w:val="auto"/>
          <w:sz w:val="28"/>
          <w:szCs w:val="28"/>
        </w:rPr>
        <w:t>合作</w:t>
      </w:r>
      <w:r>
        <w:rPr>
          <w:rFonts w:hint="eastAsia" w:ascii="仿宋_GB2312" w:hAnsi="仿宋_GB2312" w:eastAsia="仿宋_GB2312" w:cs="仿宋_GB2312"/>
          <w:b w:val="0"/>
          <w:bCs w:val="0"/>
          <w:color w:val="auto"/>
          <w:sz w:val="28"/>
          <w:szCs w:val="28"/>
          <w:lang w:eastAsia="zh-CN"/>
        </w:rPr>
        <w:t>、</w:t>
      </w:r>
      <w:r>
        <w:rPr>
          <w:rFonts w:hint="eastAsia" w:ascii="仿宋_GB2312" w:hAnsi="仿宋_GB2312" w:eastAsia="仿宋_GB2312" w:cs="仿宋_GB2312"/>
          <w:b w:val="0"/>
          <w:bCs w:val="0"/>
          <w:color w:val="auto"/>
          <w:sz w:val="28"/>
          <w:szCs w:val="28"/>
          <w:lang w:val="en-US" w:eastAsia="zh-CN"/>
        </w:rPr>
        <w:t>教师培养、育训结合</w:t>
      </w:r>
      <w:r>
        <w:rPr>
          <w:rFonts w:hint="eastAsia" w:ascii="仿宋_GB2312" w:hAnsi="仿宋_GB2312" w:eastAsia="仿宋_GB2312" w:cs="仿宋_GB2312"/>
          <w:b w:val="0"/>
          <w:bCs w:val="0"/>
          <w:color w:val="auto"/>
          <w:sz w:val="28"/>
          <w:szCs w:val="28"/>
        </w:rPr>
        <w:t>等核心领域锚定培育方向，规划2—3个重点培育方向并设计对应的培育</w:t>
      </w:r>
      <w:r>
        <w:rPr>
          <w:rFonts w:hint="eastAsia" w:ascii="仿宋_GB2312" w:hAnsi="仿宋_GB2312" w:eastAsia="仿宋_GB2312" w:cs="仿宋_GB2312"/>
          <w:b w:val="0"/>
          <w:bCs w:val="0"/>
          <w:color w:val="auto"/>
          <w:sz w:val="28"/>
          <w:szCs w:val="28"/>
          <w:lang w:val="en-US" w:eastAsia="zh-CN"/>
        </w:rPr>
        <w:t>成果主体</w:t>
      </w:r>
      <w:r>
        <w:rPr>
          <w:rFonts w:hint="eastAsia" w:ascii="仿宋_GB2312" w:hAnsi="仿宋_GB2312" w:eastAsia="仿宋_GB2312" w:cs="仿宋_GB2312"/>
          <w:b w:val="0"/>
          <w:bCs w:val="0"/>
          <w:color w:val="auto"/>
          <w:sz w:val="28"/>
          <w:szCs w:val="28"/>
        </w:rPr>
        <w:t>框架；结</w:t>
      </w:r>
      <w:r>
        <w:rPr>
          <w:rFonts w:hint="eastAsia" w:ascii="仿宋_GB2312" w:hAnsi="仿宋_GB2312" w:eastAsia="仿宋_GB2312" w:cs="仿宋_GB2312"/>
          <w:b w:val="0"/>
          <w:bCs w:val="0"/>
          <w:sz w:val="28"/>
          <w:szCs w:val="28"/>
        </w:rPr>
        <w:t>合学院办学特色与现有成果基础，明确各培育方向的定位与差异化优势，提出选题优化建议；协助设计培育方案的实施路径、时间节点与关键里程碑，形成可操作、可落地的培育方案。</w:t>
      </w:r>
    </w:p>
    <w:p w14:paraId="31D997CA">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b w:val="0"/>
          <w:bCs w:val="0"/>
          <w:sz w:val="28"/>
          <w:szCs w:val="28"/>
        </w:rPr>
      </w:pPr>
      <w:r>
        <w:rPr>
          <w:rFonts w:hint="eastAsia" w:ascii="仿宋_GB2312" w:hAnsi="仿宋_GB2312" w:eastAsia="仿宋_GB2312" w:cs="仿宋_GB2312"/>
          <w:b w:val="0"/>
          <w:bCs w:val="0"/>
          <w:sz w:val="28"/>
          <w:szCs w:val="28"/>
        </w:rPr>
        <w:t>交付物：《教学改革成果培育方向规划与培育方案》1份（含2—3个重点培育方向及对应主题框架）。</w:t>
      </w:r>
    </w:p>
    <w:p w14:paraId="0071B459">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lang w:val="en-US" w:eastAsia="zh-CN"/>
        </w:rPr>
        <w:t>4.</w:t>
      </w:r>
      <w:r>
        <w:rPr>
          <w:rFonts w:hint="eastAsia" w:ascii="仿宋_GB2312" w:hAnsi="仿宋_GB2312" w:eastAsia="仿宋_GB2312" w:cs="仿宋_GB2312"/>
          <w:b w:val="0"/>
          <w:bCs w:val="0"/>
          <w:color w:val="auto"/>
          <w:sz w:val="28"/>
          <w:szCs w:val="28"/>
        </w:rPr>
        <w:t>专家论证与方案优化</w:t>
      </w:r>
    </w:p>
    <w:p w14:paraId="4CFF919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lang w:val="en-US" w:eastAsia="zh-CN"/>
        </w:rPr>
        <w:t>服务内容</w:t>
      </w:r>
      <w:r>
        <w:rPr>
          <w:rFonts w:hint="eastAsia" w:ascii="仿宋_GB2312" w:hAnsi="仿宋_GB2312" w:eastAsia="仿宋_GB2312" w:cs="仿宋_GB2312"/>
          <w:b w:val="0"/>
          <w:bCs w:val="0"/>
          <w:color w:val="auto"/>
          <w:sz w:val="28"/>
          <w:szCs w:val="28"/>
        </w:rPr>
        <w:t>：</w:t>
      </w:r>
      <w:r>
        <w:rPr>
          <w:rFonts w:hint="eastAsia" w:ascii="仿宋_GB2312" w:hAnsi="仿宋_GB2312" w:eastAsia="仿宋_GB2312" w:cs="仿宋_GB2312"/>
          <w:b w:val="0"/>
          <w:bCs w:val="0"/>
          <w:color w:val="auto"/>
          <w:sz w:val="28"/>
          <w:szCs w:val="28"/>
          <w:lang w:eastAsia="zh-CN"/>
        </w:rPr>
        <w:t>服务方</w:t>
      </w:r>
      <w:r>
        <w:rPr>
          <w:rFonts w:hint="eastAsia" w:ascii="仿宋_GB2312" w:hAnsi="仿宋_GB2312" w:eastAsia="仿宋_GB2312" w:cs="仿宋_GB2312"/>
          <w:b w:val="0"/>
          <w:bCs w:val="0"/>
          <w:color w:val="auto"/>
          <w:sz w:val="28"/>
          <w:szCs w:val="28"/>
        </w:rPr>
        <w:t>负责邀请并组织专家论证会不少于1次，就培育方向规划的合理性、培育方案的科学性与可行性进行系统论证。专家邀请工作由</w:t>
      </w:r>
      <w:r>
        <w:rPr>
          <w:rFonts w:hint="eastAsia" w:ascii="仿宋_GB2312" w:hAnsi="仿宋_GB2312" w:eastAsia="仿宋_GB2312" w:cs="仿宋_GB2312"/>
          <w:b w:val="0"/>
          <w:bCs w:val="0"/>
          <w:color w:val="auto"/>
          <w:sz w:val="28"/>
          <w:szCs w:val="28"/>
          <w:lang w:eastAsia="zh-CN"/>
        </w:rPr>
        <w:t>服务方</w:t>
      </w:r>
      <w:r>
        <w:rPr>
          <w:rFonts w:hint="eastAsia" w:ascii="仿宋_GB2312" w:hAnsi="仿宋_GB2312" w:eastAsia="仿宋_GB2312" w:cs="仿宋_GB2312"/>
          <w:b w:val="0"/>
          <w:bCs w:val="0"/>
          <w:color w:val="auto"/>
          <w:sz w:val="28"/>
          <w:szCs w:val="28"/>
        </w:rPr>
        <w:t>负责，专家费用由</w:t>
      </w:r>
      <w:r>
        <w:rPr>
          <w:rFonts w:hint="eastAsia" w:ascii="仿宋_GB2312" w:hAnsi="仿宋_GB2312" w:eastAsia="仿宋_GB2312" w:cs="仿宋_GB2312"/>
          <w:b w:val="0"/>
          <w:bCs w:val="0"/>
          <w:color w:val="auto"/>
          <w:sz w:val="28"/>
          <w:szCs w:val="28"/>
          <w:lang w:eastAsia="zh-CN"/>
        </w:rPr>
        <w:t>服务方</w:t>
      </w:r>
      <w:r>
        <w:rPr>
          <w:rFonts w:hint="eastAsia" w:ascii="仿宋_GB2312" w:hAnsi="仿宋_GB2312" w:eastAsia="仿宋_GB2312" w:cs="仿宋_GB2312"/>
          <w:b w:val="0"/>
          <w:bCs w:val="0"/>
          <w:color w:val="auto"/>
          <w:sz w:val="28"/>
          <w:szCs w:val="28"/>
        </w:rPr>
        <w:t>承担。论证会后，</w:t>
      </w:r>
      <w:r>
        <w:rPr>
          <w:rFonts w:hint="eastAsia" w:ascii="仿宋_GB2312" w:hAnsi="仿宋_GB2312" w:eastAsia="仿宋_GB2312" w:cs="仿宋_GB2312"/>
          <w:b w:val="0"/>
          <w:bCs w:val="0"/>
          <w:color w:val="auto"/>
          <w:sz w:val="28"/>
          <w:szCs w:val="28"/>
          <w:lang w:eastAsia="zh-CN"/>
        </w:rPr>
        <w:t>服务方</w:t>
      </w:r>
      <w:r>
        <w:rPr>
          <w:rFonts w:hint="eastAsia" w:ascii="仿宋_GB2312" w:hAnsi="仿宋_GB2312" w:eastAsia="仿宋_GB2312" w:cs="仿宋_GB2312"/>
          <w:b w:val="0"/>
          <w:bCs w:val="0"/>
          <w:color w:val="auto"/>
          <w:sz w:val="28"/>
          <w:szCs w:val="28"/>
        </w:rPr>
        <w:t>根据专家意见对培育方案进行修改完善，形成优化后的培育方向与方案建议，为学院确定重点培育项目提供决策依据。</w:t>
      </w:r>
    </w:p>
    <w:p w14:paraId="03424D6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default"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专家团队：参会专家不少于5名，其中至少3名须具有高级及以上职称；企业专家可具备高级工程师及以上职称，或一级/高级技师及以上职业技能等级。所有专家近5年内须承担或参与过国家级、省级教学改革类课题项目，参与的重点课题合计不少于3项，须提供课题立项、结项等相关佐证材料。</w:t>
      </w:r>
    </w:p>
    <w:p w14:paraId="7408FF74">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交付物：《专家论证意见》1份；《教学改革成果培育方向与方案优化建议报告》1份。</w:t>
      </w:r>
    </w:p>
    <w:p w14:paraId="6512FEFB">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b w:val="0"/>
          <w:bCs w:val="0"/>
          <w:sz w:val="28"/>
          <w:szCs w:val="28"/>
        </w:rPr>
      </w:pPr>
      <w:r>
        <w:rPr>
          <w:rFonts w:hint="eastAsia" w:ascii="仿宋_GB2312" w:hAnsi="仿宋_GB2312" w:eastAsia="仿宋_GB2312" w:cs="仿宋_GB2312"/>
          <w:b w:val="0"/>
          <w:bCs w:val="0"/>
          <w:sz w:val="28"/>
          <w:szCs w:val="28"/>
          <w:lang w:val="en-US" w:eastAsia="zh-CN"/>
        </w:rPr>
        <w:t>5.</w:t>
      </w:r>
      <w:r>
        <w:rPr>
          <w:rFonts w:hint="eastAsia" w:ascii="仿宋_GB2312" w:hAnsi="仿宋_GB2312" w:eastAsia="仿宋_GB2312" w:cs="仿宋_GB2312"/>
          <w:b w:val="0"/>
          <w:bCs w:val="0"/>
          <w:sz w:val="28"/>
          <w:szCs w:val="28"/>
        </w:rPr>
        <w:t>综合咨询报告编制</w:t>
      </w:r>
    </w:p>
    <w:p w14:paraId="2569167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服务内容：在以上各模块工作基础上，将政策研究、成果诊断、培育方向规划、培育方案制定、专家论证等成果进行整合凝练，形成学院教学改革成果培育综合咨询报告，为学院“十五五”期间教学改革成果培育方向选择、重点培育项目确定及后续申报提供系统性的决策参考。</w:t>
      </w:r>
    </w:p>
    <w:p w14:paraId="5E53ABE8">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b w:val="0"/>
          <w:bCs w:val="0"/>
          <w:color w:val="auto"/>
          <w:sz w:val="28"/>
          <w:szCs w:val="28"/>
          <w:lang w:val="en-US" w:eastAsia="zh-CN"/>
        </w:rPr>
        <w:t>交付物：《</w:t>
      </w:r>
      <w:r>
        <w:rPr>
          <w:rFonts w:hint="eastAsia" w:ascii="仿宋_GB2312" w:hAnsi="仿宋_GB2312" w:eastAsia="仿宋_GB2312" w:cs="仿宋_GB2312"/>
          <w:sz w:val="28"/>
          <w:szCs w:val="28"/>
          <w:lang w:val="en-US" w:eastAsia="zh-CN"/>
        </w:rPr>
        <w:t>学院</w:t>
      </w:r>
      <w:r>
        <w:rPr>
          <w:rFonts w:hint="eastAsia" w:ascii="仿宋_GB2312" w:hAnsi="仿宋_GB2312" w:eastAsia="仿宋_GB2312" w:cs="仿宋_GB2312"/>
          <w:sz w:val="28"/>
          <w:szCs w:val="28"/>
        </w:rPr>
        <w:t>教学改革成果培育综合咨询报告》1份。</w:t>
      </w:r>
    </w:p>
    <w:p w14:paraId="6DDACCC3">
      <w:pPr>
        <w:pStyle w:val="101"/>
        <w:keepNext w:val="0"/>
        <w:keepLines w:val="0"/>
        <w:pageBreakBefore w:val="0"/>
        <w:kinsoku/>
        <w:wordWrap/>
        <w:overflowPunct/>
        <w:topLinePunct w:val="0"/>
        <w:autoSpaceDE/>
        <w:autoSpaceDN/>
        <w:bidi w:val="0"/>
        <w:adjustRightInd/>
        <w:snapToGrid/>
        <w:spacing w:line="460" w:lineRule="exact"/>
        <w:ind w:left="0" w:firstLine="560" w:firstLineChars="200"/>
        <w:jc w:val="both"/>
        <w:textAlignment w:val="auto"/>
        <w:outlineLvl w:val="9"/>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三</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color w:val="auto"/>
          <w:sz w:val="28"/>
          <w:szCs w:val="28"/>
          <w:highlight w:val="none"/>
          <w:lang w:eastAsia="zh-CN"/>
        </w:rPr>
        <w:t>省级双高专业群</w:t>
      </w:r>
      <w:r>
        <w:rPr>
          <w:rFonts w:hint="eastAsia" w:ascii="仿宋_GB2312" w:hAnsi="仿宋_GB2312" w:eastAsia="仿宋_GB2312" w:cs="仿宋_GB2312"/>
          <w:color w:val="auto"/>
          <w:sz w:val="28"/>
          <w:szCs w:val="28"/>
          <w:highlight w:val="none"/>
          <w:lang w:val="en-US" w:eastAsia="zh-CN"/>
        </w:rPr>
        <w:t>验收与</w:t>
      </w:r>
      <w:r>
        <w:rPr>
          <w:rFonts w:hint="eastAsia" w:ascii="仿宋_GB2312" w:hAnsi="仿宋_GB2312" w:eastAsia="仿宋_GB2312" w:cs="仿宋_GB2312"/>
          <w:color w:val="auto"/>
          <w:sz w:val="28"/>
          <w:szCs w:val="28"/>
          <w:highlight w:val="none"/>
          <w:lang w:eastAsia="zh-CN"/>
        </w:rPr>
        <w:t>申报全流程咨询</w:t>
      </w:r>
    </w:p>
    <w:p w14:paraId="76EA3E43">
      <w:pPr>
        <w:pStyle w:val="3"/>
        <w:keepNext w:val="0"/>
        <w:keepLines w:val="0"/>
        <w:pageBreakBefore w:val="0"/>
        <w:widowControl/>
        <w:kinsoku/>
        <w:wordWrap/>
        <w:overflowPunct/>
        <w:topLinePunct w:val="0"/>
        <w:autoSpaceDE/>
        <w:autoSpaceDN/>
        <w:bidi w:val="0"/>
        <w:adjustRightInd/>
        <w:snapToGrid/>
        <w:spacing w:line="460" w:lineRule="exact"/>
        <w:ind w:firstLine="536" w:firstLineChars="200"/>
        <w:textAlignment w:val="auto"/>
        <w:rPr>
          <w:rFonts w:hint="eastAsia" w:ascii="仿宋_GB2312" w:hAnsi="仿宋_GB2312" w:eastAsia="仿宋_GB2312" w:cs="仿宋_GB2312"/>
          <w:b w:val="0"/>
          <w:bCs w:val="0"/>
          <w:sz w:val="28"/>
          <w:szCs w:val="28"/>
        </w:rPr>
      </w:pPr>
      <w:bookmarkStart w:id="3" w:name="模块一首轮材料合规性评审与问题诊断"/>
      <w:r>
        <w:rPr>
          <w:rStyle w:val="105"/>
          <w:rFonts w:hint="eastAsia" w:cs="仿宋_GB2312"/>
          <w:b w:val="0"/>
          <w:bCs w:val="0"/>
          <w:sz w:val="28"/>
          <w:szCs w:val="28"/>
          <w:lang w:val="en-US" w:eastAsia="zh-CN"/>
        </w:rPr>
        <w:t>1.</w:t>
      </w:r>
      <w:r>
        <w:rPr>
          <w:rFonts w:hint="eastAsia" w:ascii="仿宋_GB2312" w:hAnsi="仿宋_GB2312" w:eastAsia="仿宋_GB2312" w:cs="仿宋_GB2312"/>
          <w:b w:val="0"/>
          <w:bCs w:val="0"/>
          <w:sz w:val="28"/>
          <w:szCs w:val="28"/>
        </w:rPr>
        <w:t>首轮材料合规性评审与问题诊断</w:t>
      </w:r>
    </w:p>
    <w:p w14:paraId="3B064DD7">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spacing w:val="-6"/>
          <w:sz w:val="28"/>
          <w:szCs w:val="28"/>
          <w:lang w:val="en-US" w:eastAsia="zh-CN" w:bidi="ar-SA"/>
        </w:rPr>
      </w:pPr>
      <w:r>
        <w:rPr>
          <w:rFonts w:hint="eastAsia" w:ascii="仿宋_GB2312" w:hAnsi="仿宋_GB2312" w:eastAsia="仿宋_GB2312" w:cs="仿宋_GB2312"/>
          <w:spacing w:val="-6"/>
          <w:sz w:val="28"/>
          <w:szCs w:val="28"/>
          <w:lang w:val="en-US" w:eastAsia="zh-CN" w:bidi="ar-SA"/>
        </w:rPr>
        <w:t>服务内容：针对学校3个存量省级双高专业群验收材料，对照省级双高验收通知文件开展全面专项评审，从内容完整性、数据准确性、成果支撑性、政策契合度、逻辑规范性等维度查摆问题，出具标准化《专家评审评分表》及《专家反馈意见汇总》，明确整改方向与优化重点。</w:t>
      </w:r>
    </w:p>
    <w:p w14:paraId="181DB681">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spacing w:val="-6"/>
          <w:sz w:val="28"/>
          <w:szCs w:val="28"/>
          <w:highlight w:val="none"/>
          <w:lang w:val="en-US" w:eastAsia="zh-CN" w:bidi="ar-SA"/>
        </w:rPr>
      </w:pPr>
      <w:r>
        <w:rPr>
          <w:rFonts w:hint="eastAsia" w:ascii="仿宋_GB2312" w:hAnsi="仿宋_GB2312" w:eastAsia="仿宋_GB2312" w:cs="仿宋_GB2312"/>
          <w:spacing w:val="-6"/>
          <w:sz w:val="28"/>
          <w:szCs w:val="28"/>
          <w:lang w:val="en-US" w:eastAsia="zh-CN" w:bidi="ar-SA"/>
        </w:rPr>
        <w:t>专家团队：</w:t>
      </w:r>
      <w:r>
        <w:rPr>
          <w:rFonts w:hint="eastAsia" w:ascii="仿宋_GB2312" w:hAnsi="仿宋_GB2312" w:eastAsia="仿宋_GB2312" w:cs="仿宋_GB2312"/>
          <w:spacing w:val="-6"/>
          <w:sz w:val="28"/>
          <w:szCs w:val="28"/>
          <w:highlight w:val="none"/>
          <w:lang w:val="en-US" w:eastAsia="zh-CN" w:bidi="ar-SA"/>
        </w:rPr>
        <w:t>2位评审专家，专家要求高级</w:t>
      </w:r>
      <w:r>
        <w:rPr>
          <w:rFonts w:hint="eastAsia" w:ascii="仿宋_GB2312" w:hAnsi="仿宋_GB2312" w:eastAsia="仿宋_GB2312" w:cs="仿宋_GB2312"/>
          <w:b w:val="0"/>
          <w:bCs w:val="0"/>
          <w:color w:val="auto"/>
          <w:sz w:val="28"/>
          <w:szCs w:val="28"/>
          <w:highlight w:val="none"/>
          <w:lang w:val="en-US" w:eastAsia="zh-CN"/>
        </w:rPr>
        <w:t>及以上</w:t>
      </w:r>
      <w:r>
        <w:rPr>
          <w:rFonts w:hint="eastAsia" w:ascii="仿宋_GB2312" w:hAnsi="仿宋_GB2312" w:eastAsia="仿宋_GB2312" w:cs="仿宋_GB2312"/>
          <w:spacing w:val="-6"/>
          <w:sz w:val="28"/>
          <w:szCs w:val="28"/>
          <w:highlight w:val="none"/>
          <w:lang w:val="en-US" w:eastAsia="zh-CN" w:bidi="ar-SA"/>
        </w:rPr>
        <w:t>职称专家，国双高院校专家，线上评审及反馈意见表。</w:t>
      </w:r>
    </w:p>
    <w:p w14:paraId="3FFCBE68">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spacing w:val="-6"/>
          <w:sz w:val="28"/>
          <w:szCs w:val="28"/>
          <w:highlight w:val="none"/>
          <w:lang w:val="en-US" w:eastAsia="zh-CN" w:bidi="ar-SA"/>
        </w:rPr>
      </w:pPr>
      <w:r>
        <w:rPr>
          <w:rFonts w:hint="eastAsia" w:ascii="仿宋_GB2312" w:hAnsi="仿宋_GB2312" w:eastAsia="仿宋_GB2312" w:cs="仿宋_GB2312"/>
          <w:spacing w:val="-6"/>
          <w:sz w:val="28"/>
          <w:szCs w:val="28"/>
          <w:highlight w:val="none"/>
          <w:lang w:val="en-US" w:eastAsia="zh-CN" w:bidi="ar-SA"/>
        </w:rPr>
        <w:t>交付物：《专家评审评分表》1份；《专家反馈意见汇总》1份。</w:t>
      </w:r>
    </w:p>
    <w:bookmarkEnd w:id="3"/>
    <w:p w14:paraId="3A55E272">
      <w:pPr>
        <w:pStyle w:val="3"/>
        <w:keepNext w:val="0"/>
        <w:keepLines w:val="0"/>
        <w:pageBreakBefore w:val="0"/>
        <w:widowControl/>
        <w:kinsoku/>
        <w:wordWrap/>
        <w:overflowPunct/>
        <w:topLinePunct w:val="0"/>
        <w:autoSpaceDE/>
        <w:autoSpaceDN/>
        <w:bidi w:val="0"/>
        <w:adjustRightInd/>
        <w:snapToGrid/>
        <w:spacing w:line="460" w:lineRule="exact"/>
        <w:ind w:firstLine="536" w:firstLineChars="200"/>
        <w:textAlignment w:val="auto"/>
        <w:rPr>
          <w:rFonts w:hint="eastAsia" w:ascii="仿宋_GB2312" w:hAnsi="仿宋_GB2312" w:eastAsia="仿宋_GB2312" w:cs="仿宋_GB2312"/>
          <w:b w:val="0"/>
          <w:bCs/>
          <w:sz w:val="28"/>
          <w:szCs w:val="28"/>
          <w:highlight w:val="none"/>
        </w:rPr>
      </w:pPr>
      <w:bookmarkStart w:id="4" w:name="模块二线上专项研讨与首轮材料定稿"/>
      <w:r>
        <w:rPr>
          <w:rFonts w:hint="eastAsia" w:cs="仿宋_GB2312"/>
          <w:b w:val="0"/>
          <w:bCs/>
          <w:sz w:val="28"/>
          <w:szCs w:val="28"/>
          <w:highlight w:val="none"/>
          <w:lang w:val="en-US" w:eastAsia="zh-CN"/>
        </w:rPr>
        <w:t>2.</w:t>
      </w:r>
      <w:r>
        <w:rPr>
          <w:rFonts w:hint="eastAsia" w:ascii="仿宋_GB2312" w:hAnsi="仿宋_GB2312" w:eastAsia="仿宋_GB2312" w:cs="仿宋_GB2312"/>
          <w:b w:val="0"/>
          <w:bCs/>
          <w:sz w:val="28"/>
          <w:szCs w:val="28"/>
          <w:highlight w:val="none"/>
        </w:rPr>
        <w:t>线上专项研讨与首轮材料定稿</w:t>
      </w:r>
    </w:p>
    <w:p w14:paraId="29DCF491">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spacing w:val="-6"/>
          <w:sz w:val="28"/>
          <w:szCs w:val="28"/>
          <w:highlight w:val="none"/>
          <w:lang w:val="en-US" w:eastAsia="zh-CN" w:bidi="ar-SA"/>
        </w:rPr>
      </w:pPr>
      <w:r>
        <w:rPr>
          <w:rFonts w:hint="eastAsia" w:ascii="仿宋_GB2312" w:hAnsi="仿宋_GB2312" w:eastAsia="仿宋_GB2312" w:cs="仿宋_GB2312"/>
          <w:spacing w:val="-6"/>
          <w:sz w:val="28"/>
          <w:szCs w:val="28"/>
          <w:highlight w:val="none"/>
          <w:lang w:val="en-US" w:eastAsia="zh-CN" w:bidi="ar-SA"/>
        </w:rPr>
        <w:t>服务内容：组织1名专家与3个专业群建设团队开展线上集中交流会，针对性解读整改标准、答疑解惑、细化修改方案。指导团队完成材料首轮修改，形成3份验收材料修改稿，并对修改内容进行复核确认，完成首批材料定稿。</w:t>
      </w:r>
    </w:p>
    <w:p w14:paraId="63B8A782">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spacing w:val="-6"/>
          <w:sz w:val="28"/>
          <w:szCs w:val="28"/>
          <w:highlight w:val="none"/>
          <w:lang w:val="en-US" w:eastAsia="zh-CN" w:bidi="ar-SA"/>
        </w:rPr>
      </w:pPr>
      <w:r>
        <w:rPr>
          <w:rFonts w:hint="eastAsia" w:ascii="仿宋_GB2312" w:hAnsi="仿宋_GB2312" w:eastAsia="仿宋_GB2312" w:cs="仿宋_GB2312"/>
          <w:spacing w:val="-6"/>
          <w:sz w:val="28"/>
          <w:szCs w:val="28"/>
          <w:highlight w:val="none"/>
          <w:lang w:val="en-US" w:eastAsia="zh-CN" w:bidi="ar-SA"/>
        </w:rPr>
        <w:t>专家团队：1位专家，专家要求高级</w:t>
      </w:r>
      <w:r>
        <w:rPr>
          <w:rFonts w:hint="eastAsia" w:ascii="仿宋_GB2312" w:hAnsi="仿宋_GB2312" w:eastAsia="仿宋_GB2312" w:cs="仿宋_GB2312"/>
          <w:b w:val="0"/>
          <w:bCs w:val="0"/>
          <w:color w:val="auto"/>
          <w:sz w:val="28"/>
          <w:szCs w:val="28"/>
          <w:highlight w:val="none"/>
          <w:lang w:val="en-US" w:eastAsia="zh-CN"/>
        </w:rPr>
        <w:t>及以上</w:t>
      </w:r>
      <w:r>
        <w:rPr>
          <w:rFonts w:hint="eastAsia" w:ascii="仿宋_GB2312" w:hAnsi="仿宋_GB2312" w:eastAsia="仿宋_GB2312" w:cs="仿宋_GB2312"/>
          <w:spacing w:val="-6"/>
          <w:sz w:val="28"/>
          <w:szCs w:val="28"/>
          <w:highlight w:val="none"/>
          <w:lang w:val="en-US" w:eastAsia="zh-CN" w:bidi="ar-SA"/>
        </w:rPr>
        <w:t>职称专家，</w:t>
      </w:r>
      <w:r>
        <w:rPr>
          <w:rFonts w:hint="eastAsia" w:cs="仿宋_GB2312"/>
          <w:spacing w:val="-6"/>
          <w:sz w:val="28"/>
          <w:szCs w:val="28"/>
          <w:highlight w:val="none"/>
          <w:lang w:val="en-US" w:eastAsia="zh-CN" w:bidi="ar-SA"/>
        </w:rPr>
        <w:t>来自</w:t>
      </w:r>
      <w:r>
        <w:rPr>
          <w:rFonts w:hint="eastAsia" w:ascii="仿宋_GB2312" w:hAnsi="仿宋_GB2312" w:eastAsia="仿宋_GB2312" w:cs="仿宋_GB2312"/>
          <w:spacing w:val="-6"/>
          <w:sz w:val="28"/>
          <w:szCs w:val="28"/>
          <w:highlight w:val="none"/>
          <w:lang w:val="en-US" w:eastAsia="zh-CN" w:bidi="ar-SA"/>
        </w:rPr>
        <w:t>国双高院校专家。</w:t>
      </w:r>
    </w:p>
    <w:p w14:paraId="0446F178">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spacing w:val="-6"/>
          <w:sz w:val="28"/>
          <w:szCs w:val="28"/>
          <w:highlight w:val="none"/>
          <w:lang w:val="en-US" w:eastAsia="zh-CN" w:bidi="ar-SA"/>
        </w:rPr>
      </w:pPr>
      <w:r>
        <w:rPr>
          <w:rFonts w:hint="eastAsia" w:ascii="仿宋_GB2312" w:hAnsi="仿宋_GB2312" w:eastAsia="仿宋_GB2312" w:cs="仿宋_GB2312"/>
          <w:spacing w:val="-6"/>
          <w:sz w:val="28"/>
          <w:szCs w:val="28"/>
          <w:highlight w:val="none"/>
          <w:lang w:val="en-US" w:eastAsia="zh-CN" w:bidi="ar-SA"/>
        </w:rPr>
        <w:t>交付物：《验收材料修改稿》3份；《验收材料定稿》3份。</w:t>
      </w:r>
      <w:bookmarkStart w:id="7" w:name="_GoBack"/>
      <w:bookmarkEnd w:id="7"/>
    </w:p>
    <w:bookmarkEnd w:id="4"/>
    <w:p w14:paraId="0FC44E4C">
      <w:pPr>
        <w:pStyle w:val="3"/>
        <w:keepNext w:val="0"/>
        <w:keepLines w:val="0"/>
        <w:pageBreakBefore w:val="0"/>
        <w:widowControl/>
        <w:kinsoku/>
        <w:wordWrap/>
        <w:overflowPunct/>
        <w:topLinePunct w:val="0"/>
        <w:autoSpaceDE/>
        <w:autoSpaceDN/>
        <w:bidi w:val="0"/>
        <w:adjustRightInd/>
        <w:snapToGrid/>
        <w:spacing w:line="460" w:lineRule="exact"/>
        <w:ind w:firstLine="536" w:firstLineChars="200"/>
        <w:textAlignment w:val="auto"/>
        <w:rPr>
          <w:rFonts w:hint="eastAsia" w:ascii="仿宋_GB2312" w:hAnsi="仿宋_GB2312" w:eastAsia="仿宋_GB2312" w:cs="仿宋_GB2312"/>
          <w:b w:val="0"/>
          <w:bCs/>
          <w:color w:val="auto"/>
          <w:sz w:val="28"/>
          <w:szCs w:val="28"/>
          <w:highlight w:val="none"/>
        </w:rPr>
      </w:pPr>
      <w:bookmarkStart w:id="5" w:name="模块三校级专业群遴选评审"/>
      <w:r>
        <w:rPr>
          <w:rFonts w:hint="eastAsia" w:cs="仿宋_GB2312"/>
          <w:b w:val="0"/>
          <w:bCs/>
          <w:color w:val="auto"/>
          <w:sz w:val="28"/>
          <w:szCs w:val="28"/>
          <w:highlight w:val="none"/>
          <w:lang w:val="en-US" w:eastAsia="zh-CN"/>
        </w:rPr>
        <w:t>3.</w:t>
      </w:r>
      <w:r>
        <w:rPr>
          <w:rFonts w:hint="eastAsia" w:ascii="仿宋_GB2312" w:hAnsi="仿宋_GB2312" w:eastAsia="仿宋_GB2312" w:cs="仿宋_GB2312"/>
          <w:b w:val="0"/>
          <w:bCs/>
          <w:color w:val="auto"/>
          <w:sz w:val="28"/>
          <w:szCs w:val="28"/>
          <w:highlight w:val="none"/>
        </w:rPr>
        <w:t>线上精修指导</w:t>
      </w:r>
    </w:p>
    <w:p w14:paraId="439697A2">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highlight w:val="none"/>
          <w:lang w:val="en-US" w:eastAsia="zh-CN" w:bidi="ar-SA"/>
        </w:rPr>
      </w:pPr>
      <w:r>
        <w:rPr>
          <w:rFonts w:hint="eastAsia" w:ascii="仿宋_GB2312" w:hAnsi="仿宋_GB2312" w:eastAsia="仿宋_GB2312" w:cs="仿宋_GB2312"/>
          <w:color w:val="auto"/>
          <w:spacing w:val="-6"/>
          <w:sz w:val="28"/>
          <w:szCs w:val="28"/>
          <w:highlight w:val="none"/>
          <w:lang w:val="en-US" w:eastAsia="zh-CN" w:bidi="ar-SA"/>
        </w:rPr>
        <w:t>服务内容：针对6个候选申报专业群材料，通过线上批注方式反馈问题和修改意见，聚焦各专业群10项核心建设项目，梳理材料短板、数据偏差、亮点缺失等问题，形成6份完整专家批注意见；全程开展不少于2次线上一对一专项指导，解答修改重难点问题，指导团队完成修改。</w:t>
      </w:r>
    </w:p>
    <w:p w14:paraId="2C3C5B64">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highlight w:val="none"/>
          <w:lang w:val="en-US" w:eastAsia="zh-CN" w:bidi="ar-SA"/>
        </w:rPr>
        <w:t>专家团队：</w:t>
      </w:r>
      <w:r>
        <w:rPr>
          <w:rFonts w:hint="eastAsia" w:cs="仿宋_GB2312"/>
          <w:color w:val="auto"/>
          <w:spacing w:val="-6"/>
          <w:sz w:val="28"/>
          <w:szCs w:val="28"/>
          <w:highlight w:val="none"/>
          <w:lang w:val="en-US" w:eastAsia="zh-CN" w:bidi="ar-SA"/>
        </w:rPr>
        <w:t>3</w:t>
      </w:r>
      <w:r>
        <w:rPr>
          <w:rFonts w:hint="eastAsia" w:ascii="仿宋_GB2312" w:hAnsi="仿宋_GB2312" w:eastAsia="仿宋_GB2312" w:cs="仿宋_GB2312"/>
          <w:color w:val="auto"/>
          <w:spacing w:val="-6"/>
          <w:sz w:val="28"/>
          <w:szCs w:val="28"/>
          <w:highlight w:val="none"/>
          <w:lang w:val="en-US" w:eastAsia="zh-CN" w:bidi="ar-SA"/>
        </w:rPr>
        <w:t>位专家，专家要求高级</w:t>
      </w:r>
      <w:r>
        <w:rPr>
          <w:rFonts w:hint="eastAsia" w:ascii="仿宋_GB2312" w:hAnsi="仿宋_GB2312" w:eastAsia="仿宋_GB2312" w:cs="仿宋_GB2312"/>
          <w:b w:val="0"/>
          <w:bCs w:val="0"/>
          <w:color w:val="auto"/>
          <w:sz w:val="28"/>
          <w:szCs w:val="28"/>
          <w:highlight w:val="none"/>
          <w:lang w:val="en-US" w:eastAsia="zh-CN"/>
        </w:rPr>
        <w:t>及以上</w:t>
      </w:r>
      <w:r>
        <w:rPr>
          <w:rFonts w:hint="eastAsia" w:ascii="仿宋_GB2312" w:hAnsi="仿宋_GB2312" w:eastAsia="仿宋_GB2312" w:cs="仿宋_GB2312"/>
          <w:color w:val="auto"/>
          <w:spacing w:val="-6"/>
          <w:sz w:val="28"/>
          <w:szCs w:val="28"/>
          <w:lang w:val="en-US" w:eastAsia="zh-CN" w:bidi="ar-SA"/>
        </w:rPr>
        <w:t>职称专家，</w:t>
      </w:r>
      <w:r>
        <w:rPr>
          <w:rFonts w:hint="eastAsia" w:cs="仿宋_GB2312"/>
          <w:color w:val="auto"/>
          <w:spacing w:val="-6"/>
          <w:sz w:val="28"/>
          <w:szCs w:val="28"/>
          <w:lang w:val="en-US" w:eastAsia="zh-CN" w:bidi="ar-SA"/>
        </w:rPr>
        <w:t>来自</w:t>
      </w:r>
      <w:r>
        <w:rPr>
          <w:rFonts w:hint="eastAsia" w:ascii="仿宋_GB2312" w:hAnsi="仿宋_GB2312" w:eastAsia="仿宋_GB2312" w:cs="仿宋_GB2312"/>
          <w:color w:val="auto"/>
          <w:spacing w:val="-6"/>
          <w:sz w:val="28"/>
          <w:szCs w:val="28"/>
          <w:lang w:val="en-US" w:eastAsia="zh-CN" w:bidi="ar-SA"/>
        </w:rPr>
        <w:t>国双高院校专家。</w:t>
      </w:r>
    </w:p>
    <w:p w14:paraId="30A73E06">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交付物：</w:t>
      </w:r>
      <w:bookmarkEnd w:id="5"/>
      <w:bookmarkStart w:id="6" w:name="模块四全维度批注式线上精修指导"/>
      <w:r>
        <w:rPr>
          <w:rFonts w:hint="eastAsia" w:ascii="仿宋_GB2312" w:hAnsi="仿宋_GB2312" w:eastAsia="仿宋_GB2312" w:cs="仿宋_GB2312"/>
          <w:color w:val="auto"/>
          <w:spacing w:val="-6"/>
          <w:sz w:val="28"/>
          <w:szCs w:val="28"/>
          <w:lang w:val="en-US" w:eastAsia="zh-CN" w:bidi="ar-SA"/>
        </w:rPr>
        <w:t>《专家批注意见》6份；《专业群修改稿》6份。</w:t>
      </w:r>
    </w:p>
    <w:p w14:paraId="4AB669CC">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b w:val="0"/>
          <w:bCs w:val="0"/>
          <w:color w:val="auto"/>
          <w:sz w:val="28"/>
          <w:szCs w:val="28"/>
          <w:highlight w:val="none"/>
        </w:rPr>
      </w:pPr>
      <w:r>
        <w:rPr>
          <w:rFonts w:hint="eastAsia" w:cs="仿宋_GB2312"/>
          <w:b w:val="0"/>
          <w:bCs w:val="0"/>
          <w:color w:val="auto"/>
          <w:spacing w:val="-6"/>
          <w:sz w:val="28"/>
          <w:szCs w:val="28"/>
          <w:highlight w:val="none"/>
          <w:lang w:val="en-US" w:eastAsia="zh-CN" w:bidi="ar-SA"/>
        </w:rPr>
        <w:t>4.线下定稿指导</w:t>
      </w:r>
    </w:p>
    <w:p w14:paraId="47A3E90D">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服务内容：</w:t>
      </w:r>
      <w:r>
        <w:rPr>
          <w:rFonts w:hint="eastAsia" w:cs="仿宋_GB2312"/>
          <w:color w:val="auto"/>
          <w:spacing w:val="-6"/>
          <w:sz w:val="28"/>
          <w:szCs w:val="28"/>
          <w:lang w:val="en-US" w:eastAsia="zh-CN" w:bidi="ar-SA"/>
        </w:rPr>
        <w:t>3</w:t>
      </w:r>
      <w:r>
        <w:rPr>
          <w:rFonts w:hint="eastAsia" w:ascii="仿宋_GB2312" w:hAnsi="仿宋_GB2312" w:eastAsia="仿宋_GB2312" w:cs="仿宋_GB2312"/>
          <w:color w:val="auto"/>
          <w:spacing w:val="-6"/>
          <w:sz w:val="28"/>
          <w:szCs w:val="28"/>
          <w:lang w:val="en-US" w:eastAsia="zh-CN" w:bidi="ar-SA"/>
        </w:rPr>
        <w:t>位专家驻校开展线下专项服务，同步进校、分3个会场，每位专家对口负责2个专业群，每位专家线下服务3天，3位专家线下服务共9人天；每个专业群按照10项核心建设项目逐项辅导，指导团队优化内容架构、完善成果佐证、提炼建设特色、规范文本表述、补齐建设短板，最终完成6个专业群材料终极定稿。</w:t>
      </w:r>
    </w:p>
    <w:p w14:paraId="7A19394B">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highlight w:val="none"/>
          <w:lang w:val="en-US" w:eastAsia="zh-CN" w:bidi="ar-SA"/>
        </w:rPr>
      </w:pPr>
      <w:r>
        <w:rPr>
          <w:rFonts w:hint="eastAsia" w:ascii="仿宋_GB2312" w:hAnsi="仿宋_GB2312" w:eastAsia="仿宋_GB2312" w:cs="仿宋_GB2312"/>
          <w:color w:val="auto"/>
          <w:spacing w:val="-6"/>
          <w:sz w:val="28"/>
          <w:szCs w:val="28"/>
          <w:lang w:val="en-US" w:eastAsia="zh-CN" w:bidi="ar-SA"/>
        </w:rPr>
        <w:t>专家团队</w:t>
      </w:r>
      <w:r>
        <w:rPr>
          <w:rFonts w:hint="eastAsia" w:ascii="仿宋_GB2312" w:hAnsi="仿宋_GB2312" w:eastAsia="仿宋_GB2312" w:cs="仿宋_GB2312"/>
          <w:color w:val="auto"/>
          <w:spacing w:val="-6"/>
          <w:sz w:val="28"/>
          <w:szCs w:val="28"/>
          <w:highlight w:val="none"/>
          <w:lang w:val="en-US" w:eastAsia="zh-CN" w:bidi="ar-SA"/>
        </w:rPr>
        <w:t>：3位专家，专家要求高级</w:t>
      </w:r>
      <w:r>
        <w:rPr>
          <w:rFonts w:hint="eastAsia" w:ascii="仿宋_GB2312" w:hAnsi="仿宋_GB2312" w:eastAsia="仿宋_GB2312" w:cs="仿宋_GB2312"/>
          <w:b w:val="0"/>
          <w:bCs w:val="0"/>
          <w:color w:val="auto"/>
          <w:sz w:val="28"/>
          <w:szCs w:val="28"/>
          <w:highlight w:val="none"/>
          <w:lang w:val="en-US" w:eastAsia="zh-CN"/>
        </w:rPr>
        <w:t>及以上</w:t>
      </w:r>
      <w:r>
        <w:rPr>
          <w:rFonts w:hint="eastAsia" w:ascii="仿宋_GB2312" w:hAnsi="仿宋_GB2312" w:eastAsia="仿宋_GB2312" w:cs="仿宋_GB2312"/>
          <w:color w:val="auto"/>
          <w:spacing w:val="-6"/>
          <w:sz w:val="28"/>
          <w:szCs w:val="28"/>
          <w:highlight w:val="none"/>
          <w:lang w:val="en-US" w:eastAsia="zh-CN" w:bidi="ar-SA"/>
        </w:rPr>
        <w:t>职称专家，</w:t>
      </w:r>
      <w:r>
        <w:rPr>
          <w:rFonts w:hint="eastAsia" w:cs="仿宋_GB2312"/>
          <w:color w:val="auto"/>
          <w:spacing w:val="-6"/>
          <w:sz w:val="28"/>
          <w:szCs w:val="28"/>
          <w:highlight w:val="none"/>
          <w:lang w:val="en-US" w:eastAsia="zh-CN" w:bidi="ar-SA"/>
        </w:rPr>
        <w:t>来自</w:t>
      </w:r>
      <w:r>
        <w:rPr>
          <w:rFonts w:hint="eastAsia" w:ascii="仿宋_GB2312" w:hAnsi="仿宋_GB2312" w:eastAsia="仿宋_GB2312" w:cs="仿宋_GB2312"/>
          <w:color w:val="auto"/>
          <w:spacing w:val="-6"/>
          <w:sz w:val="28"/>
          <w:szCs w:val="28"/>
          <w:highlight w:val="none"/>
          <w:lang w:val="en-US" w:eastAsia="zh-CN" w:bidi="ar-SA"/>
        </w:rPr>
        <w:t>国双高院校专家。</w:t>
      </w:r>
    </w:p>
    <w:p w14:paraId="182C0D24">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highlight w:val="none"/>
          <w:lang w:val="en-US" w:eastAsia="zh-CN" w:bidi="ar-SA"/>
        </w:rPr>
      </w:pPr>
      <w:r>
        <w:rPr>
          <w:rFonts w:hint="eastAsia" w:ascii="仿宋_GB2312" w:hAnsi="仿宋_GB2312" w:eastAsia="仿宋_GB2312" w:cs="仿宋_GB2312"/>
          <w:color w:val="auto"/>
          <w:spacing w:val="-6"/>
          <w:sz w:val="28"/>
          <w:szCs w:val="28"/>
          <w:highlight w:val="none"/>
          <w:lang w:val="en-US" w:eastAsia="zh-CN" w:bidi="ar-SA"/>
        </w:rPr>
        <w:t>交付物：《专业群定稿》6份。</w:t>
      </w:r>
    </w:p>
    <w:bookmarkEnd w:id="6"/>
    <w:p w14:paraId="452982E5">
      <w:pPr>
        <w:pStyle w:val="3"/>
        <w:keepNext w:val="0"/>
        <w:keepLines w:val="0"/>
        <w:pageBreakBefore w:val="0"/>
        <w:widowControl/>
        <w:kinsoku/>
        <w:wordWrap/>
        <w:overflowPunct/>
        <w:topLinePunct w:val="0"/>
        <w:autoSpaceDE/>
        <w:autoSpaceDN/>
        <w:bidi w:val="0"/>
        <w:adjustRightInd/>
        <w:snapToGrid/>
        <w:spacing w:line="460" w:lineRule="exact"/>
        <w:ind w:firstLine="536" w:firstLineChars="200"/>
        <w:textAlignment w:val="auto"/>
        <w:rPr>
          <w:rFonts w:hint="eastAsia" w:ascii="仿宋_GB2312" w:hAnsi="仿宋_GB2312" w:eastAsia="仿宋_GB2312" w:cs="仿宋_GB2312"/>
          <w:b w:val="0"/>
          <w:bCs/>
          <w:color w:val="auto"/>
          <w:sz w:val="28"/>
          <w:szCs w:val="28"/>
          <w:highlight w:val="none"/>
        </w:rPr>
      </w:pPr>
      <w:r>
        <w:rPr>
          <w:rFonts w:hint="eastAsia" w:cs="仿宋_GB2312"/>
          <w:b w:val="0"/>
          <w:bCs/>
          <w:color w:val="auto"/>
          <w:sz w:val="28"/>
          <w:szCs w:val="28"/>
          <w:highlight w:val="none"/>
          <w:lang w:val="en-US" w:eastAsia="zh-CN"/>
        </w:rPr>
        <w:t>5.校级专业群遴选评审</w:t>
      </w:r>
    </w:p>
    <w:p w14:paraId="18375855">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highlight w:val="none"/>
          <w:lang w:val="en-US" w:eastAsia="zh-CN" w:bidi="ar-SA"/>
        </w:rPr>
      </w:pPr>
      <w:r>
        <w:rPr>
          <w:rFonts w:hint="eastAsia" w:ascii="仿宋_GB2312" w:hAnsi="仿宋_GB2312" w:eastAsia="仿宋_GB2312" w:cs="仿宋_GB2312"/>
          <w:color w:val="auto"/>
          <w:spacing w:val="-6"/>
          <w:sz w:val="28"/>
          <w:szCs w:val="28"/>
          <w:highlight w:val="none"/>
          <w:lang w:val="en-US" w:eastAsia="zh-CN" w:bidi="ar-SA"/>
        </w:rPr>
        <w:t>服务内容：开展校级双高专业群6个群的评审、打分工作，结合各专业群建设成效、特色优势、发展潜力、政策适配度等指标进行量化打分、综合研判，出具遴选排名结果。</w:t>
      </w:r>
    </w:p>
    <w:p w14:paraId="0224E3F8">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highlight w:val="none"/>
          <w:lang w:val="en-US" w:eastAsia="zh-CN" w:bidi="ar-SA"/>
        </w:rPr>
        <w:t>专家团队：配置2位高级</w:t>
      </w:r>
      <w:r>
        <w:rPr>
          <w:rFonts w:hint="eastAsia" w:ascii="仿宋_GB2312" w:hAnsi="仿宋_GB2312" w:eastAsia="仿宋_GB2312" w:cs="仿宋_GB2312"/>
          <w:b w:val="0"/>
          <w:bCs w:val="0"/>
          <w:color w:val="auto"/>
          <w:sz w:val="28"/>
          <w:szCs w:val="28"/>
          <w:highlight w:val="none"/>
          <w:lang w:val="en-US" w:eastAsia="zh-CN"/>
        </w:rPr>
        <w:t>及以上</w:t>
      </w:r>
      <w:r>
        <w:rPr>
          <w:rFonts w:hint="eastAsia" w:ascii="仿宋_GB2312" w:hAnsi="仿宋_GB2312" w:eastAsia="仿宋_GB2312" w:cs="仿宋_GB2312"/>
          <w:color w:val="auto"/>
          <w:spacing w:val="-6"/>
          <w:sz w:val="28"/>
          <w:szCs w:val="28"/>
          <w:lang w:val="en-US" w:eastAsia="zh-CN" w:bidi="ar-SA"/>
        </w:rPr>
        <w:t>职称专家，专家须来自国双高院校。</w:t>
      </w:r>
    </w:p>
    <w:p w14:paraId="4F4B8EFC">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交付物：《申报省级双高专业群6个专业群排名》1份。</w:t>
      </w:r>
    </w:p>
    <w:p w14:paraId="12DD4F84">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6.重大项目管理平台</w:t>
      </w:r>
    </w:p>
    <w:p w14:paraId="0BE5B6C9">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cs="仿宋_GB2312"/>
          <w:color w:val="auto"/>
          <w:spacing w:val="-6"/>
          <w:sz w:val="28"/>
          <w:szCs w:val="28"/>
          <w:lang w:val="en-US" w:eastAsia="zh-CN" w:bidi="ar-SA"/>
        </w:rPr>
      </w:pPr>
      <w:r>
        <w:rPr>
          <w:rFonts w:hint="eastAsia" w:cs="仿宋_GB2312"/>
          <w:color w:val="auto"/>
          <w:spacing w:val="-6"/>
          <w:sz w:val="28"/>
          <w:szCs w:val="28"/>
          <w:lang w:val="en-US" w:eastAsia="zh-CN" w:bidi="ar-SA"/>
        </w:rPr>
        <w:t>服务商须提供一套功能完善的重大项目管理平台，授权在项目服务期间使用，用于支持采购人实现项目全过程数字化管理与监控。</w:t>
      </w:r>
    </w:p>
    <w:p w14:paraId="6278AD99">
      <w:pPr>
        <w:pStyle w:val="101"/>
        <w:spacing w:line="460" w:lineRule="exact"/>
        <w:ind w:left="0" w:firstLine="640" w:firstLineChars="200"/>
        <w:jc w:val="both"/>
        <w:outlineLvl w:val="9"/>
        <w:rPr>
          <w:rFonts w:hint="eastAsia" w:ascii="仿宋_GB2312" w:hAnsi="仿宋_GB2312" w:eastAsia="仿宋_GB2312" w:cs="仿宋_GB2312"/>
          <w:b/>
          <w:sz w:val="32"/>
          <w:szCs w:val="32"/>
          <w:lang w:eastAsia="zh-CN"/>
        </w:rPr>
      </w:pPr>
      <w:r>
        <w:rPr>
          <w:rFonts w:hint="eastAsia" w:ascii="仿宋_GB2312" w:hAnsi="仿宋_GB2312" w:eastAsia="仿宋_GB2312" w:cs="仿宋_GB2312"/>
          <w:b/>
          <w:sz w:val="32"/>
          <w:szCs w:val="32"/>
          <w:lang w:eastAsia="zh-CN"/>
        </w:rPr>
        <w:t>三、技术要求</w:t>
      </w:r>
    </w:p>
    <w:p w14:paraId="2F0AB6F4">
      <w:pPr>
        <w:pStyle w:val="101"/>
        <w:keepNext w:val="0"/>
        <w:keepLines w:val="0"/>
        <w:pageBreakBefore w:val="0"/>
        <w:kinsoku/>
        <w:wordWrap/>
        <w:overflowPunct/>
        <w:topLinePunct w:val="0"/>
        <w:autoSpaceDE/>
        <w:autoSpaceDN/>
        <w:bidi w:val="0"/>
        <w:adjustRightInd/>
        <w:snapToGrid/>
        <w:spacing w:line="460" w:lineRule="exact"/>
        <w:ind w:left="0" w:firstLine="560" w:firstLineChars="200"/>
        <w:jc w:val="both"/>
        <w:textAlignment w:val="auto"/>
        <w:outlineLvl w:val="9"/>
        <w:rPr>
          <w:rFonts w:hint="eastAsia" w:ascii="仿宋_GB2312" w:hAnsi="仿宋_GB2312" w:eastAsia="仿宋_GB2312" w:cs="仿宋_GB2312"/>
          <w:b/>
          <w:bCs/>
          <w:sz w:val="28"/>
          <w:szCs w:val="28"/>
          <w:lang w:eastAsia="zh-CN"/>
        </w:rPr>
      </w:pPr>
      <w:r>
        <w:rPr>
          <w:rFonts w:hint="eastAsia" w:ascii="仿宋_GB2312" w:hAnsi="仿宋_GB2312" w:eastAsia="仿宋_GB2312" w:cs="仿宋_GB2312"/>
          <w:b/>
          <w:bCs/>
          <w:sz w:val="28"/>
          <w:szCs w:val="28"/>
          <w:lang w:eastAsia="zh-CN"/>
        </w:rPr>
        <w:t>（</w:t>
      </w:r>
      <w:r>
        <w:rPr>
          <w:rFonts w:hint="eastAsia" w:ascii="仿宋_GB2312" w:hAnsi="仿宋_GB2312" w:eastAsia="仿宋_GB2312" w:cs="仿宋_GB2312"/>
          <w:b/>
          <w:bCs/>
          <w:sz w:val="28"/>
          <w:szCs w:val="28"/>
          <w:lang w:val="en-US" w:eastAsia="zh-CN"/>
        </w:rPr>
        <w:t>一</w:t>
      </w:r>
      <w:r>
        <w:rPr>
          <w:rFonts w:hint="eastAsia" w:ascii="仿宋_GB2312" w:hAnsi="仿宋_GB2312" w:eastAsia="仿宋_GB2312" w:cs="仿宋_GB2312"/>
          <w:b/>
          <w:bCs/>
          <w:sz w:val="28"/>
          <w:szCs w:val="28"/>
          <w:lang w:eastAsia="zh-CN"/>
        </w:rPr>
        <w:t>）</w:t>
      </w:r>
      <w:r>
        <w:rPr>
          <w:rFonts w:hint="eastAsia" w:ascii="仿宋_GB2312" w:hAnsi="仿宋_GB2312" w:eastAsia="仿宋_GB2312" w:cs="仿宋_GB2312"/>
          <w:b/>
          <w:bCs/>
          <w:color w:val="auto"/>
          <w:sz w:val="28"/>
          <w:szCs w:val="28"/>
          <w:lang w:eastAsia="zh-CN"/>
        </w:rPr>
        <w:t>“十五五”发展规划产业需求调研分析与论证</w:t>
      </w:r>
    </w:p>
    <w:p w14:paraId="23643FA1">
      <w:pPr>
        <w:pStyle w:val="101"/>
        <w:spacing w:line="460" w:lineRule="exact"/>
        <w:ind w:left="0" w:firstLine="616" w:firstLineChars="200"/>
        <w:jc w:val="both"/>
        <w:outlineLvl w:val="9"/>
        <w:rPr>
          <w:rFonts w:hint="eastAsia" w:ascii="仿宋_GB2312" w:hAnsi="仿宋_GB2312" w:eastAsia="仿宋_GB2312" w:cs="Times New Roman"/>
          <w:spacing w:val="-6"/>
          <w:kern w:val="2"/>
          <w:sz w:val="32"/>
          <w:szCs w:val="24"/>
          <w:lang w:val="en-US" w:eastAsia="zh-CN" w:bidi="ar-SA"/>
        </w:rPr>
      </w:pPr>
      <w:r>
        <w:rPr>
          <w:rFonts w:hint="eastAsia" w:ascii="仿宋_GB2312" w:hAnsi="仿宋_GB2312" w:eastAsia="仿宋_GB2312" w:cs="Times New Roman"/>
          <w:spacing w:val="-6"/>
          <w:kern w:val="2"/>
          <w:sz w:val="32"/>
          <w:szCs w:val="24"/>
          <w:lang w:val="en-US" w:eastAsia="zh-CN" w:bidi="ar-SA"/>
        </w:rPr>
        <w:t>无</w:t>
      </w:r>
    </w:p>
    <w:p w14:paraId="69B98473">
      <w:pPr>
        <w:pStyle w:val="101"/>
        <w:keepNext w:val="0"/>
        <w:keepLines w:val="0"/>
        <w:pageBreakBefore w:val="0"/>
        <w:kinsoku/>
        <w:wordWrap/>
        <w:overflowPunct/>
        <w:topLinePunct w:val="0"/>
        <w:autoSpaceDE/>
        <w:autoSpaceDN/>
        <w:bidi w:val="0"/>
        <w:adjustRightInd/>
        <w:snapToGrid/>
        <w:spacing w:line="460" w:lineRule="exact"/>
        <w:ind w:left="0" w:firstLine="560" w:firstLineChars="200"/>
        <w:jc w:val="both"/>
        <w:textAlignment w:val="auto"/>
        <w:outlineLvl w:val="9"/>
        <w:rPr>
          <w:rFonts w:hint="eastAsia" w:ascii="仿宋_GB2312" w:hAnsi="仿宋_GB2312" w:eastAsia="仿宋_GB2312" w:cs="仿宋_GB2312"/>
          <w:b/>
          <w:bCs/>
          <w:sz w:val="28"/>
          <w:szCs w:val="28"/>
          <w:lang w:eastAsia="zh-CN"/>
        </w:rPr>
      </w:pPr>
      <w:r>
        <w:rPr>
          <w:rFonts w:hint="eastAsia" w:ascii="仿宋_GB2312" w:hAnsi="仿宋_GB2312" w:eastAsia="仿宋_GB2312" w:cs="仿宋_GB2312"/>
          <w:b/>
          <w:bCs/>
          <w:sz w:val="28"/>
          <w:szCs w:val="28"/>
          <w:lang w:eastAsia="zh-CN"/>
        </w:rPr>
        <w:t>（</w:t>
      </w:r>
      <w:r>
        <w:rPr>
          <w:rFonts w:hint="eastAsia" w:ascii="仿宋_GB2312" w:hAnsi="仿宋_GB2312" w:eastAsia="仿宋_GB2312" w:cs="仿宋_GB2312"/>
          <w:b/>
          <w:bCs/>
          <w:sz w:val="28"/>
          <w:szCs w:val="28"/>
          <w:lang w:val="en-US" w:eastAsia="zh-CN"/>
        </w:rPr>
        <w:t>二</w:t>
      </w:r>
      <w:r>
        <w:rPr>
          <w:rFonts w:hint="eastAsia" w:ascii="仿宋_GB2312" w:hAnsi="仿宋_GB2312" w:eastAsia="仿宋_GB2312" w:cs="仿宋_GB2312"/>
          <w:b/>
          <w:bCs/>
          <w:sz w:val="28"/>
          <w:szCs w:val="28"/>
          <w:lang w:eastAsia="zh-CN"/>
        </w:rPr>
        <w:t>）教学改革成果培育方案咨询与论证</w:t>
      </w:r>
    </w:p>
    <w:p w14:paraId="50B59774">
      <w:pPr>
        <w:pStyle w:val="101"/>
        <w:spacing w:line="460" w:lineRule="exact"/>
        <w:ind w:left="0" w:firstLine="616" w:firstLineChars="200"/>
        <w:jc w:val="both"/>
        <w:outlineLvl w:val="9"/>
        <w:rPr>
          <w:rFonts w:hint="eastAsia" w:ascii="仿宋_GB2312" w:hAnsi="仿宋_GB2312" w:eastAsia="仿宋_GB2312" w:cs="Times New Roman"/>
          <w:spacing w:val="-6"/>
          <w:kern w:val="2"/>
          <w:sz w:val="32"/>
          <w:szCs w:val="24"/>
          <w:lang w:val="en-US" w:eastAsia="zh-CN" w:bidi="ar-SA"/>
        </w:rPr>
      </w:pPr>
      <w:r>
        <w:rPr>
          <w:rFonts w:hint="eastAsia" w:ascii="仿宋_GB2312" w:hAnsi="仿宋_GB2312" w:eastAsia="仿宋_GB2312" w:cs="Times New Roman"/>
          <w:spacing w:val="-6"/>
          <w:kern w:val="2"/>
          <w:sz w:val="32"/>
          <w:szCs w:val="24"/>
          <w:lang w:val="en-US" w:eastAsia="zh-CN" w:bidi="ar-SA"/>
        </w:rPr>
        <w:t>无</w:t>
      </w:r>
    </w:p>
    <w:p w14:paraId="42F23447">
      <w:pPr>
        <w:pStyle w:val="101"/>
        <w:keepNext w:val="0"/>
        <w:keepLines w:val="0"/>
        <w:pageBreakBefore w:val="0"/>
        <w:kinsoku/>
        <w:wordWrap/>
        <w:overflowPunct/>
        <w:topLinePunct w:val="0"/>
        <w:autoSpaceDE/>
        <w:autoSpaceDN/>
        <w:bidi w:val="0"/>
        <w:adjustRightInd/>
        <w:snapToGrid/>
        <w:spacing w:line="460" w:lineRule="exact"/>
        <w:ind w:left="0" w:firstLine="560" w:firstLineChars="200"/>
        <w:jc w:val="both"/>
        <w:textAlignment w:val="auto"/>
        <w:outlineLvl w:val="9"/>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b/>
          <w:bCs/>
          <w:sz w:val="28"/>
          <w:szCs w:val="28"/>
          <w:lang w:eastAsia="zh-CN"/>
        </w:rPr>
        <w:t>（</w:t>
      </w:r>
      <w:r>
        <w:rPr>
          <w:rFonts w:hint="eastAsia" w:ascii="仿宋_GB2312" w:hAnsi="仿宋_GB2312" w:eastAsia="仿宋_GB2312" w:cs="仿宋_GB2312"/>
          <w:b/>
          <w:bCs/>
          <w:sz w:val="28"/>
          <w:szCs w:val="28"/>
          <w:lang w:val="en-US" w:eastAsia="zh-CN"/>
        </w:rPr>
        <w:t>三</w:t>
      </w:r>
      <w:r>
        <w:rPr>
          <w:rFonts w:hint="eastAsia" w:ascii="仿宋_GB2312" w:hAnsi="仿宋_GB2312" w:eastAsia="仿宋_GB2312" w:cs="仿宋_GB2312"/>
          <w:b/>
          <w:bCs/>
          <w:sz w:val="28"/>
          <w:szCs w:val="28"/>
          <w:lang w:eastAsia="zh-CN"/>
        </w:rPr>
        <w:t>）省级双高专业群</w:t>
      </w:r>
      <w:r>
        <w:rPr>
          <w:rFonts w:hint="eastAsia" w:ascii="仿宋_GB2312" w:hAnsi="仿宋_GB2312" w:eastAsia="仿宋_GB2312" w:cs="仿宋_GB2312"/>
          <w:b/>
          <w:bCs/>
          <w:sz w:val="28"/>
          <w:szCs w:val="28"/>
          <w:lang w:val="en-US" w:eastAsia="zh-CN"/>
        </w:rPr>
        <w:t>验收与</w:t>
      </w:r>
      <w:r>
        <w:rPr>
          <w:rFonts w:hint="eastAsia" w:ascii="仿宋_GB2312" w:hAnsi="仿宋_GB2312" w:eastAsia="仿宋_GB2312" w:cs="仿宋_GB2312"/>
          <w:b/>
          <w:bCs/>
          <w:sz w:val="28"/>
          <w:szCs w:val="28"/>
          <w:lang w:eastAsia="zh-CN"/>
        </w:rPr>
        <w:t>申报全流程咨询（重大项目管理平台）</w:t>
      </w:r>
    </w:p>
    <w:p w14:paraId="2E7E2F5C">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cs="仿宋_GB2312"/>
          <w:color w:val="auto"/>
          <w:spacing w:val="-6"/>
          <w:sz w:val="28"/>
          <w:szCs w:val="28"/>
          <w:lang w:val="en-US" w:eastAsia="zh-CN" w:bidi="ar-SA"/>
        </w:rPr>
        <w:t>1.</w:t>
      </w:r>
      <w:r>
        <w:rPr>
          <w:rFonts w:hint="eastAsia" w:ascii="仿宋_GB2312" w:hAnsi="仿宋_GB2312" w:eastAsia="仿宋_GB2312" w:cs="仿宋_GB2312"/>
          <w:color w:val="auto"/>
          <w:spacing w:val="-6"/>
          <w:sz w:val="28"/>
          <w:szCs w:val="28"/>
          <w:lang w:val="en-US" w:eastAsia="zh-CN" w:bidi="ar-SA"/>
        </w:rPr>
        <w:t>总体技术要求</w:t>
      </w:r>
    </w:p>
    <w:p w14:paraId="101E5982">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（1）平台应符合国产化要求，具备安全、稳定、可靠的运行能力，满足网络安全和数据安全相关要求。</w:t>
      </w:r>
    </w:p>
    <w:p w14:paraId="5BBDF8B6">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（2）平台应具备良好的兼容性、开放性</w:t>
      </w:r>
      <w:r>
        <w:rPr>
          <w:rFonts w:hint="eastAsia" w:cs="仿宋_GB2312"/>
          <w:color w:val="auto"/>
          <w:spacing w:val="-6"/>
          <w:sz w:val="28"/>
          <w:szCs w:val="28"/>
          <w:lang w:val="en-US" w:eastAsia="zh-CN" w:bidi="ar-SA"/>
        </w:rPr>
        <w:t>、可</w:t>
      </w:r>
      <w:r>
        <w:rPr>
          <w:rFonts w:hint="eastAsia" w:ascii="仿宋_GB2312" w:hAnsi="仿宋_GB2312" w:eastAsia="仿宋_GB2312" w:cs="仿宋_GB2312"/>
          <w:color w:val="auto"/>
          <w:spacing w:val="-6"/>
          <w:sz w:val="28"/>
          <w:szCs w:val="28"/>
          <w:lang w:val="en-US" w:eastAsia="zh-CN" w:bidi="ar-SA"/>
        </w:rPr>
        <w:t>扩展性和可维护性，支持主流浏览器访问，能够适应学校现有信息化运行环境。</w:t>
      </w:r>
    </w:p>
    <w:p w14:paraId="724B2903">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（3）平台数据管理应符合学校现有的《数字校园数据标准规范》，并具备与学校数据中台、数字校园统一身份认证平台等相关系统对接的能力。</w:t>
      </w:r>
    </w:p>
    <w:p w14:paraId="5D4DD311">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cs="仿宋_GB2312"/>
          <w:color w:val="auto"/>
          <w:spacing w:val="-6"/>
          <w:sz w:val="28"/>
          <w:szCs w:val="28"/>
          <w:lang w:val="en-US" w:eastAsia="zh-CN" w:bidi="ar-SA"/>
        </w:rPr>
        <w:t>2.</w:t>
      </w:r>
      <w:r>
        <w:rPr>
          <w:rFonts w:hint="eastAsia" w:ascii="仿宋_GB2312" w:hAnsi="仿宋_GB2312" w:eastAsia="仿宋_GB2312" w:cs="仿宋_GB2312"/>
          <w:color w:val="auto"/>
          <w:spacing w:val="-6"/>
          <w:sz w:val="28"/>
          <w:szCs w:val="28"/>
          <w:lang w:val="en-US" w:eastAsia="zh-CN" w:bidi="ar-SA"/>
        </w:rPr>
        <w:t>系统首页</w:t>
      </w:r>
    </w:p>
    <w:p w14:paraId="36991AE9">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（1）支持展示当前登录用户的登录账号、姓名、所属院系；支持展示相关的制度文件信息，支持文件在线预览和下载；</w:t>
      </w:r>
    </w:p>
    <w:p w14:paraId="55795C5D">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2）支持按照部门、专业分类及专业等条件查看专业（群）建设概况，汇总展示专业（群）建设周期、建设专业数量、建设标准目标、规划书数量及上传率、年度目标计划提交情况；支持查看建设期目标达成度、年度目标达成度及预算使用情况，便于管理人员掌握专业（群）建设总体进展</w:t>
      </w:r>
      <w:r>
        <w:rPr>
          <w:rFonts w:hint="eastAsia" w:cs="仿宋_GB2312"/>
          <w:color w:val="auto"/>
          <w:spacing w:val="-6"/>
          <w:sz w:val="28"/>
          <w:szCs w:val="28"/>
          <w:lang w:val="en-US" w:eastAsia="zh-CN" w:bidi="ar-SA"/>
        </w:rPr>
        <w:t>；</w:t>
      </w:r>
    </w:p>
    <w:p w14:paraId="30EF5AE2">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（3）支持针对项目过程中的进度风险、预算风险进行系统自动提醒，支持直接跳转到详细任务信息进行处理；</w:t>
      </w:r>
    </w:p>
    <w:p w14:paraId="52341E8C">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（4）显示需要处理的任务、绩效提报信息，支持快速审核；支持按年度、按项目查看工作进度数据趋势分析；支持按年度、按项目查看标志性成果信息；</w:t>
      </w:r>
    </w:p>
    <w:p w14:paraId="390349A5">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（5）支持展示项目申报总数、立项总数、运行中项目数及项目结项情况，并对不同级别项目数量、项目类别占比及经费使用情况进行统计展示</w:t>
      </w:r>
      <w:r>
        <w:rPr>
          <w:rFonts w:hint="eastAsia" w:cs="仿宋_GB2312"/>
          <w:color w:val="auto"/>
          <w:spacing w:val="-6"/>
          <w:sz w:val="28"/>
          <w:szCs w:val="28"/>
          <w:lang w:val="en-US" w:eastAsia="zh-CN" w:bidi="ar-SA"/>
        </w:rPr>
        <w:t>；</w:t>
      </w:r>
    </w:p>
    <w:p w14:paraId="0C355661">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（6）支持按年度、按项目查看具体任务的进度数据及预算使用情况，可直接调整查看任务详情；支持按年度查看总绩效目标完成进度；</w:t>
      </w:r>
    </w:p>
    <w:p w14:paraId="21AE5C38">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（7）支持按年度查看具体绩效完成进度，可直接调整查看绩效详情。</w:t>
      </w:r>
    </w:p>
    <w:p w14:paraId="56E6F50A">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cs="仿宋_GB2312"/>
          <w:color w:val="auto"/>
          <w:spacing w:val="-6"/>
          <w:sz w:val="28"/>
          <w:szCs w:val="28"/>
          <w:lang w:val="en-US" w:eastAsia="zh-CN" w:bidi="ar-SA"/>
        </w:rPr>
        <w:t>3.</w:t>
      </w:r>
      <w:r>
        <w:rPr>
          <w:rFonts w:hint="eastAsia" w:ascii="仿宋_GB2312" w:hAnsi="仿宋_GB2312" w:eastAsia="仿宋_GB2312" w:cs="仿宋_GB2312"/>
          <w:color w:val="auto"/>
          <w:spacing w:val="-6"/>
          <w:sz w:val="28"/>
          <w:szCs w:val="28"/>
          <w:lang w:val="en-US" w:eastAsia="zh-CN" w:bidi="ar-SA"/>
        </w:rPr>
        <w:t>建设管理</w:t>
      </w:r>
    </w:p>
    <w:p w14:paraId="278C120D">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（1）支持根据层面、年份、任务名称，查询任务信息；</w:t>
      </w:r>
    </w:p>
    <w:p w14:paraId="2A7615BC">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（2）支持新增子任务及创建三级任务；支持通过系统模板导入任务信息，并对任务进行单个下发或一键下发；支持任务修改、撤回、删除和导出，撤回上级任务时可同步撤回关联子任务。</w:t>
      </w:r>
    </w:p>
    <w:p w14:paraId="365030E9">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3）支持按照专业分类对专业基础信息进行归集管理，展示专业名称、专业代码、专业分类、所属部门及专业负责人等信息，支持查询、编辑、批量编辑和导出，为专业（群）建设基础信息的统一维护提供支撑。</w:t>
      </w:r>
    </w:p>
    <w:p w14:paraId="5EEFDBB8">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4）支持专业（群）规划材料管理，可按照所属部门、专业分类、专业名称及规划书名称进行查询；支持汇总展示专业数量、规划书数量及规划书上传率；支持查看规划年份、上传时间、提交状态及审批状态，便于管理人员掌握专业（群）规划材料的上传、提交与审核进展。</w:t>
      </w:r>
    </w:p>
    <w:p w14:paraId="2D0F51F2">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5）支持专业（群）年度建设目标计划管理，可按照所属部门、专业分类、专业名称及计划年份进行查询；支持统计年度目标计划已提交、未提交、审批中、审批通过及已驳回等情况；支持查看专业负责人、关联建设标准、提交状态、审批状态及目标详情，便于管理人员统筹掌握专业（群）年度建设目标的制定、提交与审核情况。</w:t>
      </w:r>
    </w:p>
    <w:p w14:paraId="504206CD">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cs="仿宋_GB2312"/>
          <w:color w:val="auto"/>
          <w:spacing w:val="-6"/>
          <w:sz w:val="28"/>
          <w:szCs w:val="28"/>
          <w:lang w:val="en-US" w:eastAsia="zh-CN" w:bidi="ar-SA"/>
        </w:rPr>
        <w:t>4.</w:t>
      </w:r>
      <w:r>
        <w:rPr>
          <w:rFonts w:hint="eastAsia" w:ascii="仿宋_GB2312" w:hAnsi="仿宋_GB2312" w:eastAsia="仿宋_GB2312" w:cs="仿宋_GB2312"/>
          <w:color w:val="auto"/>
          <w:spacing w:val="-6"/>
          <w:sz w:val="28"/>
          <w:szCs w:val="28"/>
          <w:lang w:val="en-US" w:eastAsia="zh-CN" w:bidi="ar-SA"/>
        </w:rPr>
        <w:t>项目预算</w:t>
      </w:r>
    </w:p>
    <w:p w14:paraId="04CA12C5">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（1）支持根据层面、年度，查询项目预算信息；</w:t>
      </w:r>
    </w:p>
    <w:p w14:paraId="3A464C55">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（2）关联任务，新增预算信息，支持按分类输入预算；</w:t>
      </w:r>
    </w:p>
    <w:p w14:paraId="7A7DBEAE">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（3）支持选择预算，修改预算内容；删除选中预算信息；</w:t>
      </w:r>
    </w:p>
    <w:p w14:paraId="1A9E2736">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（4）根据系统提供模板，支持导入预算建设内容信息；将预算信息，导出为Excel表格；</w:t>
      </w:r>
    </w:p>
    <w:p w14:paraId="462C58D8">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（5）支持双高任务和双高预算关联匹配，根据任务推进可明确展示每个项目任务经费执行情况，跟进预算执行进度。</w:t>
      </w:r>
    </w:p>
    <w:p w14:paraId="6C1EC41B">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cs="仿宋_GB2312"/>
          <w:color w:val="auto"/>
          <w:spacing w:val="-6"/>
          <w:sz w:val="28"/>
          <w:szCs w:val="28"/>
          <w:lang w:val="en-US" w:eastAsia="zh-CN" w:bidi="ar-SA"/>
        </w:rPr>
        <w:t>5.</w:t>
      </w:r>
      <w:r>
        <w:rPr>
          <w:rFonts w:hint="eastAsia" w:ascii="仿宋_GB2312" w:hAnsi="仿宋_GB2312" w:eastAsia="仿宋_GB2312" w:cs="仿宋_GB2312"/>
          <w:color w:val="auto"/>
          <w:spacing w:val="-6"/>
          <w:sz w:val="28"/>
          <w:szCs w:val="28"/>
          <w:lang w:val="en-US" w:eastAsia="zh-CN" w:bidi="ar-SA"/>
        </w:rPr>
        <w:t>个人工作中心</w:t>
      </w:r>
    </w:p>
    <w:p w14:paraId="15A0E9F6">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（1）支持根据层面、年份、状态及任务标题/编码查询我发布的任务信息及进度；支持任务催办、详情查看、导出及撤回，任务详情包括任务流、任务信息、任务提报记录和任务催办记录。</w:t>
      </w:r>
    </w:p>
    <w:p w14:paraId="7579B380">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（2）支持根据层面、年份、状态、部门、执行人及任务标题/编码查询我审核的任务信息；支持查看任务明细，填写并查看审核意见和审核结果。</w:t>
      </w:r>
    </w:p>
    <w:p w14:paraId="0D6E14D3">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3）支持根据层面、年份、状态及任务标题/编码查询我执行的任务信息；支持提报任务进度、预算执行金额、提报情况和佐证资料，查看任务提报记录、子任务提报情况及相关附件，并通过系统模板导入提报信息；支持将任务分解至具体执行人并上传附件；支持接收或拒收分解任务，接收后可进行任务提报，拒收后无法进行任务提报；支持将任务信息导出为Excel表格。</w:t>
      </w:r>
    </w:p>
    <w:p w14:paraId="01D47FA0">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（4）支持根据层面、年份、状态及任务标题/编码查询我提报的任务信息；支持查看任务详情，撤回尚未审核的任务提报，并对撤回任务重新提报，重新提报时附带上一次提报信息。</w:t>
      </w:r>
    </w:p>
    <w:p w14:paraId="24AEA90E">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▲（5）按照层面、年份、状态、部门、任务标题/编码，支持查询任务进度。支持选择任务下发催办信息；支持选择任务查看任务提报文件、并下载；将任务进度信息导出为Excel表格。【需提供真实系统截图】</w:t>
      </w:r>
    </w:p>
    <w:p w14:paraId="3D0B8549">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6）支持通过消息中心集中展示与专业（群）建设相关的目标发布、规划编制、项目申报及项目结项等通知信息；支持用户查看通知内容、发布时间及相关详情，便于相关负责人及时掌握专业（群）建设工作安排。</w:t>
      </w:r>
    </w:p>
    <w:p w14:paraId="2CA601B4">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cs="仿宋_GB2312"/>
          <w:color w:val="auto"/>
          <w:spacing w:val="-6"/>
          <w:sz w:val="28"/>
          <w:szCs w:val="28"/>
          <w:lang w:val="en-US" w:eastAsia="zh-CN" w:bidi="ar-SA"/>
        </w:rPr>
        <w:t>6.</w:t>
      </w:r>
      <w:r>
        <w:rPr>
          <w:rFonts w:hint="eastAsia" w:ascii="仿宋_GB2312" w:hAnsi="仿宋_GB2312" w:eastAsia="仿宋_GB2312" w:cs="仿宋_GB2312"/>
          <w:color w:val="auto"/>
          <w:spacing w:val="-6"/>
          <w:sz w:val="28"/>
          <w:szCs w:val="28"/>
          <w:lang w:val="en-US" w:eastAsia="zh-CN" w:bidi="ar-SA"/>
        </w:rPr>
        <w:t>绩效管理</w:t>
      </w:r>
    </w:p>
    <w:p w14:paraId="6CCC8844">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（1）支持根据层面、年份、状态及绩效标题查询我发布的绩效目标信息和完成度；支持绩效目标催办及绩效信息导出</w:t>
      </w:r>
      <w:r>
        <w:rPr>
          <w:rFonts w:hint="eastAsia" w:cs="仿宋_GB2312"/>
          <w:color w:val="auto"/>
          <w:spacing w:val="-6"/>
          <w:sz w:val="28"/>
          <w:szCs w:val="28"/>
          <w:lang w:val="en-US" w:eastAsia="zh-CN" w:bidi="ar-SA"/>
        </w:rPr>
        <w:t>。</w:t>
      </w:r>
    </w:p>
    <w:p w14:paraId="4CBF3003">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（2）支持根据层面、年份、状态、部门、执行人及绩效标题查询我审核的绩效信息；支持查看绩效明细，填写并查看审核意见和审核结果。</w:t>
      </w:r>
    </w:p>
    <w:p w14:paraId="2A9EC0DA">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3）按照层面、年份、状态、绩效标题，查询我执行的绩效目标信息；选择绩效目标进行提报。支持选择绩效查看绩效详情；支持选择绩效，填写分解绩效标题、添加执行人信息、上传附件，并将绩效分解至具体执行人；支持将“我执行的绩效”信息导出为Excel表格。【需提供真实系统截图】</w:t>
      </w:r>
    </w:p>
    <w:p w14:paraId="1D7F25EF">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（4）按照层面、年份、状态、绩效标题，查询我提报的绩效信息；选择绩效查看绩效详；对已提报但未审核的绩效进行撤回提报。</w:t>
      </w:r>
    </w:p>
    <w:p w14:paraId="318EBB58">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（5）支持根据层面、年份、状态、部门及绩效标题查询绩效进度，并将绩效进度信息导出为Excel表格；支持查看和下载绩效提报附件及成果文件。</w:t>
      </w:r>
    </w:p>
    <w:p w14:paraId="4847BEF9">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cs="仿宋_GB2312"/>
          <w:color w:val="auto"/>
          <w:spacing w:val="-6"/>
          <w:sz w:val="28"/>
          <w:szCs w:val="28"/>
          <w:lang w:val="en-US" w:eastAsia="zh-CN" w:bidi="ar-SA"/>
        </w:rPr>
        <w:t>7.</w:t>
      </w:r>
      <w:r>
        <w:rPr>
          <w:rFonts w:hint="eastAsia" w:ascii="仿宋_GB2312" w:hAnsi="仿宋_GB2312" w:eastAsia="仿宋_GB2312" w:cs="仿宋_GB2312"/>
          <w:color w:val="auto"/>
          <w:spacing w:val="-6"/>
          <w:sz w:val="28"/>
          <w:szCs w:val="28"/>
          <w:lang w:val="en-US" w:eastAsia="zh-CN" w:bidi="ar-SA"/>
        </w:rPr>
        <w:t>系统管理</w:t>
      </w:r>
    </w:p>
    <w:p w14:paraId="120ABD7E">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（1）支持维护提报提醒频率（按月/周），提醒起止时间等。</w:t>
      </w:r>
    </w:p>
    <w:p w14:paraId="1C5AD291">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（2）支持以下功能点：管理员对成果类型、成果级别、成果等级进行维护、并进行启停用。管理员选择成果类型及对象成果类型，进行合并，合并后的成果类型同步至已上传成果资料。</w:t>
      </w:r>
    </w:p>
    <w:p w14:paraId="58C536E9">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（3）支持管理员对标志性成果类型和最低级别标准进行维护，并进行启停用。</w:t>
      </w:r>
    </w:p>
    <w:p w14:paraId="4A4D71F0">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▲（4）系统需能支持管理员配置进度预警规则及预算预警规则，并对规则进行启停用。为确保项目各环节顺利进行，支持任务发布者可以对任务执行者进行工作预警，监察任务执行</w:t>
      </w:r>
      <w:r>
        <w:rPr>
          <w:rFonts w:hint="eastAsia" w:cs="仿宋_GB2312"/>
          <w:color w:val="auto"/>
          <w:spacing w:val="-6"/>
          <w:sz w:val="28"/>
          <w:szCs w:val="28"/>
          <w:lang w:val="en-US" w:eastAsia="zh-CN" w:bidi="ar-SA"/>
        </w:rPr>
        <w:t>者在</w:t>
      </w:r>
      <w:r>
        <w:rPr>
          <w:rFonts w:hint="eastAsia" w:ascii="仿宋_GB2312" w:hAnsi="仿宋_GB2312" w:eastAsia="仿宋_GB2312" w:cs="仿宋_GB2312"/>
          <w:color w:val="auto"/>
          <w:spacing w:val="-6"/>
          <w:sz w:val="28"/>
          <w:szCs w:val="28"/>
          <w:lang w:val="en-US" w:eastAsia="zh-CN" w:bidi="ar-SA"/>
        </w:rPr>
        <w:t>有限时间内有效完成工作任务，明确各岗位职责，加强内部监督。【需提供真实系统截图】</w:t>
      </w:r>
    </w:p>
    <w:p w14:paraId="63D565C1">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（5）支持管理员按层面、年份配置任务审核流程。</w:t>
      </w:r>
    </w:p>
    <w:p w14:paraId="0F8966EC">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（6）支持管理员对建设模板进行维护，支持选择模板类型（双高、年度重点工作），支持选择建设周期，支持对建设模板进行启用、停用。</w:t>
      </w:r>
    </w:p>
    <w:p w14:paraId="46AB21C8">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（7）支持管理员对指标类型进行配置，支持三级指标类型配置，支持对指标类型进行启停用。</w:t>
      </w:r>
    </w:p>
    <w:p w14:paraId="41E157E5">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（8）管理员查看系统运行日志及明细信息。管理员查看系统使用情况，支持按照模板进行导出。</w:t>
      </w:r>
    </w:p>
    <w:p w14:paraId="3F0E88E9">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cs="仿宋_GB2312"/>
          <w:color w:val="auto"/>
          <w:spacing w:val="-6"/>
          <w:sz w:val="28"/>
          <w:szCs w:val="28"/>
          <w:lang w:val="en-US" w:eastAsia="zh-CN" w:bidi="ar-SA"/>
        </w:rPr>
        <w:t>8.</w:t>
      </w:r>
      <w:r>
        <w:rPr>
          <w:rFonts w:hint="eastAsia" w:ascii="仿宋_GB2312" w:hAnsi="仿宋_GB2312" w:eastAsia="仿宋_GB2312" w:cs="仿宋_GB2312"/>
          <w:color w:val="auto"/>
          <w:spacing w:val="-6"/>
          <w:sz w:val="28"/>
          <w:szCs w:val="28"/>
          <w:lang w:val="en-US" w:eastAsia="zh-CN" w:bidi="ar-SA"/>
        </w:rPr>
        <w:t>报告生成、数据关联匹配功能</w:t>
      </w:r>
    </w:p>
    <w:p w14:paraId="5DE0E49B">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eastAsia" w:ascii="仿宋_GB2312" w:hAnsi="仿宋_GB2312" w:eastAsia="仿宋_GB2312" w:cs="仿宋_GB2312"/>
          <w:color w:val="auto"/>
          <w:spacing w:val="-6"/>
          <w:sz w:val="28"/>
          <w:szCs w:val="28"/>
          <w:lang w:val="en-US" w:eastAsia="zh-CN" w:bidi="ar-SA"/>
        </w:rPr>
      </w:pPr>
      <w:r>
        <w:rPr>
          <w:rFonts w:hint="eastAsia" w:ascii="仿宋_GB2312" w:hAnsi="仿宋_GB2312" w:eastAsia="仿宋_GB2312" w:cs="仿宋_GB2312"/>
          <w:color w:val="auto"/>
          <w:spacing w:val="-6"/>
          <w:sz w:val="28"/>
          <w:szCs w:val="28"/>
          <w:lang w:val="en-US" w:eastAsia="zh-CN" w:bidi="ar-SA"/>
        </w:rPr>
        <w:t>▲（1）支持AI生成所有双高项目任务完成情况的报告。【需提供真实系统截图】</w:t>
      </w:r>
    </w:p>
    <w:p w14:paraId="12C0280D">
      <w:pPr>
        <w:pStyle w:val="3"/>
        <w:keepNext w:val="0"/>
        <w:keepLines w:val="0"/>
        <w:pageBreakBefore w:val="0"/>
        <w:widowControl/>
        <w:numPr>
          <w:ilvl w:val="0"/>
          <w:numId w:val="0"/>
        </w:numPr>
        <w:kinsoku/>
        <w:wordWrap/>
        <w:overflowPunct/>
        <w:topLinePunct w:val="0"/>
        <w:autoSpaceDE/>
        <w:autoSpaceDN/>
        <w:bidi w:val="0"/>
        <w:adjustRightInd/>
        <w:snapToGrid/>
        <w:spacing w:line="460" w:lineRule="exact"/>
        <w:ind w:left="0" w:leftChars="0" w:firstLine="536" w:firstLineChars="200"/>
        <w:textAlignment w:val="auto"/>
        <w:rPr>
          <w:rFonts w:hint="default" w:ascii="仿宋_GB2312" w:hAnsi="仿宋_GB2312" w:eastAsia="仿宋_GB2312" w:cs="Times New Roman"/>
          <w:color w:val="auto"/>
          <w:spacing w:val="-6"/>
          <w:kern w:val="2"/>
          <w:sz w:val="32"/>
          <w:szCs w:val="24"/>
          <w:lang w:val="en-US" w:eastAsia="zh-CN" w:bidi="ar-SA"/>
        </w:rPr>
      </w:pPr>
      <w:r>
        <w:rPr>
          <w:rFonts w:hint="eastAsia" w:ascii="仿宋_GB2312" w:hAnsi="仿宋_GB2312" w:eastAsia="仿宋_GB2312" w:cs="仿宋_GB2312"/>
          <w:color w:val="auto"/>
          <w:spacing w:val="-6"/>
          <w:sz w:val="28"/>
          <w:szCs w:val="28"/>
          <w:lang w:val="en-US" w:eastAsia="zh-CN" w:bidi="ar-SA"/>
        </w:rPr>
        <w:t>▲（2）支持数据关联。上传办结一个双高佐证材料，支持自动关联到完成的专业综合评价的某项任务和办学质量达标的某个任务。 【需提供真实系统截图】</w:t>
      </w:r>
    </w:p>
    <w:p w14:paraId="4AA8A24B">
      <w:pPr>
        <w:pStyle w:val="101"/>
        <w:spacing w:line="460" w:lineRule="exact"/>
        <w:ind w:left="0" w:firstLine="640" w:firstLineChars="200"/>
        <w:jc w:val="both"/>
        <w:outlineLvl w:val="9"/>
        <w:rPr>
          <w:rFonts w:hint="eastAsia" w:ascii="仿宋_GB2312" w:hAnsi="仿宋_GB2312" w:eastAsia="仿宋_GB2312" w:cs="仿宋_GB2312"/>
          <w:b/>
          <w:sz w:val="32"/>
          <w:szCs w:val="32"/>
          <w:lang w:eastAsia="zh-CN"/>
        </w:rPr>
      </w:pPr>
      <w:r>
        <w:rPr>
          <w:rFonts w:hint="eastAsia" w:ascii="仿宋_GB2312" w:hAnsi="仿宋_GB2312" w:eastAsia="仿宋_GB2312" w:cs="仿宋_GB2312"/>
          <w:b/>
          <w:sz w:val="32"/>
          <w:szCs w:val="32"/>
          <w:lang w:eastAsia="zh-CN"/>
        </w:rPr>
        <w:t>四、服务要求（如对人员配置、专业设备、服务标准等）</w:t>
      </w:r>
    </w:p>
    <w:p w14:paraId="4266FDAC">
      <w:pPr>
        <w:pStyle w:val="101"/>
        <w:spacing w:line="460" w:lineRule="exact"/>
        <w:ind w:left="0" w:firstLine="560" w:firstLineChars="200"/>
        <w:jc w:val="both"/>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lang w:eastAsia="zh-CN"/>
        </w:rPr>
        <w:t>在合同执行过程中需要服务商执行的相关服务标准和应当履行的相关义务。</w:t>
      </w:r>
    </w:p>
    <w:p w14:paraId="3D8C253B">
      <w:pPr>
        <w:pStyle w:val="101"/>
        <w:spacing w:line="460" w:lineRule="exact"/>
        <w:ind w:left="0" w:firstLine="560" w:firstLineChars="200"/>
        <w:jc w:val="both"/>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lang w:eastAsia="zh-CN"/>
        </w:rPr>
        <w:t>.资质一致性要求</w:t>
      </w:r>
    </w:p>
    <w:p w14:paraId="6C3A52E7">
      <w:pPr>
        <w:pStyle w:val="101"/>
        <w:spacing w:line="460" w:lineRule="exact"/>
        <w:ind w:left="0" w:firstLine="560" w:firstLineChars="200"/>
        <w:jc w:val="both"/>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1）投入项目的团队成员在专业领域、职称等级、职业背景、项目经验，各类签字承诺函、佐证材料等关键素材，须与投标文件中承诺的资质标准完全一致。中标投标人需在中标公告3个工作日内针对应标文件中承诺的服务团队、各类资质及佐证材料，提供复印件备案，原件备查（包含但不限于各类资质证书、专家签字授权本项目的相关证明材料、各类其他佐证材料等）。</w:t>
      </w:r>
    </w:p>
    <w:p w14:paraId="68E244F6">
      <w:pPr>
        <w:pStyle w:val="101"/>
        <w:spacing w:line="460" w:lineRule="exact"/>
        <w:ind w:left="0" w:firstLine="560" w:firstLineChars="200"/>
        <w:jc w:val="both"/>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（2）中标投标人需要针对本次项目服务期间，授权招标人使用的软件平台，在中标后3个工作日内到甲方现场按照参数要求逐条演示，确保能够100%达到技术参数要求。</w:t>
      </w:r>
    </w:p>
    <w:p w14:paraId="4E28FF6F">
      <w:pPr>
        <w:pStyle w:val="101"/>
        <w:spacing w:line="460" w:lineRule="exact"/>
        <w:ind w:left="0" w:firstLine="560" w:firstLineChars="200"/>
        <w:jc w:val="both"/>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供应商承诺在服务期间不随意更换项目负责人，若确需更换，需提前七个工作日与采购人协商一致后再更换。</w:t>
      </w:r>
    </w:p>
    <w:p w14:paraId="041E94F1">
      <w:pPr>
        <w:pStyle w:val="101"/>
        <w:spacing w:line="460" w:lineRule="exact"/>
        <w:ind w:left="0" w:firstLine="640" w:firstLineChars="200"/>
        <w:jc w:val="both"/>
        <w:outlineLvl w:val="9"/>
        <w:rPr>
          <w:rFonts w:hint="eastAsia" w:ascii="仿宋_GB2312" w:hAnsi="仿宋_GB2312" w:eastAsia="仿宋_GB2312" w:cs="仿宋_GB2312"/>
          <w:b/>
          <w:sz w:val="32"/>
          <w:szCs w:val="32"/>
          <w:lang w:eastAsia="zh-CN"/>
        </w:rPr>
      </w:pPr>
      <w:r>
        <w:rPr>
          <w:rFonts w:hint="eastAsia" w:ascii="仿宋_GB2312" w:hAnsi="仿宋_GB2312" w:eastAsia="仿宋_GB2312" w:cs="仿宋_GB2312"/>
          <w:b/>
          <w:sz w:val="32"/>
          <w:szCs w:val="32"/>
          <w:lang w:eastAsia="zh-CN"/>
        </w:rPr>
        <w:t>五、商务要求（如服务期限、款项结算等）</w:t>
      </w:r>
    </w:p>
    <w:p w14:paraId="244492C8">
      <w:pPr>
        <w:pStyle w:val="101"/>
        <w:spacing w:line="460" w:lineRule="exact"/>
        <w:ind w:left="0" w:firstLine="560" w:firstLineChars="200"/>
        <w:jc w:val="both"/>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（一）服务期限</w:t>
      </w:r>
    </w:p>
    <w:p w14:paraId="75BFC317">
      <w:pPr>
        <w:pStyle w:val="101"/>
        <w:spacing w:line="460" w:lineRule="exact"/>
        <w:ind w:left="0" w:firstLine="560" w:firstLineChars="200"/>
        <w:jc w:val="both"/>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本项目服务期限为45日历天，起算时间以合同签订之日为准。服务商应于服务期内完成全部服务工作并提交经采购人确认通过的全套成果文件，按期完成项目全部工作任务。</w:t>
      </w:r>
    </w:p>
    <w:p w14:paraId="7FEBD8AA">
      <w:pPr>
        <w:pStyle w:val="102"/>
        <w:spacing w:line="460" w:lineRule="exact"/>
        <w:ind w:left="0" w:firstLine="560" w:firstLineChars="200"/>
        <w:jc w:val="both"/>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（二）</w:t>
      </w:r>
      <w:r>
        <w:rPr>
          <w:rFonts w:hint="eastAsia" w:ascii="仿宋_GB2312" w:hAnsi="仿宋_GB2312" w:eastAsia="仿宋_GB2312" w:cs="仿宋_GB2312"/>
          <w:sz w:val="28"/>
          <w:szCs w:val="28"/>
          <w:lang w:val="en-US" w:eastAsia="zh-CN"/>
        </w:rPr>
        <w:t>付款方式</w:t>
      </w:r>
    </w:p>
    <w:p w14:paraId="68E600CC">
      <w:pPr>
        <w:pStyle w:val="101"/>
        <w:spacing w:line="460" w:lineRule="exact"/>
        <w:ind w:left="0" w:firstLine="560" w:firstLineChars="200"/>
        <w:jc w:val="both"/>
        <w:outlineLvl w:val="9"/>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合同签订后30天内，预付合同金额的40%款项。经终验合格后，乙方持双方签署的《履约验收单》原件及相关资料向甲方申请剩余60%款项，甲方在30天内完成支付。</w:t>
      </w:r>
    </w:p>
    <w:p w14:paraId="59D16D36">
      <w:pPr>
        <w:pStyle w:val="101"/>
        <w:spacing w:line="460" w:lineRule="exact"/>
        <w:ind w:left="0" w:firstLine="640" w:firstLineChars="200"/>
        <w:jc w:val="both"/>
        <w:outlineLvl w:val="9"/>
        <w:rPr>
          <w:rFonts w:hint="eastAsia" w:ascii="仿宋_GB2312" w:hAnsi="仿宋_GB2312" w:eastAsia="仿宋_GB2312" w:cs="仿宋_GB2312"/>
          <w:b/>
          <w:sz w:val="32"/>
          <w:szCs w:val="32"/>
          <w:lang w:eastAsia="zh-CN"/>
        </w:rPr>
      </w:pPr>
      <w:r>
        <w:rPr>
          <w:rFonts w:hint="eastAsia" w:ascii="仿宋_GB2312" w:hAnsi="仿宋_GB2312" w:eastAsia="仿宋_GB2312" w:cs="仿宋_GB2312"/>
          <w:b/>
          <w:sz w:val="32"/>
          <w:szCs w:val="32"/>
          <w:lang w:eastAsia="zh-CN"/>
        </w:rPr>
        <w:t>六、其他（如有要求，请写明）</w:t>
      </w:r>
    </w:p>
    <w:p w14:paraId="5257A32F">
      <w:pPr>
        <w:pStyle w:val="101"/>
        <w:spacing w:line="460" w:lineRule="exact"/>
        <w:ind w:left="0" w:firstLine="560" w:firstLineChars="200"/>
        <w:jc w:val="both"/>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（一）对服务商的业绩要求</w:t>
      </w:r>
    </w:p>
    <w:p w14:paraId="51A9940C">
      <w:pPr>
        <w:pStyle w:val="101"/>
        <w:spacing w:line="460" w:lineRule="exact"/>
        <w:ind w:left="0" w:firstLine="560" w:firstLineChars="200"/>
        <w:jc w:val="both"/>
        <w:outlineLvl w:val="9"/>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本项目允许服务商提供近三年内</w:t>
      </w:r>
      <w:r>
        <w:rPr>
          <w:rFonts w:hint="eastAsia" w:ascii="仿宋_GB2312" w:hAnsi="仿宋_GB2312" w:eastAsia="仿宋_GB2312" w:cs="仿宋_GB2312"/>
          <w:sz w:val="28"/>
          <w:szCs w:val="28"/>
          <w:highlight w:val="none"/>
          <w:lang w:val="en-US" w:eastAsia="zh-CN"/>
        </w:rPr>
        <w:t>类似</w:t>
      </w:r>
      <w:r>
        <w:rPr>
          <w:rFonts w:hint="eastAsia" w:ascii="仿宋_GB2312" w:hAnsi="仿宋_GB2312" w:eastAsia="仿宋_GB2312" w:cs="仿宋_GB2312"/>
          <w:sz w:val="28"/>
          <w:szCs w:val="28"/>
          <w:highlight w:val="none"/>
          <w:lang w:eastAsia="zh-CN"/>
        </w:rPr>
        <w:t>服务项目业绩作为履约能力佐证材料，服务商投标时可附对应合同关键页、验收证明等业绩材料。</w:t>
      </w:r>
    </w:p>
    <w:p w14:paraId="30DCBACD">
      <w:pPr>
        <w:pStyle w:val="101"/>
        <w:spacing w:line="460" w:lineRule="exact"/>
        <w:ind w:left="0" w:firstLine="560" w:firstLineChars="200"/>
        <w:jc w:val="both"/>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二</w:t>
      </w:r>
      <w:r>
        <w:rPr>
          <w:rFonts w:hint="eastAsia" w:ascii="仿宋_GB2312" w:hAnsi="仿宋_GB2312" w:eastAsia="仿宋_GB2312" w:cs="仿宋_GB2312"/>
          <w:sz w:val="28"/>
          <w:szCs w:val="28"/>
          <w:lang w:eastAsia="zh-CN"/>
        </w:rPr>
        <w:t>）成果交付要求</w:t>
      </w:r>
    </w:p>
    <w:p w14:paraId="3DE050E7">
      <w:pPr>
        <w:pStyle w:val="101"/>
        <w:spacing w:line="460" w:lineRule="exact"/>
        <w:ind w:left="0" w:firstLine="560" w:firstLineChars="200"/>
        <w:jc w:val="both"/>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供应商应按照本合同约定按时进行服务，并按本合同、响应文件等完成该项目的各项服务，供应商配合用户单位填写项目（服务）验收材料后，采购人按合同、响应文件及响应文件中服务要求进行验收，验收地点由采购人指定。</w:t>
      </w:r>
    </w:p>
    <w:p w14:paraId="066D4E73">
      <w:pPr>
        <w:pStyle w:val="101"/>
        <w:spacing w:line="460" w:lineRule="exact"/>
        <w:ind w:left="0" w:firstLine="560" w:firstLineChars="200"/>
        <w:jc w:val="both"/>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三</w:t>
      </w:r>
      <w:r>
        <w:rPr>
          <w:rFonts w:hint="eastAsia" w:ascii="仿宋_GB2312" w:hAnsi="仿宋_GB2312" w:eastAsia="仿宋_GB2312" w:cs="仿宋_GB2312"/>
          <w:sz w:val="28"/>
          <w:szCs w:val="28"/>
          <w:lang w:eastAsia="zh-CN"/>
        </w:rPr>
        <w:t>）质量验收标准或规范</w:t>
      </w:r>
    </w:p>
    <w:p w14:paraId="52C6E54D">
      <w:pPr>
        <w:pStyle w:val="101"/>
        <w:spacing w:line="460" w:lineRule="exact"/>
        <w:ind w:left="0" w:firstLine="560" w:firstLineChars="200"/>
        <w:jc w:val="both"/>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lang w:eastAsia="zh-CN"/>
        </w:rPr>
        <w:t>法定标准依据：项目验收优先执行现行国家强制性标准、推荐性国家标准，以及国家、行业主管部门出台的相关法律法规、管理规范；无国家标准的，统一适用现行有效行业标准。</w:t>
      </w:r>
    </w:p>
    <w:p w14:paraId="5D1656F6">
      <w:pPr>
        <w:pStyle w:val="101"/>
        <w:spacing w:line="460" w:lineRule="exact"/>
        <w:ind w:left="0" w:firstLine="560" w:firstLineChars="200"/>
        <w:jc w:val="both"/>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lang w:eastAsia="zh-CN"/>
        </w:rPr>
        <w:t>合同约定依据：采购文件、中标（成交）供应商响应文件、双方签订的政府采购合同中明确约定的服务范围、技术参数、服务流程、交付成果等内容，均作为验收判定依据。</w:t>
      </w:r>
    </w:p>
    <w:p w14:paraId="2A6750A5">
      <w:pPr>
        <w:pStyle w:val="101"/>
        <w:spacing w:line="460" w:lineRule="exact"/>
        <w:ind w:left="0" w:firstLine="560" w:firstLineChars="200"/>
        <w:jc w:val="both"/>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lang w:eastAsia="zh-CN"/>
        </w:rPr>
        <w:t>验收判定规则：服务成果、服务过程未达到上述任一标准或合同约定要求的，视为验收不合格，服务商须按采购人要求限期整改直至达标。</w:t>
      </w:r>
    </w:p>
    <w:p w14:paraId="588D8CA0">
      <w:pPr>
        <w:pStyle w:val="101"/>
        <w:spacing w:line="460" w:lineRule="exact"/>
        <w:ind w:left="0" w:firstLine="560" w:firstLineChars="200"/>
        <w:jc w:val="both"/>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四</w:t>
      </w:r>
      <w:r>
        <w:rPr>
          <w:rFonts w:hint="eastAsia" w:ascii="仿宋_GB2312" w:hAnsi="仿宋_GB2312" w:eastAsia="仿宋_GB2312" w:cs="仿宋_GB2312"/>
          <w:sz w:val="28"/>
          <w:szCs w:val="28"/>
          <w:lang w:eastAsia="zh-CN"/>
        </w:rPr>
        <w:t>）违约责任</w:t>
      </w:r>
    </w:p>
    <w:p w14:paraId="5E093580">
      <w:pPr>
        <w:pStyle w:val="101"/>
        <w:spacing w:line="460" w:lineRule="exact"/>
        <w:ind w:left="0" w:firstLine="560" w:firstLineChars="200"/>
        <w:jc w:val="both"/>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lang w:eastAsia="zh-CN"/>
        </w:rPr>
        <w:t>供应商所供服务成果及与之配套项目等不符合合同约定标准，采购人有权拒收。同时，供应商向采购人支付合同总金额5%的违约金。</w:t>
      </w:r>
    </w:p>
    <w:p w14:paraId="6295EEBF">
      <w:pPr>
        <w:pStyle w:val="101"/>
        <w:spacing w:line="460" w:lineRule="exact"/>
        <w:ind w:left="0" w:firstLine="560" w:firstLineChars="200"/>
        <w:jc w:val="both"/>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lang w:eastAsia="zh-CN"/>
        </w:rPr>
        <w:t>供应商不能交付服务成果时，供应商向采购人支付合同总金额5%的违约金。</w:t>
      </w:r>
    </w:p>
    <w:p w14:paraId="0094108E">
      <w:pPr>
        <w:pStyle w:val="101"/>
        <w:spacing w:line="460" w:lineRule="exact"/>
        <w:ind w:left="0" w:firstLine="560" w:firstLineChars="200"/>
        <w:jc w:val="both"/>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lang w:eastAsia="zh-CN"/>
        </w:rPr>
        <w:t>供应商逾期交付服务成果或供应商未按照本合同的约定期限完成服务的，每逾1日供应商向采购人支付合同总金额0.5‰的滞纳金。逾期交付超过30日，采购人有权决定是否继续履行合同，如采购人决定终止履行合同的，供应商向采购人支付合同总金额5%的违约金，并且赔偿采购人因此所遭受的损失。</w:t>
      </w:r>
    </w:p>
    <w:p w14:paraId="0BFBA38E">
      <w:pPr>
        <w:pStyle w:val="101"/>
        <w:spacing w:line="460" w:lineRule="exact"/>
        <w:ind w:left="0" w:firstLine="560" w:firstLineChars="200"/>
        <w:jc w:val="both"/>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lang w:eastAsia="zh-CN"/>
        </w:rPr>
        <w:t>任何一方由于不可抗力原因不能履行合同时，在不可抗力事件结束后1日内向对方通报，以尽量减轻可能给对方造成的损失，在取得有关机构的不可抗力证明或双方谅解确认后，根据情况可部分或全部免于承担违约责任。</w:t>
      </w:r>
    </w:p>
    <w:p w14:paraId="43EFA662">
      <w:pPr>
        <w:pStyle w:val="101"/>
        <w:spacing w:line="460" w:lineRule="exact"/>
        <w:ind w:left="0" w:firstLine="560" w:firstLineChars="200"/>
        <w:jc w:val="both"/>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lang w:eastAsia="zh-CN"/>
        </w:rPr>
        <w:t>采购人应配合供应商的工作，若因采购人原因造成供应商未完成规定采购内容，采购人不得扣除供应商相应费用。</w:t>
      </w:r>
    </w:p>
    <w:p w14:paraId="61F5DF59">
      <w:pPr>
        <w:pStyle w:val="101"/>
        <w:spacing w:line="460" w:lineRule="exact"/>
        <w:ind w:left="0" w:firstLine="560" w:firstLineChars="200"/>
        <w:jc w:val="both"/>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lang w:eastAsia="zh-CN"/>
        </w:rPr>
        <w:t>如因供应商自身原因，不履行合同义务或者履行合同义务不符合约定的，应当承担继续履行、采取补救措施或者由采购人扣除相应合同价款作为对采购人造成损失的赔偿责任。</w:t>
      </w:r>
    </w:p>
    <w:p w14:paraId="736BAE74">
      <w:pPr>
        <w:pStyle w:val="101"/>
        <w:spacing w:line="460" w:lineRule="exact"/>
        <w:ind w:left="0" w:firstLine="560" w:firstLineChars="200"/>
        <w:jc w:val="both"/>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7.</w:t>
      </w:r>
      <w:r>
        <w:rPr>
          <w:rFonts w:hint="eastAsia" w:ascii="仿宋_GB2312" w:hAnsi="仿宋_GB2312" w:eastAsia="仿宋_GB2312" w:cs="仿宋_GB2312"/>
          <w:sz w:val="28"/>
          <w:szCs w:val="28"/>
          <w:lang w:eastAsia="zh-CN"/>
        </w:rPr>
        <w:t>供应商未经采购人书面同意将本合同的全部或部分服务转让给第三方，或者将合同权利、对采购人享有的债权转让给第三方的，该等转让对采购人无效，且采购人有权单方解除本合同。</w:t>
      </w:r>
    </w:p>
    <w:p w14:paraId="34E97780">
      <w:pPr>
        <w:pStyle w:val="101"/>
        <w:spacing w:line="460" w:lineRule="exact"/>
        <w:ind w:left="0" w:firstLine="560" w:firstLineChars="200"/>
        <w:jc w:val="both"/>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8.</w:t>
      </w:r>
      <w:r>
        <w:rPr>
          <w:rFonts w:hint="eastAsia" w:ascii="仿宋_GB2312" w:hAnsi="仿宋_GB2312" w:eastAsia="仿宋_GB2312" w:cs="仿宋_GB2312"/>
          <w:sz w:val="28"/>
          <w:szCs w:val="28"/>
          <w:lang w:eastAsia="zh-CN"/>
        </w:rPr>
        <w:t>因供应商存在其他违约行为或因供应商原因导致合同目的无法实现或合同无法继续履行的，采购人有权解除合同。</w:t>
      </w:r>
    </w:p>
    <w:p w14:paraId="06557500">
      <w:pPr>
        <w:pStyle w:val="101"/>
        <w:spacing w:line="460" w:lineRule="exact"/>
        <w:ind w:left="0" w:firstLine="560" w:firstLineChars="200"/>
        <w:jc w:val="both"/>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9.</w:t>
      </w:r>
      <w:r>
        <w:rPr>
          <w:rFonts w:hint="eastAsia" w:ascii="仿宋_GB2312" w:hAnsi="仿宋_GB2312" w:eastAsia="仿宋_GB2312" w:cs="仿宋_GB2312"/>
          <w:sz w:val="28"/>
          <w:szCs w:val="28"/>
          <w:lang w:eastAsia="zh-CN"/>
        </w:rPr>
        <w:t>供应商违反本合同的约定，除按本合同的约定承担违约责任外，还应赔偿采购人包括但不限于直接损失、采购人向第三方的违约或赔偿损失、误工费、鉴定费、损失的评估费、律师费、诉讼费或仲裁费、保全费、保险费、公告费、执行费等全部损失。</w:t>
      </w:r>
    </w:p>
    <w:p w14:paraId="1BA0DFDB">
      <w:pPr>
        <w:pStyle w:val="101"/>
        <w:spacing w:line="460" w:lineRule="exact"/>
        <w:ind w:left="0" w:firstLine="560" w:firstLineChars="200"/>
        <w:jc w:val="both"/>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10.其他</w:t>
      </w:r>
      <w:r>
        <w:rPr>
          <w:rFonts w:hint="eastAsia" w:ascii="仿宋_GB2312" w:hAnsi="仿宋_GB2312" w:eastAsia="仿宋_GB2312" w:cs="仿宋_GB2312"/>
          <w:sz w:val="28"/>
          <w:szCs w:val="28"/>
          <w:lang w:eastAsia="zh-CN"/>
        </w:rPr>
        <w:t>违约责任按《中华人民共和国民法典》处理。</w:t>
      </w:r>
    </w:p>
    <w:p w14:paraId="353960E9">
      <w:pPr>
        <w:rPr>
          <w:rFonts w:hint="default" w:ascii="仿宋_GB2312" w:hAnsi="仿宋_GB2312" w:eastAsia="仿宋_GB2312" w:cs="仿宋_GB2312"/>
          <w:sz w:val="28"/>
          <w:szCs w:val="28"/>
          <w:lang w:val="en-US" w:eastAsia="zh-CN"/>
        </w:rPr>
      </w:pPr>
    </w:p>
    <w:sectPr>
      <w:footerReference r:id="rId3" w:type="default"/>
      <w:pgSz w:w="11906" w:h="16838"/>
      <w:pgMar w:top="1134" w:right="1134" w:bottom="1134" w:left="1134" w:header="851" w:footer="992" w:gutter="0"/>
      <w:pgNumType w:fmt="numberInDash"/>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CECDB919-B947-4042-B675-FA7670A03675}"/>
  </w:font>
  <w:font w:name="微软雅黑-Tahoma">
    <w:altName w:val="微软雅黑"/>
    <w:panose1 w:val="00000000000000000000"/>
    <w:charset w:val="86"/>
    <w:family w:val="swiss"/>
    <w:pitch w:val="default"/>
    <w:sig w:usb0="00000000" w:usb1="00000000" w:usb2="001FFDFF" w:usb3="00000000" w:csb0="003F01F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Angsana New">
    <w:altName w:val="Microsoft Sans Serif"/>
    <w:panose1 w:val="02020603050405020304"/>
    <w:charset w:val="DE"/>
    <w:family w:val="roman"/>
    <w:pitch w:val="default"/>
    <w:sig w:usb0="00000000" w:usb1="00000000" w:usb2="00000000" w:usb3="00000000" w:csb0="00010001" w:csb1="00000000"/>
  </w:font>
  <w:font w:name="Microsoft Sans Serif">
    <w:panose1 w:val="020B0604020202020204"/>
    <w:charset w:val="00"/>
    <w:family w:val="auto"/>
    <w:pitch w:val="default"/>
    <w:sig w:usb0="E5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方正小标宋简体">
    <w:panose1 w:val="02000000000000000000"/>
    <w:charset w:val="86"/>
    <w:family w:val="auto"/>
    <w:pitch w:val="default"/>
    <w:sig w:usb0="00000001" w:usb1="08000000" w:usb2="00000000" w:usb3="00000000" w:csb0="00040000" w:csb1="00000000"/>
    <w:embedRegular r:id="rId2" w:fontKey="{6E9C0293-6BE0-494C-ADD1-06EFF01EABC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2C06E">
    <w:pPr>
      <w:pStyle w:val="15"/>
      <w:jc w:val="right"/>
      <w:rPr>
        <w:sz w:val="28"/>
        <w:szCs w:val="28"/>
      </w:rPr>
    </w:pPr>
    <w:r>
      <w:rPr>
        <w:sz w:val="28"/>
        <w:szCs w:val="28"/>
      </w:rPr>
      <w:fldChar w:fldCharType="begin"/>
    </w:r>
    <w:r>
      <w:rPr>
        <w:sz w:val="28"/>
        <w:szCs w:val="28"/>
      </w:rPr>
      <w:instrText xml:space="preserve">PAGE   \* MERGEFORMAT</w:instrText>
    </w:r>
    <w:r>
      <w:rPr>
        <w:sz w:val="28"/>
        <w:szCs w:val="28"/>
      </w:rPr>
      <w:fldChar w:fldCharType="separate"/>
    </w:r>
    <w:r>
      <w:rPr>
        <w:sz w:val="28"/>
        <w:szCs w:val="28"/>
        <w:lang w:val="zh-CN"/>
      </w:rPr>
      <w:t>-</w:t>
    </w:r>
    <w:r>
      <w:rPr>
        <w:sz w:val="28"/>
        <w:szCs w:val="28"/>
      </w:rPr>
      <w:t xml:space="preserve"> 2 -</w:t>
    </w:r>
    <w:r>
      <w:rPr>
        <w:sz w:val="28"/>
        <w:szCs w:val="28"/>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TrueTypeFonts/>
  <w:saveSubsetFonts/>
  <w:bordersDoNotSurroundHeader w:val="0"/>
  <w:bordersDoNotSurroundFooter w:val="0"/>
  <w:documentProtection w:enforcement="0"/>
  <w:defaultTabStop w:val="418"/>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lOWZiMzk2OWM0M2RiNTU0MzdkMDlmYmJiNWQzZDkifQ=="/>
  </w:docVars>
  <w:rsids>
    <w:rsidRoot w:val="004B3ADB"/>
    <w:rsid w:val="000000E6"/>
    <w:rsid w:val="00000BC6"/>
    <w:rsid w:val="00000F90"/>
    <w:rsid w:val="000010AE"/>
    <w:rsid w:val="00001FA3"/>
    <w:rsid w:val="000023E3"/>
    <w:rsid w:val="00002803"/>
    <w:rsid w:val="00003C0E"/>
    <w:rsid w:val="00003F0E"/>
    <w:rsid w:val="00004E90"/>
    <w:rsid w:val="00005399"/>
    <w:rsid w:val="00005D08"/>
    <w:rsid w:val="00005DBB"/>
    <w:rsid w:val="000063C0"/>
    <w:rsid w:val="00007AA7"/>
    <w:rsid w:val="00007CF5"/>
    <w:rsid w:val="000101D9"/>
    <w:rsid w:val="00011D5D"/>
    <w:rsid w:val="00012511"/>
    <w:rsid w:val="000127A3"/>
    <w:rsid w:val="00013368"/>
    <w:rsid w:val="000144AF"/>
    <w:rsid w:val="00014650"/>
    <w:rsid w:val="0001547B"/>
    <w:rsid w:val="00015C2F"/>
    <w:rsid w:val="00016185"/>
    <w:rsid w:val="00016396"/>
    <w:rsid w:val="0002136B"/>
    <w:rsid w:val="000213EF"/>
    <w:rsid w:val="00021694"/>
    <w:rsid w:val="000224E9"/>
    <w:rsid w:val="000226CB"/>
    <w:rsid w:val="0002318A"/>
    <w:rsid w:val="00023F18"/>
    <w:rsid w:val="00025915"/>
    <w:rsid w:val="0002614D"/>
    <w:rsid w:val="00027833"/>
    <w:rsid w:val="00027FBA"/>
    <w:rsid w:val="00027FCF"/>
    <w:rsid w:val="0003285E"/>
    <w:rsid w:val="00032AB4"/>
    <w:rsid w:val="00034847"/>
    <w:rsid w:val="00034F9F"/>
    <w:rsid w:val="0003522B"/>
    <w:rsid w:val="00036D5B"/>
    <w:rsid w:val="0003704B"/>
    <w:rsid w:val="000373D7"/>
    <w:rsid w:val="00037CE8"/>
    <w:rsid w:val="00040087"/>
    <w:rsid w:val="00043016"/>
    <w:rsid w:val="0004368E"/>
    <w:rsid w:val="0004494F"/>
    <w:rsid w:val="000450E8"/>
    <w:rsid w:val="0004636F"/>
    <w:rsid w:val="0004652F"/>
    <w:rsid w:val="00046A29"/>
    <w:rsid w:val="00046EDD"/>
    <w:rsid w:val="00047F2B"/>
    <w:rsid w:val="00050858"/>
    <w:rsid w:val="000514AD"/>
    <w:rsid w:val="000525FC"/>
    <w:rsid w:val="000539BB"/>
    <w:rsid w:val="0005413A"/>
    <w:rsid w:val="00054634"/>
    <w:rsid w:val="00054823"/>
    <w:rsid w:val="000551F5"/>
    <w:rsid w:val="00055292"/>
    <w:rsid w:val="00055491"/>
    <w:rsid w:val="00055717"/>
    <w:rsid w:val="00055E84"/>
    <w:rsid w:val="00056971"/>
    <w:rsid w:val="00060168"/>
    <w:rsid w:val="00060C98"/>
    <w:rsid w:val="00061644"/>
    <w:rsid w:val="00062DCF"/>
    <w:rsid w:val="00063980"/>
    <w:rsid w:val="00063FA6"/>
    <w:rsid w:val="00064117"/>
    <w:rsid w:val="000647C7"/>
    <w:rsid w:val="00065AB3"/>
    <w:rsid w:val="00066A45"/>
    <w:rsid w:val="00067AF6"/>
    <w:rsid w:val="0007108E"/>
    <w:rsid w:val="00071157"/>
    <w:rsid w:val="0007172B"/>
    <w:rsid w:val="0007187D"/>
    <w:rsid w:val="00072025"/>
    <w:rsid w:val="00072A7F"/>
    <w:rsid w:val="0007384F"/>
    <w:rsid w:val="000739A8"/>
    <w:rsid w:val="00073A15"/>
    <w:rsid w:val="00073BB0"/>
    <w:rsid w:val="0007418E"/>
    <w:rsid w:val="00074A2C"/>
    <w:rsid w:val="00074A30"/>
    <w:rsid w:val="00074EDB"/>
    <w:rsid w:val="00075C7A"/>
    <w:rsid w:val="00076C37"/>
    <w:rsid w:val="00077899"/>
    <w:rsid w:val="000779E5"/>
    <w:rsid w:val="00080CF7"/>
    <w:rsid w:val="00081A9A"/>
    <w:rsid w:val="00082A75"/>
    <w:rsid w:val="00083061"/>
    <w:rsid w:val="000832BE"/>
    <w:rsid w:val="000838C3"/>
    <w:rsid w:val="00083E2A"/>
    <w:rsid w:val="00084333"/>
    <w:rsid w:val="00084387"/>
    <w:rsid w:val="00084B15"/>
    <w:rsid w:val="00084B54"/>
    <w:rsid w:val="00085140"/>
    <w:rsid w:val="000853A3"/>
    <w:rsid w:val="0008544B"/>
    <w:rsid w:val="000854D7"/>
    <w:rsid w:val="00085840"/>
    <w:rsid w:val="00086CEB"/>
    <w:rsid w:val="00086E1E"/>
    <w:rsid w:val="00087210"/>
    <w:rsid w:val="00087DA6"/>
    <w:rsid w:val="000901EC"/>
    <w:rsid w:val="00090551"/>
    <w:rsid w:val="00090F4E"/>
    <w:rsid w:val="0009242A"/>
    <w:rsid w:val="000924B4"/>
    <w:rsid w:val="000933BA"/>
    <w:rsid w:val="000934DF"/>
    <w:rsid w:val="000939E5"/>
    <w:rsid w:val="00093ACA"/>
    <w:rsid w:val="00095D84"/>
    <w:rsid w:val="00096BA2"/>
    <w:rsid w:val="00096EC2"/>
    <w:rsid w:val="0009754B"/>
    <w:rsid w:val="00097E66"/>
    <w:rsid w:val="000A0069"/>
    <w:rsid w:val="000A12AA"/>
    <w:rsid w:val="000A18BC"/>
    <w:rsid w:val="000A2B9F"/>
    <w:rsid w:val="000A2C01"/>
    <w:rsid w:val="000A2CEA"/>
    <w:rsid w:val="000A30D7"/>
    <w:rsid w:val="000A332F"/>
    <w:rsid w:val="000A3387"/>
    <w:rsid w:val="000A4C56"/>
    <w:rsid w:val="000A4DFE"/>
    <w:rsid w:val="000A4E6A"/>
    <w:rsid w:val="000A52CC"/>
    <w:rsid w:val="000A6CDB"/>
    <w:rsid w:val="000A7189"/>
    <w:rsid w:val="000A7774"/>
    <w:rsid w:val="000A79C8"/>
    <w:rsid w:val="000B0912"/>
    <w:rsid w:val="000B09B1"/>
    <w:rsid w:val="000B0A23"/>
    <w:rsid w:val="000B0AA3"/>
    <w:rsid w:val="000B0B96"/>
    <w:rsid w:val="000B103F"/>
    <w:rsid w:val="000B1425"/>
    <w:rsid w:val="000B158B"/>
    <w:rsid w:val="000B1A4F"/>
    <w:rsid w:val="000B235C"/>
    <w:rsid w:val="000B2D84"/>
    <w:rsid w:val="000B2F0F"/>
    <w:rsid w:val="000B38F4"/>
    <w:rsid w:val="000B3C24"/>
    <w:rsid w:val="000B41F7"/>
    <w:rsid w:val="000B60B7"/>
    <w:rsid w:val="000B6775"/>
    <w:rsid w:val="000B6CDF"/>
    <w:rsid w:val="000B72A1"/>
    <w:rsid w:val="000B739B"/>
    <w:rsid w:val="000B7C85"/>
    <w:rsid w:val="000C08BA"/>
    <w:rsid w:val="000C0CCD"/>
    <w:rsid w:val="000C1099"/>
    <w:rsid w:val="000C16C5"/>
    <w:rsid w:val="000C19F1"/>
    <w:rsid w:val="000C1A85"/>
    <w:rsid w:val="000C1F20"/>
    <w:rsid w:val="000C3B5D"/>
    <w:rsid w:val="000C49DD"/>
    <w:rsid w:val="000C4DED"/>
    <w:rsid w:val="000C4EE6"/>
    <w:rsid w:val="000C5284"/>
    <w:rsid w:val="000C52DC"/>
    <w:rsid w:val="000C54F2"/>
    <w:rsid w:val="000C59CC"/>
    <w:rsid w:val="000C5E34"/>
    <w:rsid w:val="000C6236"/>
    <w:rsid w:val="000C6EFC"/>
    <w:rsid w:val="000C6F5C"/>
    <w:rsid w:val="000D1AB4"/>
    <w:rsid w:val="000D1BDB"/>
    <w:rsid w:val="000D20F6"/>
    <w:rsid w:val="000D2901"/>
    <w:rsid w:val="000D30D5"/>
    <w:rsid w:val="000D386D"/>
    <w:rsid w:val="000D4876"/>
    <w:rsid w:val="000D4DE7"/>
    <w:rsid w:val="000D4ED0"/>
    <w:rsid w:val="000D75E3"/>
    <w:rsid w:val="000E049C"/>
    <w:rsid w:val="000E06F4"/>
    <w:rsid w:val="000E0A78"/>
    <w:rsid w:val="000E0DC5"/>
    <w:rsid w:val="000E1369"/>
    <w:rsid w:val="000E1F65"/>
    <w:rsid w:val="000E303F"/>
    <w:rsid w:val="000E35BF"/>
    <w:rsid w:val="000E3EF9"/>
    <w:rsid w:val="000E45E5"/>
    <w:rsid w:val="000E4B57"/>
    <w:rsid w:val="000E578C"/>
    <w:rsid w:val="000E5D6A"/>
    <w:rsid w:val="000E7BF8"/>
    <w:rsid w:val="000F020F"/>
    <w:rsid w:val="000F1AFD"/>
    <w:rsid w:val="000F1B77"/>
    <w:rsid w:val="000F2736"/>
    <w:rsid w:val="000F2E62"/>
    <w:rsid w:val="000F3326"/>
    <w:rsid w:val="000F39D1"/>
    <w:rsid w:val="000F3A7C"/>
    <w:rsid w:val="000F3E9D"/>
    <w:rsid w:val="000F4336"/>
    <w:rsid w:val="000F4382"/>
    <w:rsid w:val="000F4E54"/>
    <w:rsid w:val="000F5C4F"/>
    <w:rsid w:val="000F6219"/>
    <w:rsid w:val="000F6C89"/>
    <w:rsid w:val="000F6D7D"/>
    <w:rsid w:val="000F6E0C"/>
    <w:rsid w:val="00100C08"/>
    <w:rsid w:val="00100FA6"/>
    <w:rsid w:val="0010277A"/>
    <w:rsid w:val="00102AB8"/>
    <w:rsid w:val="00103679"/>
    <w:rsid w:val="00104439"/>
    <w:rsid w:val="0010445C"/>
    <w:rsid w:val="001049E3"/>
    <w:rsid w:val="00104E3D"/>
    <w:rsid w:val="001051ED"/>
    <w:rsid w:val="0010558F"/>
    <w:rsid w:val="00106D49"/>
    <w:rsid w:val="00106FDA"/>
    <w:rsid w:val="001071CF"/>
    <w:rsid w:val="0010793E"/>
    <w:rsid w:val="001101FF"/>
    <w:rsid w:val="00111C29"/>
    <w:rsid w:val="00111D38"/>
    <w:rsid w:val="001120FA"/>
    <w:rsid w:val="00112BF6"/>
    <w:rsid w:val="00112D4E"/>
    <w:rsid w:val="00115070"/>
    <w:rsid w:val="00116DA0"/>
    <w:rsid w:val="0011788B"/>
    <w:rsid w:val="00117CDA"/>
    <w:rsid w:val="00121894"/>
    <w:rsid w:val="001222A5"/>
    <w:rsid w:val="00122F3C"/>
    <w:rsid w:val="00123692"/>
    <w:rsid w:val="00123A03"/>
    <w:rsid w:val="00123F1D"/>
    <w:rsid w:val="001251F5"/>
    <w:rsid w:val="00126118"/>
    <w:rsid w:val="001268E9"/>
    <w:rsid w:val="00126AE1"/>
    <w:rsid w:val="00127296"/>
    <w:rsid w:val="001273B1"/>
    <w:rsid w:val="00127517"/>
    <w:rsid w:val="001279E2"/>
    <w:rsid w:val="00127D0D"/>
    <w:rsid w:val="00127D6D"/>
    <w:rsid w:val="001326CE"/>
    <w:rsid w:val="00133405"/>
    <w:rsid w:val="001334E0"/>
    <w:rsid w:val="00133623"/>
    <w:rsid w:val="001338AE"/>
    <w:rsid w:val="001342E0"/>
    <w:rsid w:val="0013528D"/>
    <w:rsid w:val="001358B2"/>
    <w:rsid w:val="0013596B"/>
    <w:rsid w:val="00135AE6"/>
    <w:rsid w:val="0013626B"/>
    <w:rsid w:val="00136383"/>
    <w:rsid w:val="001365F6"/>
    <w:rsid w:val="001375D4"/>
    <w:rsid w:val="00140461"/>
    <w:rsid w:val="00141189"/>
    <w:rsid w:val="0014127C"/>
    <w:rsid w:val="00141359"/>
    <w:rsid w:val="001422FB"/>
    <w:rsid w:val="00142702"/>
    <w:rsid w:val="00143FEF"/>
    <w:rsid w:val="0014401B"/>
    <w:rsid w:val="001442D8"/>
    <w:rsid w:val="00145E26"/>
    <w:rsid w:val="001473F3"/>
    <w:rsid w:val="00147756"/>
    <w:rsid w:val="00150884"/>
    <w:rsid w:val="00150F5D"/>
    <w:rsid w:val="00150F80"/>
    <w:rsid w:val="001510AB"/>
    <w:rsid w:val="0015124B"/>
    <w:rsid w:val="00153194"/>
    <w:rsid w:val="0015325E"/>
    <w:rsid w:val="00153BAF"/>
    <w:rsid w:val="00154067"/>
    <w:rsid w:val="00155096"/>
    <w:rsid w:val="001553D2"/>
    <w:rsid w:val="00155B71"/>
    <w:rsid w:val="00155EB0"/>
    <w:rsid w:val="00156492"/>
    <w:rsid w:val="00156837"/>
    <w:rsid w:val="00156908"/>
    <w:rsid w:val="00156AB6"/>
    <w:rsid w:val="0015712B"/>
    <w:rsid w:val="001573E4"/>
    <w:rsid w:val="00157EDB"/>
    <w:rsid w:val="00157EE5"/>
    <w:rsid w:val="00160175"/>
    <w:rsid w:val="00160228"/>
    <w:rsid w:val="00161091"/>
    <w:rsid w:val="001610B8"/>
    <w:rsid w:val="00161404"/>
    <w:rsid w:val="001614C0"/>
    <w:rsid w:val="001616DE"/>
    <w:rsid w:val="0016238D"/>
    <w:rsid w:val="00162C46"/>
    <w:rsid w:val="00163183"/>
    <w:rsid w:val="00163263"/>
    <w:rsid w:val="001636D8"/>
    <w:rsid w:val="001641B4"/>
    <w:rsid w:val="001648C1"/>
    <w:rsid w:val="00165B0C"/>
    <w:rsid w:val="00165FA8"/>
    <w:rsid w:val="00166EF9"/>
    <w:rsid w:val="001676CD"/>
    <w:rsid w:val="00170400"/>
    <w:rsid w:val="00170CBC"/>
    <w:rsid w:val="00171825"/>
    <w:rsid w:val="00171A72"/>
    <w:rsid w:val="00173607"/>
    <w:rsid w:val="0017374E"/>
    <w:rsid w:val="00173EDC"/>
    <w:rsid w:val="00175036"/>
    <w:rsid w:val="00175158"/>
    <w:rsid w:val="00175242"/>
    <w:rsid w:val="00175333"/>
    <w:rsid w:val="00176093"/>
    <w:rsid w:val="00176495"/>
    <w:rsid w:val="00176579"/>
    <w:rsid w:val="001765BE"/>
    <w:rsid w:val="00177131"/>
    <w:rsid w:val="00177147"/>
    <w:rsid w:val="001773FA"/>
    <w:rsid w:val="00177A01"/>
    <w:rsid w:val="00177B28"/>
    <w:rsid w:val="001804BF"/>
    <w:rsid w:val="00180DD0"/>
    <w:rsid w:val="001810C0"/>
    <w:rsid w:val="00181CCC"/>
    <w:rsid w:val="0018252D"/>
    <w:rsid w:val="00182EB2"/>
    <w:rsid w:val="001840E6"/>
    <w:rsid w:val="00184A11"/>
    <w:rsid w:val="00184E2A"/>
    <w:rsid w:val="00185BF0"/>
    <w:rsid w:val="00187E4D"/>
    <w:rsid w:val="00187E87"/>
    <w:rsid w:val="00187EA1"/>
    <w:rsid w:val="001908DB"/>
    <w:rsid w:val="0019161C"/>
    <w:rsid w:val="00192601"/>
    <w:rsid w:val="00193F2D"/>
    <w:rsid w:val="00193F5C"/>
    <w:rsid w:val="001942AD"/>
    <w:rsid w:val="00194681"/>
    <w:rsid w:val="00195114"/>
    <w:rsid w:val="001951E5"/>
    <w:rsid w:val="001952FF"/>
    <w:rsid w:val="00195A85"/>
    <w:rsid w:val="001967D5"/>
    <w:rsid w:val="00196CC6"/>
    <w:rsid w:val="00196E70"/>
    <w:rsid w:val="001972B0"/>
    <w:rsid w:val="001972F0"/>
    <w:rsid w:val="00197980"/>
    <w:rsid w:val="001A0438"/>
    <w:rsid w:val="001A1480"/>
    <w:rsid w:val="001A1898"/>
    <w:rsid w:val="001A2CBE"/>
    <w:rsid w:val="001A342C"/>
    <w:rsid w:val="001A3B03"/>
    <w:rsid w:val="001A409C"/>
    <w:rsid w:val="001A430C"/>
    <w:rsid w:val="001A4865"/>
    <w:rsid w:val="001A5E6F"/>
    <w:rsid w:val="001A7659"/>
    <w:rsid w:val="001B0214"/>
    <w:rsid w:val="001B053F"/>
    <w:rsid w:val="001B0993"/>
    <w:rsid w:val="001B0A2F"/>
    <w:rsid w:val="001B0DF7"/>
    <w:rsid w:val="001B115C"/>
    <w:rsid w:val="001B15E5"/>
    <w:rsid w:val="001B2655"/>
    <w:rsid w:val="001B3130"/>
    <w:rsid w:val="001B35F8"/>
    <w:rsid w:val="001B37E6"/>
    <w:rsid w:val="001B39B1"/>
    <w:rsid w:val="001B4538"/>
    <w:rsid w:val="001B455E"/>
    <w:rsid w:val="001B54AA"/>
    <w:rsid w:val="001B5A90"/>
    <w:rsid w:val="001B61F4"/>
    <w:rsid w:val="001B7478"/>
    <w:rsid w:val="001B761D"/>
    <w:rsid w:val="001B765C"/>
    <w:rsid w:val="001B7BD1"/>
    <w:rsid w:val="001B7C0A"/>
    <w:rsid w:val="001C0545"/>
    <w:rsid w:val="001C0764"/>
    <w:rsid w:val="001C0BBB"/>
    <w:rsid w:val="001C10D3"/>
    <w:rsid w:val="001C136D"/>
    <w:rsid w:val="001C1419"/>
    <w:rsid w:val="001C1BC8"/>
    <w:rsid w:val="001C2923"/>
    <w:rsid w:val="001C34AD"/>
    <w:rsid w:val="001C3C53"/>
    <w:rsid w:val="001C4228"/>
    <w:rsid w:val="001C45C4"/>
    <w:rsid w:val="001C490C"/>
    <w:rsid w:val="001C4C5E"/>
    <w:rsid w:val="001C5D9E"/>
    <w:rsid w:val="001C61B2"/>
    <w:rsid w:val="001C65A5"/>
    <w:rsid w:val="001C6AE1"/>
    <w:rsid w:val="001C6B6A"/>
    <w:rsid w:val="001C6C49"/>
    <w:rsid w:val="001C6CE9"/>
    <w:rsid w:val="001C7A12"/>
    <w:rsid w:val="001D03DC"/>
    <w:rsid w:val="001D043B"/>
    <w:rsid w:val="001D136E"/>
    <w:rsid w:val="001D1EEF"/>
    <w:rsid w:val="001D22A9"/>
    <w:rsid w:val="001D26A3"/>
    <w:rsid w:val="001D2C20"/>
    <w:rsid w:val="001D353A"/>
    <w:rsid w:val="001D57DA"/>
    <w:rsid w:val="001D5BCE"/>
    <w:rsid w:val="001D65A0"/>
    <w:rsid w:val="001D6CDB"/>
    <w:rsid w:val="001D7B4F"/>
    <w:rsid w:val="001D7DB6"/>
    <w:rsid w:val="001D7F75"/>
    <w:rsid w:val="001E0389"/>
    <w:rsid w:val="001E0C7E"/>
    <w:rsid w:val="001E1654"/>
    <w:rsid w:val="001E196A"/>
    <w:rsid w:val="001E205A"/>
    <w:rsid w:val="001E2F25"/>
    <w:rsid w:val="001E3727"/>
    <w:rsid w:val="001E3779"/>
    <w:rsid w:val="001E3961"/>
    <w:rsid w:val="001E3C46"/>
    <w:rsid w:val="001E3E1B"/>
    <w:rsid w:val="001E44C8"/>
    <w:rsid w:val="001E4943"/>
    <w:rsid w:val="001E5009"/>
    <w:rsid w:val="001E59EB"/>
    <w:rsid w:val="001E5CF9"/>
    <w:rsid w:val="001E63A1"/>
    <w:rsid w:val="001E7321"/>
    <w:rsid w:val="001E7FBA"/>
    <w:rsid w:val="001F011C"/>
    <w:rsid w:val="001F01A7"/>
    <w:rsid w:val="001F0478"/>
    <w:rsid w:val="001F0606"/>
    <w:rsid w:val="001F2392"/>
    <w:rsid w:val="001F24DC"/>
    <w:rsid w:val="001F2D48"/>
    <w:rsid w:val="001F320B"/>
    <w:rsid w:val="001F5F15"/>
    <w:rsid w:val="00200F09"/>
    <w:rsid w:val="002013D0"/>
    <w:rsid w:val="00202183"/>
    <w:rsid w:val="002025D0"/>
    <w:rsid w:val="0020288B"/>
    <w:rsid w:val="002037F6"/>
    <w:rsid w:val="00203F0C"/>
    <w:rsid w:val="00204795"/>
    <w:rsid w:val="00204797"/>
    <w:rsid w:val="0020484B"/>
    <w:rsid w:val="00205543"/>
    <w:rsid w:val="00206466"/>
    <w:rsid w:val="00206DA6"/>
    <w:rsid w:val="002108AC"/>
    <w:rsid w:val="00210D6A"/>
    <w:rsid w:val="00211138"/>
    <w:rsid w:val="002111C9"/>
    <w:rsid w:val="00211E60"/>
    <w:rsid w:val="002125B3"/>
    <w:rsid w:val="00212757"/>
    <w:rsid w:val="00212960"/>
    <w:rsid w:val="00212BF6"/>
    <w:rsid w:val="00213F04"/>
    <w:rsid w:val="00214959"/>
    <w:rsid w:val="00215AF2"/>
    <w:rsid w:val="00215DCB"/>
    <w:rsid w:val="002174B9"/>
    <w:rsid w:val="00220CF1"/>
    <w:rsid w:val="002210C0"/>
    <w:rsid w:val="00221B8A"/>
    <w:rsid w:val="00222AD3"/>
    <w:rsid w:val="002238DB"/>
    <w:rsid w:val="00223F49"/>
    <w:rsid w:val="00223F54"/>
    <w:rsid w:val="0022428D"/>
    <w:rsid w:val="0022486E"/>
    <w:rsid w:val="00224A9F"/>
    <w:rsid w:val="0022640D"/>
    <w:rsid w:val="00227174"/>
    <w:rsid w:val="002271B1"/>
    <w:rsid w:val="002306D7"/>
    <w:rsid w:val="002309FA"/>
    <w:rsid w:val="00231D40"/>
    <w:rsid w:val="00232C3A"/>
    <w:rsid w:val="00232ECD"/>
    <w:rsid w:val="00232F24"/>
    <w:rsid w:val="0023367E"/>
    <w:rsid w:val="00233A1D"/>
    <w:rsid w:val="00233B0A"/>
    <w:rsid w:val="0023409C"/>
    <w:rsid w:val="00234255"/>
    <w:rsid w:val="00234355"/>
    <w:rsid w:val="00234748"/>
    <w:rsid w:val="00234A6A"/>
    <w:rsid w:val="0023516F"/>
    <w:rsid w:val="002353FC"/>
    <w:rsid w:val="002357EA"/>
    <w:rsid w:val="00235963"/>
    <w:rsid w:val="0023676C"/>
    <w:rsid w:val="00236F83"/>
    <w:rsid w:val="002370CA"/>
    <w:rsid w:val="0023771A"/>
    <w:rsid w:val="00237971"/>
    <w:rsid w:val="00240660"/>
    <w:rsid w:val="00241175"/>
    <w:rsid w:val="00242045"/>
    <w:rsid w:val="0024255B"/>
    <w:rsid w:val="00242F15"/>
    <w:rsid w:val="002439AF"/>
    <w:rsid w:val="00244000"/>
    <w:rsid w:val="00244086"/>
    <w:rsid w:val="00244150"/>
    <w:rsid w:val="002455EB"/>
    <w:rsid w:val="0024579C"/>
    <w:rsid w:val="002458A7"/>
    <w:rsid w:val="00245D8A"/>
    <w:rsid w:val="00246C8E"/>
    <w:rsid w:val="002479F6"/>
    <w:rsid w:val="00247AAF"/>
    <w:rsid w:val="00247FE6"/>
    <w:rsid w:val="002502B9"/>
    <w:rsid w:val="002508CE"/>
    <w:rsid w:val="00250900"/>
    <w:rsid w:val="00250E49"/>
    <w:rsid w:val="00251B30"/>
    <w:rsid w:val="00251B9E"/>
    <w:rsid w:val="00252D4F"/>
    <w:rsid w:val="00253639"/>
    <w:rsid w:val="002549D8"/>
    <w:rsid w:val="00254B15"/>
    <w:rsid w:val="00254C5D"/>
    <w:rsid w:val="00255550"/>
    <w:rsid w:val="00255DC0"/>
    <w:rsid w:val="002560E2"/>
    <w:rsid w:val="00256174"/>
    <w:rsid w:val="0025657D"/>
    <w:rsid w:val="002612C2"/>
    <w:rsid w:val="00261BDD"/>
    <w:rsid w:val="00261D89"/>
    <w:rsid w:val="00261EE5"/>
    <w:rsid w:val="0026298A"/>
    <w:rsid w:val="0026307D"/>
    <w:rsid w:val="00263195"/>
    <w:rsid w:val="00263301"/>
    <w:rsid w:val="00264C57"/>
    <w:rsid w:val="00265B27"/>
    <w:rsid w:val="0026624A"/>
    <w:rsid w:val="00267CB6"/>
    <w:rsid w:val="002716F4"/>
    <w:rsid w:val="00271FBF"/>
    <w:rsid w:val="00272370"/>
    <w:rsid w:val="002728A1"/>
    <w:rsid w:val="00274028"/>
    <w:rsid w:val="002740FA"/>
    <w:rsid w:val="002745FC"/>
    <w:rsid w:val="002775C2"/>
    <w:rsid w:val="0027773D"/>
    <w:rsid w:val="002777E5"/>
    <w:rsid w:val="002779F2"/>
    <w:rsid w:val="00280128"/>
    <w:rsid w:val="00280AC7"/>
    <w:rsid w:val="00280B72"/>
    <w:rsid w:val="0028126B"/>
    <w:rsid w:val="002813CB"/>
    <w:rsid w:val="00281764"/>
    <w:rsid w:val="00281E05"/>
    <w:rsid w:val="002820E6"/>
    <w:rsid w:val="00282987"/>
    <w:rsid w:val="0028306C"/>
    <w:rsid w:val="002837CC"/>
    <w:rsid w:val="0028445B"/>
    <w:rsid w:val="00284B3D"/>
    <w:rsid w:val="00284B90"/>
    <w:rsid w:val="00284E59"/>
    <w:rsid w:val="00285123"/>
    <w:rsid w:val="00285442"/>
    <w:rsid w:val="002859F2"/>
    <w:rsid w:val="00285C92"/>
    <w:rsid w:val="00285D63"/>
    <w:rsid w:val="00286D9C"/>
    <w:rsid w:val="00286FA0"/>
    <w:rsid w:val="0028799E"/>
    <w:rsid w:val="00290162"/>
    <w:rsid w:val="00291082"/>
    <w:rsid w:val="002922E0"/>
    <w:rsid w:val="00292CBC"/>
    <w:rsid w:val="002931E6"/>
    <w:rsid w:val="00293C81"/>
    <w:rsid w:val="00293DC2"/>
    <w:rsid w:val="00293E06"/>
    <w:rsid w:val="0029429B"/>
    <w:rsid w:val="00294713"/>
    <w:rsid w:val="00296EC6"/>
    <w:rsid w:val="00297400"/>
    <w:rsid w:val="00297623"/>
    <w:rsid w:val="00297834"/>
    <w:rsid w:val="0029783F"/>
    <w:rsid w:val="002A01B7"/>
    <w:rsid w:val="002A143C"/>
    <w:rsid w:val="002A1A5E"/>
    <w:rsid w:val="002A1A65"/>
    <w:rsid w:val="002A1B05"/>
    <w:rsid w:val="002A3D67"/>
    <w:rsid w:val="002A41A7"/>
    <w:rsid w:val="002A4A91"/>
    <w:rsid w:val="002A4B63"/>
    <w:rsid w:val="002A4BBB"/>
    <w:rsid w:val="002A4CD5"/>
    <w:rsid w:val="002A5AB2"/>
    <w:rsid w:val="002A5BCC"/>
    <w:rsid w:val="002A5FFD"/>
    <w:rsid w:val="002A6A4A"/>
    <w:rsid w:val="002A7685"/>
    <w:rsid w:val="002B0C87"/>
    <w:rsid w:val="002B1200"/>
    <w:rsid w:val="002B1792"/>
    <w:rsid w:val="002B19C2"/>
    <w:rsid w:val="002B316A"/>
    <w:rsid w:val="002B3181"/>
    <w:rsid w:val="002B34E3"/>
    <w:rsid w:val="002B38CF"/>
    <w:rsid w:val="002B42A1"/>
    <w:rsid w:val="002B455C"/>
    <w:rsid w:val="002B4754"/>
    <w:rsid w:val="002B48CA"/>
    <w:rsid w:val="002B50EA"/>
    <w:rsid w:val="002B6278"/>
    <w:rsid w:val="002B63F5"/>
    <w:rsid w:val="002B64AA"/>
    <w:rsid w:val="002B64E7"/>
    <w:rsid w:val="002B6FF8"/>
    <w:rsid w:val="002B74D9"/>
    <w:rsid w:val="002C0592"/>
    <w:rsid w:val="002C05B0"/>
    <w:rsid w:val="002C1616"/>
    <w:rsid w:val="002C1784"/>
    <w:rsid w:val="002C1C80"/>
    <w:rsid w:val="002C21BC"/>
    <w:rsid w:val="002C2BD6"/>
    <w:rsid w:val="002C2DCE"/>
    <w:rsid w:val="002C392C"/>
    <w:rsid w:val="002C3C81"/>
    <w:rsid w:val="002C49B6"/>
    <w:rsid w:val="002C61C8"/>
    <w:rsid w:val="002C6964"/>
    <w:rsid w:val="002C6A26"/>
    <w:rsid w:val="002C6C12"/>
    <w:rsid w:val="002C6FBD"/>
    <w:rsid w:val="002C77C6"/>
    <w:rsid w:val="002D010C"/>
    <w:rsid w:val="002D0379"/>
    <w:rsid w:val="002D0D8F"/>
    <w:rsid w:val="002D11C4"/>
    <w:rsid w:val="002D1660"/>
    <w:rsid w:val="002D1713"/>
    <w:rsid w:val="002D26A6"/>
    <w:rsid w:val="002D26CA"/>
    <w:rsid w:val="002D28D3"/>
    <w:rsid w:val="002D2FBA"/>
    <w:rsid w:val="002D4816"/>
    <w:rsid w:val="002D54BA"/>
    <w:rsid w:val="002D5DC4"/>
    <w:rsid w:val="002D637E"/>
    <w:rsid w:val="002D6B53"/>
    <w:rsid w:val="002D6EA3"/>
    <w:rsid w:val="002E024B"/>
    <w:rsid w:val="002E0B5E"/>
    <w:rsid w:val="002E22EE"/>
    <w:rsid w:val="002E23E3"/>
    <w:rsid w:val="002E26B1"/>
    <w:rsid w:val="002E2C64"/>
    <w:rsid w:val="002E3838"/>
    <w:rsid w:val="002E488D"/>
    <w:rsid w:val="002E4F44"/>
    <w:rsid w:val="002E5129"/>
    <w:rsid w:val="002E5C23"/>
    <w:rsid w:val="002E5CB7"/>
    <w:rsid w:val="002E5FCB"/>
    <w:rsid w:val="002E709C"/>
    <w:rsid w:val="002F0B98"/>
    <w:rsid w:val="002F1421"/>
    <w:rsid w:val="002F1BEE"/>
    <w:rsid w:val="002F1CC5"/>
    <w:rsid w:val="002F1D2A"/>
    <w:rsid w:val="002F200E"/>
    <w:rsid w:val="002F238A"/>
    <w:rsid w:val="002F328B"/>
    <w:rsid w:val="002F328C"/>
    <w:rsid w:val="002F365A"/>
    <w:rsid w:val="002F64BC"/>
    <w:rsid w:val="002F767C"/>
    <w:rsid w:val="002F7929"/>
    <w:rsid w:val="0030004E"/>
    <w:rsid w:val="00300219"/>
    <w:rsid w:val="003016BD"/>
    <w:rsid w:val="00301A8E"/>
    <w:rsid w:val="00301BBC"/>
    <w:rsid w:val="0030246C"/>
    <w:rsid w:val="00303203"/>
    <w:rsid w:val="003032C5"/>
    <w:rsid w:val="003035D4"/>
    <w:rsid w:val="0030396F"/>
    <w:rsid w:val="003040D5"/>
    <w:rsid w:val="003044F8"/>
    <w:rsid w:val="00304A63"/>
    <w:rsid w:val="00304C44"/>
    <w:rsid w:val="00304F31"/>
    <w:rsid w:val="00305EC7"/>
    <w:rsid w:val="003063A3"/>
    <w:rsid w:val="003070CF"/>
    <w:rsid w:val="003076D0"/>
    <w:rsid w:val="00307D1E"/>
    <w:rsid w:val="00310344"/>
    <w:rsid w:val="00311197"/>
    <w:rsid w:val="00312ACE"/>
    <w:rsid w:val="00313086"/>
    <w:rsid w:val="003142C5"/>
    <w:rsid w:val="003144B8"/>
    <w:rsid w:val="00314C09"/>
    <w:rsid w:val="003157A1"/>
    <w:rsid w:val="003158A5"/>
    <w:rsid w:val="003172ED"/>
    <w:rsid w:val="003200AF"/>
    <w:rsid w:val="003202D3"/>
    <w:rsid w:val="00320EC8"/>
    <w:rsid w:val="00322282"/>
    <w:rsid w:val="00322758"/>
    <w:rsid w:val="00322900"/>
    <w:rsid w:val="00322A2A"/>
    <w:rsid w:val="00322C59"/>
    <w:rsid w:val="00324941"/>
    <w:rsid w:val="00324F99"/>
    <w:rsid w:val="00325206"/>
    <w:rsid w:val="00325973"/>
    <w:rsid w:val="00325ADB"/>
    <w:rsid w:val="00325CA0"/>
    <w:rsid w:val="00326FC6"/>
    <w:rsid w:val="0032730E"/>
    <w:rsid w:val="003277B2"/>
    <w:rsid w:val="00327804"/>
    <w:rsid w:val="00327810"/>
    <w:rsid w:val="00327D70"/>
    <w:rsid w:val="00330610"/>
    <w:rsid w:val="00330A18"/>
    <w:rsid w:val="00331579"/>
    <w:rsid w:val="00332E55"/>
    <w:rsid w:val="00334C6C"/>
    <w:rsid w:val="00335133"/>
    <w:rsid w:val="00336579"/>
    <w:rsid w:val="00337E0E"/>
    <w:rsid w:val="0034031F"/>
    <w:rsid w:val="003414B2"/>
    <w:rsid w:val="00341AA2"/>
    <w:rsid w:val="00342BC0"/>
    <w:rsid w:val="0034302C"/>
    <w:rsid w:val="0034396B"/>
    <w:rsid w:val="00343CB3"/>
    <w:rsid w:val="00343EAB"/>
    <w:rsid w:val="0034427F"/>
    <w:rsid w:val="0034459F"/>
    <w:rsid w:val="003447E7"/>
    <w:rsid w:val="00344AA5"/>
    <w:rsid w:val="0034589D"/>
    <w:rsid w:val="00345CF3"/>
    <w:rsid w:val="00347340"/>
    <w:rsid w:val="0035073A"/>
    <w:rsid w:val="00350FF5"/>
    <w:rsid w:val="0035221C"/>
    <w:rsid w:val="00352B29"/>
    <w:rsid w:val="00352DED"/>
    <w:rsid w:val="0035314A"/>
    <w:rsid w:val="0035317D"/>
    <w:rsid w:val="0035328B"/>
    <w:rsid w:val="00353DC5"/>
    <w:rsid w:val="003561A3"/>
    <w:rsid w:val="00356E9A"/>
    <w:rsid w:val="00357394"/>
    <w:rsid w:val="00360BAE"/>
    <w:rsid w:val="00360BDE"/>
    <w:rsid w:val="00360D8C"/>
    <w:rsid w:val="00361BAA"/>
    <w:rsid w:val="00361F56"/>
    <w:rsid w:val="00363A29"/>
    <w:rsid w:val="00363B37"/>
    <w:rsid w:val="003642F5"/>
    <w:rsid w:val="003656BF"/>
    <w:rsid w:val="00365A3D"/>
    <w:rsid w:val="00365D0A"/>
    <w:rsid w:val="0036617F"/>
    <w:rsid w:val="00366CBE"/>
    <w:rsid w:val="00366DEF"/>
    <w:rsid w:val="0036777B"/>
    <w:rsid w:val="00367849"/>
    <w:rsid w:val="003703AE"/>
    <w:rsid w:val="0037099E"/>
    <w:rsid w:val="00370B94"/>
    <w:rsid w:val="003711C4"/>
    <w:rsid w:val="00371CBC"/>
    <w:rsid w:val="00371DBD"/>
    <w:rsid w:val="00372F48"/>
    <w:rsid w:val="00373B0F"/>
    <w:rsid w:val="00374B37"/>
    <w:rsid w:val="0037513F"/>
    <w:rsid w:val="0037630A"/>
    <w:rsid w:val="00376A6B"/>
    <w:rsid w:val="00377409"/>
    <w:rsid w:val="00377798"/>
    <w:rsid w:val="003811FF"/>
    <w:rsid w:val="00382528"/>
    <w:rsid w:val="003825BA"/>
    <w:rsid w:val="00382F9A"/>
    <w:rsid w:val="003837CE"/>
    <w:rsid w:val="00384891"/>
    <w:rsid w:val="00384CAE"/>
    <w:rsid w:val="00384E79"/>
    <w:rsid w:val="00385455"/>
    <w:rsid w:val="00385540"/>
    <w:rsid w:val="0038575D"/>
    <w:rsid w:val="00385F91"/>
    <w:rsid w:val="00386493"/>
    <w:rsid w:val="00386764"/>
    <w:rsid w:val="00386FA1"/>
    <w:rsid w:val="003900FD"/>
    <w:rsid w:val="00390442"/>
    <w:rsid w:val="0039101C"/>
    <w:rsid w:val="00391223"/>
    <w:rsid w:val="00393AF7"/>
    <w:rsid w:val="00394B3B"/>
    <w:rsid w:val="003951CE"/>
    <w:rsid w:val="00395379"/>
    <w:rsid w:val="00395811"/>
    <w:rsid w:val="003965BE"/>
    <w:rsid w:val="00397571"/>
    <w:rsid w:val="0039766B"/>
    <w:rsid w:val="003977DB"/>
    <w:rsid w:val="003A0114"/>
    <w:rsid w:val="003A1202"/>
    <w:rsid w:val="003A14A4"/>
    <w:rsid w:val="003A2C66"/>
    <w:rsid w:val="003A2CBF"/>
    <w:rsid w:val="003A3064"/>
    <w:rsid w:val="003A3C2E"/>
    <w:rsid w:val="003A4AC4"/>
    <w:rsid w:val="003A504A"/>
    <w:rsid w:val="003A5734"/>
    <w:rsid w:val="003A57C2"/>
    <w:rsid w:val="003A59B8"/>
    <w:rsid w:val="003A5CA7"/>
    <w:rsid w:val="003A5CD9"/>
    <w:rsid w:val="003A5E50"/>
    <w:rsid w:val="003A7B60"/>
    <w:rsid w:val="003A7FEF"/>
    <w:rsid w:val="003B1B59"/>
    <w:rsid w:val="003B2252"/>
    <w:rsid w:val="003B2A88"/>
    <w:rsid w:val="003B2F65"/>
    <w:rsid w:val="003B3A26"/>
    <w:rsid w:val="003B4094"/>
    <w:rsid w:val="003B502B"/>
    <w:rsid w:val="003B59B7"/>
    <w:rsid w:val="003B63CC"/>
    <w:rsid w:val="003B6734"/>
    <w:rsid w:val="003B7092"/>
    <w:rsid w:val="003B791B"/>
    <w:rsid w:val="003B7E89"/>
    <w:rsid w:val="003C0072"/>
    <w:rsid w:val="003C0A1D"/>
    <w:rsid w:val="003C0B3F"/>
    <w:rsid w:val="003C0EE7"/>
    <w:rsid w:val="003C19E6"/>
    <w:rsid w:val="003C364F"/>
    <w:rsid w:val="003C3727"/>
    <w:rsid w:val="003C476F"/>
    <w:rsid w:val="003C6230"/>
    <w:rsid w:val="003C6A5B"/>
    <w:rsid w:val="003C707A"/>
    <w:rsid w:val="003C7166"/>
    <w:rsid w:val="003C73C0"/>
    <w:rsid w:val="003C7449"/>
    <w:rsid w:val="003C7F69"/>
    <w:rsid w:val="003D01C6"/>
    <w:rsid w:val="003D0260"/>
    <w:rsid w:val="003D0904"/>
    <w:rsid w:val="003D13B3"/>
    <w:rsid w:val="003D17F7"/>
    <w:rsid w:val="003D18E7"/>
    <w:rsid w:val="003D1961"/>
    <w:rsid w:val="003D213D"/>
    <w:rsid w:val="003D3256"/>
    <w:rsid w:val="003D43FE"/>
    <w:rsid w:val="003D4983"/>
    <w:rsid w:val="003D49F6"/>
    <w:rsid w:val="003D5964"/>
    <w:rsid w:val="003D59D7"/>
    <w:rsid w:val="003D6C1C"/>
    <w:rsid w:val="003D6D0A"/>
    <w:rsid w:val="003D6D5F"/>
    <w:rsid w:val="003D7330"/>
    <w:rsid w:val="003E1A03"/>
    <w:rsid w:val="003E2497"/>
    <w:rsid w:val="003E2910"/>
    <w:rsid w:val="003E3B31"/>
    <w:rsid w:val="003E4B53"/>
    <w:rsid w:val="003E4C43"/>
    <w:rsid w:val="003E4D5A"/>
    <w:rsid w:val="003E533D"/>
    <w:rsid w:val="003E54E4"/>
    <w:rsid w:val="003E5879"/>
    <w:rsid w:val="003E5FED"/>
    <w:rsid w:val="003E6326"/>
    <w:rsid w:val="003E66B3"/>
    <w:rsid w:val="003E66EC"/>
    <w:rsid w:val="003E6856"/>
    <w:rsid w:val="003E6F23"/>
    <w:rsid w:val="003F06D7"/>
    <w:rsid w:val="003F0740"/>
    <w:rsid w:val="003F1871"/>
    <w:rsid w:val="003F1A0E"/>
    <w:rsid w:val="003F1AF4"/>
    <w:rsid w:val="003F3062"/>
    <w:rsid w:val="003F397B"/>
    <w:rsid w:val="003F6AB4"/>
    <w:rsid w:val="003F6AE4"/>
    <w:rsid w:val="003F6F06"/>
    <w:rsid w:val="003F6FF3"/>
    <w:rsid w:val="003F73C0"/>
    <w:rsid w:val="003F746C"/>
    <w:rsid w:val="003F7696"/>
    <w:rsid w:val="003F786A"/>
    <w:rsid w:val="003F79BF"/>
    <w:rsid w:val="004001BD"/>
    <w:rsid w:val="00400239"/>
    <w:rsid w:val="004002B3"/>
    <w:rsid w:val="00401648"/>
    <w:rsid w:val="00401E53"/>
    <w:rsid w:val="00403F00"/>
    <w:rsid w:val="00407BC7"/>
    <w:rsid w:val="00407F8D"/>
    <w:rsid w:val="00411FDC"/>
    <w:rsid w:val="00413F21"/>
    <w:rsid w:val="00414562"/>
    <w:rsid w:val="00414567"/>
    <w:rsid w:val="0041488C"/>
    <w:rsid w:val="004151AB"/>
    <w:rsid w:val="00415A85"/>
    <w:rsid w:val="00416639"/>
    <w:rsid w:val="0041683F"/>
    <w:rsid w:val="00420872"/>
    <w:rsid w:val="00420C03"/>
    <w:rsid w:val="004212F0"/>
    <w:rsid w:val="00421456"/>
    <w:rsid w:val="00421CCD"/>
    <w:rsid w:val="00421F53"/>
    <w:rsid w:val="00422237"/>
    <w:rsid w:val="0042299B"/>
    <w:rsid w:val="00423209"/>
    <w:rsid w:val="00423EEC"/>
    <w:rsid w:val="00424A0D"/>
    <w:rsid w:val="00424B1F"/>
    <w:rsid w:val="00424F83"/>
    <w:rsid w:val="00425175"/>
    <w:rsid w:val="00425A1E"/>
    <w:rsid w:val="00425E5C"/>
    <w:rsid w:val="00425EAE"/>
    <w:rsid w:val="00425F67"/>
    <w:rsid w:val="00431E32"/>
    <w:rsid w:val="00432248"/>
    <w:rsid w:val="004338BC"/>
    <w:rsid w:val="00436A1B"/>
    <w:rsid w:val="00436BB1"/>
    <w:rsid w:val="00436FA3"/>
    <w:rsid w:val="0043733D"/>
    <w:rsid w:val="0043745F"/>
    <w:rsid w:val="00437B5F"/>
    <w:rsid w:val="00441635"/>
    <w:rsid w:val="0044213E"/>
    <w:rsid w:val="004424C9"/>
    <w:rsid w:val="00442D61"/>
    <w:rsid w:val="00442DD2"/>
    <w:rsid w:val="00442E50"/>
    <w:rsid w:val="00443512"/>
    <w:rsid w:val="00445475"/>
    <w:rsid w:val="00445EF2"/>
    <w:rsid w:val="00447514"/>
    <w:rsid w:val="00447CBA"/>
    <w:rsid w:val="00447D5C"/>
    <w:rsid w:val="00447F56"/>
    <w:rsid w:val="004500E0"/>
    <w:rsid w:val="00450F25"/>
    <w:rsid w:val="0045173A"/>
    <w:rsid w:val="00452614"/>
    <w:rsid w:val="00452663"/>
    <w:rsid w:val="0045407B"/>
    <w:rsid w:val="00454C19"/>
    <w:rsid w:val="004552BD"/>
    <w:rsid w:val="0045566B"/>
    <w:rsid w:val="004558F9"/>
    <w:rsid w:val="00455A7D"/>
    <w:rsid w:val="00455F3A"/>
    <w:rsid w:val="00456051"/>
    <w:rsid w:val="00456966"/>
    <w:rsid w:val="00460E8A"/>
    <w:rsid w:val="004610FC"/>
    <w:rsid w:val="00461458"/>
    <w:rsid w:val="00461EA3"/>
    <w:rsid w:val="00461ED0"/>
    <w:rsid w:val="0046252B"/>
    <w:rsid w:val="004627DE"/>
    <w:rsid w:val="00463C7E"/>
    <w:rsid w:val="00464075"/>
    <w:rsid w:val="00464762"/>
    <w:rsid w:val="00464C01"/>
    <w:rsid w:val="00464E50"/>
    <w:rsid w:val="00466794"/>
    <w:rsid w:val="00467A3F"/>
    <w:rsid w:val="0047054E"/>
    <w:rsid w:val="0047092B"/>
    <w:rsid w:val="00470944"/>
    <w:rsid w:val="00470BCF"/>
    <w:rsid w:val="00470E41"/>
    <w:rsid w:val="0047282D"/>
    <w:rsid w:val="00473269"/>
    <w:rsid w:val="0047343B"/>
    <w:rsid w:val="00473557"/>
    <w:rsid w:val="00473769"/>
    <w:rsid w:val="00473A0C"/>
    <w:rsid w:val="00477364"/>
    <w:rsid w:val="00477432"/>
    <w:rsid w:val="004777C0"/>
    <w:rsid w:val="004805F7"/>
    <w:rsid w:val="00481F8E"/>
    <w:rsid w:val="004832C3"/>
    <w:rsid w:val="00483AAC"/>
    <w:rsid w:val="00484630"/>
    <w:rsid w:val="00485136"/>
    <w:rsid w:val="004851FD"/>
    <w:rsid w:val="0048639D"/>
    <w:rsid w:val="00486972"/>
    <w:rsid w:val="00486D50"/>
    <w:rsid w:val="0048714E"/>
    <w:rsid w:val="004876DE"/>
    <w:rsid w:val="004878F4"/>
    <w:rsid w:val="0049073E"/>
    <w:rsid w:val="0049111A"/>
    <w:rsid w:val="00491344"/>
    <w:rsid w:val="0049150E"/>
    <w:rsid w:val="00492347"/>
    <w:rsid w:val="0049298A"/>
    <w:rsid w:val="00492CB3"/>
    <w:rsid w:val="00493321"/>
    <w:rsid w:val="0049350B"/>
    <w:rsid w:val="0049375D"/>
    <w:rsid w:val="00493F6D"/>
    <w:rsid w:val="00495C0C"/>
    <w:rsid w:val="0049605C"/>
    <w:rsid w:val="004979DC"/>
    <w:rsid w:val="00497C59"/>
    <w:rsid w:val="004A0F54"/>
    <w:rsid w:val="004A19EB"/>
    <w:rsid w:val="004A2069"/>
    <w:rsid w:val="004A2CCF"/>
    <w:rsid w:val="004A3102"/>
    <w:rsid w:val="004A3C41"/>
    <w:rsid w:val="004A3E34"/>
    <w:rsid w:val="004A40DC"/>
    <w:rsid w:val="004A4B81"/>
    <w:rsid w:val="004A4B8D"/>
    <w:rsid w:val="004A5678"/>
    <w:rsid w:val="004A5799"/>
    <w:rsid w:val="004A5D2C"/>
    <w:rsid w:val="004A61B1"/>
    <w:rsid w:val="004A6222"/>
    <w:rsid w:val="004A6FE5"/>
    <w:rsid w:val="004A7D19"/>
    <w:rsid w:val="004B000F"/>
    <w:rsid w:val="004B0A21"/>
    <w:rsid w:val="004B1550"/>
    <w:rsid w:val="004B36A3"/>
    <w:rsid w:val="004B380D"/>
    <w:rsid w:val="004B3ADB"/>
    <w:rsid w:val="004B3BEF"/>
    <w:rsid w:val="004B3D81"/>
    <w:rsid w:val="004B40F5"/>
    <w:rsid w:val="004B5454"/>
    <w:rsid w:val="004B6EE2"/>
    <w:rsid w:val="004B71C0"/>
    <w:rsid w:val="004B73F7"/>
    <w:rsid w:val="004B7C4E"/>
    <w:rsid w:val="004B7D9C"/>
    <w:rsid w:val="004C121A"/>
    <w:rsid w:val="004C165F"/>
    <w:rsid w:val="004C1935"/>
    <w:rsid w:val="004C1CE8"/>
    <w:rsid w:val="004C2D28"/>
    <w:rsid w:val="004C2F8F"/>
    <w:rsid w:val="004C3EAF"/>
    <w:rsid w:val="004C43FB"/>
    <w:rsid w:val="004C4C0F"/>
    <w:rsid w:val="004C4CEE"/>
    <w:rsid w:val="004C5C6C"/>
    <w:rsid w:val="004C6681"/>
    <w:rsid w:val="004D0EAB"/>
    <w:rsid w:val="004D1A17"/>
    <w:rsid w:val="004D24ED"/>
    <w:rsid w:val="004D34C3"/>
    <w:rsid w:val="004D3FF2"/>
    <w:rsid w:val="004D42ED"/>
    <w:rsid w:val="004D4E67"/>
    <w:rsid w:val="004D6F56"/>
    <w:rsid w:val="004E0ADE"/>
    <w:rsid w:val="004E0BBA"/>
    <w:rsid w:val="004E1098"/>
    <w:rsid w:val="004E1CF4"/>
    <w:rsid w:val="004E300D"/>
    <w:rsid w:val="004E30AD"/>
    <w:rsid w:val="004E343E"/>
    <w:rsid w:val="004E3738"/>
    <w:rsid w:val="004E3E15"/>
    <w:rsid w:val="004E3FCC"/>
    <w:rsid w:val="004E4BB9"/>
    <w:rsid w:val="004E4CE2"/>
    <w:rsid w:val="004E6370"/>
    <w:rsid w:val="004E7787"/>
    <w:rsid w:val="004F043B"/>
    <w:rsid w:val="004F0636"/>
    <w:rsid w:val="004F1A96"/>
    <w:rsid w:val="004F1B69"/>
    <w:rsid w:val="004F3036"/>
    <w:rsid w:val="004F3162"/>
    <w:rsid w:val="004F41C0"/>
    <w:rsid w:val="004F4B0D"/>
    <w:rsid w:val="004F586E"/>
    <w:rsid w:val="004F6EB1"/>
    <w:rsid w:val="004F70D2"/>
    <w:rsid w:val="004F7A88"/>
    <w:rsid w:val="004F7FD0"/>
    <w:rsid w:val="00500A77"/>
    <w:rsid w:val="0050208F"/>
    <w:rsid w:val="00502101"/>
    <w:rsid w:val="00502324"/>
    <w:rsid w:val="00502623"/>
    <w:rsid w:val="00504556"/>
    <w:rsid w:val="00504566"/>
    <w:rsid w:val="00504D42"/>
    <w:rsid w:val="00505292"/>
    <w:rsid w:val="005053B6"/>
    <w:rsid w:val="00505EFE"/>
    <w:rsid w:val="005060EF"/>
    <w:rsid w:val="0050610A"/>
    <w:rsid w:val="00506923"/>
    <w:rsid w:val="00506977"/>
    <w:rsid w:val="0050760A"/>
    <w:rsid w:val="00507911"/>
    <w:rsid w:val="00510661"/>
    <w:rsid w:val="00510781"/>
    <w:rsid w:val="005108CF"/>
    <w:rsid w:val="005108F2"/>
    <w:rsid w:val="00510E8D"/>
    <w:rsid w:val="00510F7B"/>
    <w:rsid w:val="0051141F"/>
    <w:rsid w:val="00511EC3"/>
    <w:rsid w:val="005129FF"/>
    <w:rsid w:val="00512C2D"/>
    <w:rsid w:val="00513396"/>
    <w:rsid w:val="00514201"/>
    <w:rsid w:val="005145C1"/>
    <w:rsid w:val="00514698"/>
    <w:rsid w:val="00514836"/>
    <w:rsid w:val="00515535"/>
    <w:rsid w:val="0051585C"/>
    <w:rsid w:val="0051595D"/>
    <w:rsid w:val="00515C72"/>
    <w:rsid w:val="00515F4B"/>
    <w:rsid w:val="005161C1"/>
    <w:rsid w:val="005161FB"/>
    <w:rsid w:val="00516912"/>
    <w:rsid w:val="00516924"/>
    <w:rsid w:val="005176B6"/>
    <w:rsid w:val="0052014A"/>
    <w:rsid w:val="005208C7"/>
    <w:rsid w:val="005213DC"/>
    <w:rsid w:val="005213F6"/>
    <w:rsid w:val="00521EB9"/>
    <w:rsid w:val="00522971"/>
    <w:rsid w:val="0052320B"/>
    <w:rsid w:val="00523483"/>
    <w:rsid w:val="00523B36"/>
    <w:rsid w:val="00523BCA"/>
    <w:rsid w:val="005241DF"/>
    <w:rsid w:val="00524D0B"/>
    <w:rsid w:val="00525824"/>
    <w:rsid w:val="00525917"/>
    <w:rsid w:val="00527B28"/>
    <w:rsid w:val="00531072"/>
    <w:rsid w:val="005312CB"/>
    <w:rsid w:val="00531A8D"/>
    <w:rsid w:val="005323A4"/>
    <w:rsid w:val="005326B8"/>
    <w:rsid w:val="00532B06"/>
    <w:rsid w:val="00532BF2"/>
    <w:rsid w:val="005335B2"/>
    <w:rsid w:val="00534FA4"/>
    <w:rsid w:val="00535899"/>
    <w:rsid w:val="0053589D"/>
    <w:rsid w:val="00535BF6"/>
    <w:rsid w:val="00535D4B"/>
    <w:rsid w:val="005366FC"/>
    <w:rsid w:val="00536C05"/>
    <w:rsid w:val="00536F52"/>
    <w:rsid w:val="00537B9D"/>
    <w:rsid w:val="00537CBF"/>
    <w:rsid w:val="005407E4"/>
    <w:rsid w:val="00540AB1"/>
    <w:rsid w:val="00541AD5"/>
    <w:rsid w:val="00541E75"/>
    <w:rsid w:val="00542032"/>
    <w:rsid w:val="0054206A"/>
    <w:rsid w:val="00542C1D"/>
    <w:rsid w:val="005432B8"/>
    <w:rsid w:val="005434B7"/>
    <w:rsid w:val="0054398B"/>
    <w:rsid w:val="005441C7"/>
    <w:rsid w:val="005449D0"/>
    <w:rsid w:val="0054562F"/>
    <w:rsid w:val="00545C11"/>
    <w:rsid w:val="00545F12"/>
    <w:rsid w:val="00546BE3"/>
    <w:rsid w:val="00546C5B"/>
    <w:rsid w:val="00546ED2"/>
    <w:rsid w:val="005500EB"/>
    <w:rsid w:val="00550F67"/>
    <w:rsid w:val="0055112A"/>
    <w:rsid w:val="0055227F"/>
    <w:rsid w:val="005530F5"/>
    <w:rsid w:val="005539AF"/>
    <w:rsid w:val="00553B59"/>
    <w:rsid w:val="00553D9E"/>
    <w:rsid w:val="005542F9"/>
    <w:rsid w:val="005547A3"/>
    <w:rsid w:val="00554B8F"/>
    <w:rsid w:val="00555772"/>
    <w:rsid w:val="005558C2"/>
    <w:rsid w:val="0055596E"/>
    <w:rsid w:val="00555B7D"/>
    <w:rsid w:val="00555DC0"/>
    <w:rsid w:val="00557BC7"/>
    <w:rsid w:val="00560A5E"/>
    <w:rsid w:val="00561299"/>
    <w:rsid w:val="00563502"/>
    <w:rsid w:val="0056358F"/>
    <w:rsid w:val="00564088"/>
    <w:rsid w:val="0056428C"/>
    <w:rsid w:val="005642DD"/>
    <w:rsid w:val="00564C24"/>
    <w:rsid w:val="0056664E"/>
    <w:rsid w:val="005668EA"/>
    <w:rsid w:val="00566E0E"/>
    <w:rsid w:val="0056777A"/>
    <w:rsid w:val="0056796D"/>
    <w:rsid w:val="00570366"/>
    <w:rsid w:val="00572354"/>
    <w:rsid w:val="00572B48"/>
    <w:rsid w:val="00572F2A"/>
    <w:rsid w:val="00572F7F"/>
    <w:rsid w:val="00573FA8"/>
    <w:rsid w:val="005740EF"/>
    <w:rsid w:val="0057441C"/>
    <w:rsid w:val="00574D1E"/>
    <w:rsid w:val="005752C4"/>
    <w:rsid w:val="005752F3"/>
    <w:rsid w:val="005759E9"/>
    <w:rsid w:val="005769BD"/>
    <w:rsid w:val="00576B2F"/>
    <w:rsid w:val="00577270"/>
    <w:rsid w:val="005773AA"/>
    <w:rsid w:val="005774F8"/>
    <w:rsid w:val="00577898"/>
    <w:rsid w:val="00581DAE"/>
    <w:rsid w:val="00581F56"/>
    <w:rsid w:val="00585DFE"/>
    <w:rsid w:val="00585EB2"/>
    <w:rsid w:val="0058700A"/>
    <w:rsid w:val="0058719C"/>
    <w:rsid w:val="0058726B"/>
    <w:rsid w:val="005906D5"/>
    <w:rsid w:val="00590F43"/>
    <w:rsid w:val="0059114A"/>
    <w:rsid w:val="00591398"/>
    <w:rsid w:val="005917A7"/>
    <w:rsid w:val="00592487"/>
    <w:rsid w:val="00592B66"/>
    <w:rsid w:val="00592D82"/>
    <w:rsid w:val="005931F1"/>
    <w:rsid w:val="00594291"/>
    <w:rsid w:val="005954E4"/>
    <w:rsid w:val="00595ED8"/>
    <w:rsid w:val="005963AB"/>
    <w:rsid w:val="005A1128"/>
    <w:rsid w:val="005A1A00"/>
    <w:rsid w:val="005A1BC8"/>
    <w:rsid w:val="005A20B3"/>
    <w:rsid w:val="005A231D"/>
    <w:rsid w:val="005A2845"/>
    <w:rsid w:val="005A2881"/>
    <w:rsid w:val="005A2A0F"/>
    <w:rsid w:val="005A2B53"/>
    <w:rsid w:val="005A334B"/>
    <w:rsid w:val="005A347D"/>
    <w:rsid w:val="005A3B5F"/>
    <w:rsid w:val="005A4928"/>
    <w:rsid w:val="005A4E61"/>
    <w:rsid w:val="005A4F21"/>
    <w:rsid w:val="005A5E2D"/>
    <w:rsid w:val="005A5F19"/>
    <w:rsid w:val="005A61EA"/>
    <w:rsid w:val="005A6752"/>
    <w:rsid w:val="005A6848"/>
    <w:rsid w:val="005A756B"/>
    <w:rsid w:val="005A7858"/>
    <w:rsid w:val="005A7DFA"/>
    <w:rsid w:val="005B0599"/>
    <w:rsid w:val="005B3076"/>
    <w:rsid w:val="005B3293"/>
    <w:rsid w:val="005B3DEA"/>
    <w:rsid w:val="005B489F"/>
    <w:rsid w:val="005B5236"/>
    <w:rsid w:val="005B566C"/>
    <w:rsid w:val="005B667D"/>
    <w:rsid w:val="005B683D"/>
    <w:rsid w:val="005B699F"/>
    <w:rsid w:val="005B6A8D"/>
    <w:rsid w:val="005B6D95"/>
    <w:rsid w:val="005B78AF"/>
    <w:rsid w:val="005B7954"/>
    <w:rsid w:val="005B7D8C"/>
    <w:rsid w:val="005C12F4"/>
    <w:rsid w:val="005C202A"/>
    <w:rsid w:val="005C27AD"/>
    <w:rsid w:val="005C3D83"/>
    <w:rsid w:val="005C52DF"/>
    <w:rsid w:val="005C56FA"/>
    <w:rsid w:val="005C5BA0"/>
    <w:rsid w:val="005C6465"/>
    <w:rsid w:val="005C66E5"/>
    <w:rsid w:val="005C6B6E"/>
    <w:rsid w:val="005C708F"/>
    <w:rsid w:val="005C7622"/>
    <w:rsid w:val="005D196B"/>
    <w:rsid w:val="005D1FF0"/>
    <w:rsid w:val="005D254D"/>
    <w:rsid w:val="005D2A2E"/>
    <w:rsid w:val="005D32C6"/>
    <w:rsid w:val="005D42B0"/>
    <w:rsid w:val="005D50CB"/>
    <w:rsid w:val="005D5746"/>
    <w:rsid w:val="005D6171"/>
    <w:rsid w:val="005D6CEE"/>
    <w:rsid w:val="005D7415"/>
    <w:rsid w:val="005D7751"/>
    <w:rsid w:val="005D7B61"/>
    <w:rsid w:val="005E1048"/>
    <w:rsid w:val="005E153C"/>
    <w:rsid w:val="005E1BC1"/>
    <w:rsid w:val="005E291E"/>
    <w:rsid w:val="005E2D1C"/>
    <w:rsid w:val="005E2EFD"/>
    <w:rsid w:val="005E31EE"/>
    <w:rsid w:val="005E32EC"/>
    <w:rsid w:val="005E3A5A"/>
    <w:rsid w:val="005E3C44"/>
    <w:rsid w:val="005E3E9D"/>
    <w:rsid w:val="005E4CFD"/>
    <w:rsid w:val="005E56F8"/>
    <w:rsid w:val="005E5933"/>
    <w:rsid w:val="005E5DDD"/>
    <w:rsid w:val="005E6516"/>
    <w:rsid w:val="005E6586"/>
    <w:rsid w:val="005E7397"/>
    <w:rsid w:val="005E78E0"/>
    <w:rsid w:val="005F007E"/>
    <w:rsid w:val="005F0AC3"/>
    <w:rsid w:val="005F18B1"/>
    <w:rsid w:val="005F258B"/>
    <w:rsid w:val="005F2911"/>
    <w:rsid w:val="005F2EEF"/>
    <w:rsid w:val="005F3789"/>
    <w:rsid w:val="005F3813"/>
    <w:rsid w:val="005F3910"/>
    <w:rsid w:val="005F3DE1"/>
    <w:rsid w:val="005F41DE"/>
    <w:rsid w:val="005F431D"/>
    <w:rsid w:val="005F44ED"/>
    <w:rsid w:val="005F647D"/>
    <w:rsid w:val="005F66BD"/>
    <w:rsid w:val="005F7D81"/>
    <w:rsid w:val="006000DE"/>
    <w:rsid w:val="00600515"/>
    <w:rsid w:val="006009B0"/>
    <w:rsid w:val="00600D45"/>
    <w:rsid w:val="00600F3D"/>
    <w:rsid w:val="006023BE"/>
    <w:rsid w:val="00602572"/>
    <w:rsid w:val="00602DA4"/>
    <w:rsid w:val="0060333D"/>
    <w:rsid w:val="006033A0"/>
    <w:rsid w:val="00603921"/>
    <w:rsid w:val="0060590A"/>
    <w:rsid w:val="0060676A"/>
    <w:rsid w:val="00606A46"/>
    <w:rsid w:val="00607D60"/>
    <w:rsid w:val="00607F6E"/>
    <w:rsid w:val="006103C5"/>
    <w:rsid w:val="00610D96"/>
    <w:rsid w:val="006112A4"/>
    <w:rsid w:val="0061150F"/>
    <w:rsid w:val="0061167B"/>
    <w:rsid w:val="00612AC0"/>
    <w:rsid w:val="006136B7"/>
    <w:rsid w:val="006139FD"/>
    <w:rsid w:val="00614825"/>
    <w:rsid w:val="00614EBA"/>
    <w:rsid w:val="00614F41"/>
    <w:rsid w:val="00615DC0"/>
    <w:rsid w:val="0061677F"/>
    <w:rsid w:val="00616B9C"/>
    <w:rsid w:val="00616E11"/>
    <w:rsid w:val="00617315"/>
    <w:rsid w:val="00620C14"/>
    <w:rsid w:val="006211E9"/>
    <w:rsid w:val="0062128D"/>
    <w:rsid w:val="00621967"/>
    <w:rsid w:val="00621B58"/>
    <w:rsid w:val="006227B9"/>
    <w:rsid w:val="006232B5"/>
    <w:rsid w:val="00623581"/>
    <w:rsid w:val="0062452A"/>
    <w:rsid w:val="00624CA0"/>
    <w:rsid w:val="00624CB7"/>
    <w:rsid w:val="00625B9F"/>
    <w:rsid w:val="00626397"/>
    <w:rsid w:val="00627A7B"/>
    <w:rsid w:val="00627AA8"/>
    <w:rsid w:val="006301F0"/>
    <w:rsid w:val="00631BE3"/>
    <w:rsid w:val="00631DAD"/>
    <w:rsid w:val="00631FFE"/>
    <w:rsid w:val="00632A3F"/>
    <w:rsid w:val="0063371F"/>
    <w:rsid w:val="00634566"/>
    <w:rsid w:val="006345EC"/>
    <w:rsid w:val="0063501C"/>
    <w:rsid w:val="00636370"/>
    <w:rsid w:val="006369D8"/>
    <w:rsid w:val="00636A70"/>
    <w:rsid w:val="00637155"/>
    <w:rsid w:val="00637BE7"/>
    <w:rsid w:val="00640000"/>
    <w:rsid w:val="00641207"/>
    <w:rsid w:val="00642503"/>
    <w:rsid w:val="00643AD6"/>
    <w:rsid w:val="00645C3D"/>
    <w:rsid w:val="00645ED8"/>
    <w:rsid w:val="00646703"/>
    <w:rsid w:val="00646D0D"/>
    <w:rsid w:val="00647965"/>
    <w:rsid w:val="0065150E"/>
    <w:rsid w:val="00651C6F"/>
    <w:rsid w:val="00653081"/>
    <w:rsid w:val="00654020"/>
    <w:rsid w:val="00654ADD"/>
    <w:rsid w:val="00654EBE"/>
    <w:rsid w:val="006559C4"/>
    <w:rsid w:val="00655EAC"/>
    <w:rsid w:val="00655F33"/>
    <w:rsid w:val="0065616C"/>
    <w:rsid w:val="00656191"/>
    <w:rsid w:val="0065671A"/>
    <w:rsid w:val="00656E15"/>
    <w:rsid w:val="006571E5"/>
    <w:rsid w:val="006602CF"/>
    <w:rsid w:val="00661A63"/>
    <w:rsid w:val="00661FF5"/>
    <w:rsid w:val="00663273"/>
    <w:rsid w:val="006639E1"/>
    <w:rsid w:val="00664599"/>
    <w:rsid w:val="006645BC"/>
    <w:rsid w:val="00664838"/>
    <w:rsid w:val="00664A8F"/>
    <w:rsid w:val="00665293"/>
    <w:rsid w:val="0066599C"/>
    <w:rsid w:val="00665C5D"/>
    <w:rsid w:val="00665E83"/>
    <w:rsid w:val="006663B7"/>
    <w:rsid w:val="006664C8"/>
    <w:rsid w:val="006667D9"/>
    <w:rsid w:val="00666BD0"/>
    <w:rsid w:val="00667031"/>
    <w:rsid w:val="00670483"/>
    <w:rsid w:val="006732AF"/>
    <w:rsid w:val="0067338F"/>
    <w:rsid w:val="006735EC"/>
    <w:rsid w:val="00673686"/>
    <w:rsid w:val="00674604"/>
    <w:rsid w:val="0067478D"/>
    <w:rsid w:val="00674E2E"/>
    <w:rsid w:val="00677979"/>
    <w:rsid w:val="00677BC9"/>
    <w:rsid w:val="00680489"/>
    <w:rsid w:val="00680B7B"/>
    <w:rsid w:val="00681183"/>
    <w:rsid w:val="006816FF"/>
    <w:rsid w:val="0068188C"/>
    <w:rsid w:val="0068194C"/>
    <w:rsid w:val="00681D45"/>
    <w:rsid w:val="006828AC"/>
    <w:rsid w:val="00682FCD"/>
    <w:rsid w:val="00683250"/>
    <w:rsid w:val="00683502"/>
    <w:rsid w:val="00683D98"/>
    <w:rsid w:val="00683FAB"/>
    <w:rsid w:val="00684275"/>
    <w:rsid w:val="0068465D"/>
    <w:rsid w:val="006854CC"/>
    <w:rsid w:val="006856C0"/>
    <w:rsid w:val="0068622A"/>
    <w:rsid w:val="0068669F"/>
    <w:rsid w:val="006868C7"/>
    <w:rsid w:val="00686B56"/>
    <w:rsid w:val="00686E86"/>
    <w:rsid w:val="00687477"/>
    <w:rsid w:val="00687E17"/>
    <w:rsid w:val="006909C0"/>
    <w:rsid w:val="00690A12"/>
    <w:rsid w:val="00691E99"/>
    <w:rsid w:val="006924D9"/>
    <w:rsid w:val="00692C7C"/>
    <w:rsid w:val="00696B54"/>
    <w:rsid w:val="00697004"/>
    <w:rsid w:val="0069720C"/>
    <w:rsid w:val="006972CD"/>
    <w:rsid w:val="006972F1"/>
    <w:rsid w:val="00697AC9"/>
    <w:rsid w:val="006A00DD"/>
    <w:rsid w:val="006A0862"/>
    <w:rsid w:val="006A0D3D"/>
    <w:rsid w:val="006A18B9"/>
    <w:rsid w:val="006A1C80"/>
    <w:rsid w:val="006A1CD6"/>
    <w:rsid w:val="006A1D27"/>
    <w:rsid w:val="006A32E5"/>
    <w:rsid w:val="006A38AE"/>
    <w:rsid w:val="006A38DF"/>
    <w:rsid w:val="006A4196"/>
    <w:rsid w:val="006A44FA"/>
    <w:rsid w:val="006A47BC"/>
    <w:rsid w:val="006A4BFE"/>
    <w:rsid w:val="006A558A"/>
    <w:rsid w:val="006A5823"/>
    <w:rsid w:val="006A61F6"/>
    <w:rsid w:val="006A64BD"/>
    <w:rsid w:val="006B02D2"/>
    <w:rsid w:val="006B0465"/>
    <w:rsid w:val="006B11A3"/>
    <w:rsid w:val="006B11F0"/>
    <w:rsid w:val="006B341C"/>
    <w:rsid w:val="006B3AC2"/>
    <w:rsid w:val="006B3D94"/>
    <w:rsid w:val="006B40F0"/>
    <w:rsid w:val="006B5887"/>
    <w:rsid w:val="006B5961"/>
    <w:rsid w:val="006B5F32"/>
    <w:rsid w:val="006B6032"/>
    <w:rsid w:val="006B7847"/>
    <w:rsid w:val="006C2600"/>
    <w:rsid w:val="006C29DA"/>
    <w:rsid w:val="006C442B"/>
    <w:rsid w:val="006C4BDD"/>
    <w:rsid w:val="006C51C7"/>
    <w:rsid w:val="006C545E"/>
    <w:rsid w:val="006C54FC"/>
    <w:rsid w:val="006C603D"/>
    <w:rsid w:val="006C65C4"/>
    <w:rsid w:val="006C67D5"/>
    <w:rsid w:val="006C7005"/>
    <w:rsid w:val="006D1182"/>
    <w:rsid w:val="006D18CF"/>
    <w:rsid w:val="006D2270"/>
    <w:rsid w:val="006D28FB"/>
    <w:rsid w:val="006D2B59"/>
    <w:rsid w:val="006D2DB4"/>
    <w:rsid w:val="006D391B"/>
    <w:rsid w:val="006D3B60"/>
    <w:rsid w:val="006D3FB2"/>
    <w:rsid w:val="006D637C"/>
    <w:rsid w:val="006D6E06"/>
    <w:rsid w:val="006D6F26"/>
    <w:rsid w:val="006D727F"/>
    <w:rsid w:val="006D7992"/>
    <w:rsid w:val="006D7BF5"/>
    <w:rsid w:val="006D7C03"/>
    <w:rsid w:val="006E0C77"/>
    <w:rsid w:val="006E123F"/>
    <w:rsid w:val="006E2144"/>
    <w:rsid w:val="006E2300"/>
    <w:rsid w:val="006E2AB8"/>
    <w:rsid w:val="006E342F"/>
    <w:rsid w:val="006E4532"/>
    <w:rsid w:val="006E45B9"/>
    <w:rsid w:val="006E5542"/>
    <w:rsid w:val="006E589F"/>
    <w:rsid w:val="006E5DE5"/>
    <w:rsid w:val="006E5E11"/>
    <w:rsid w:val="006E5F1C"/>
    <w:rsid w:val="006E6AEF"/>
    <w:rsid w:val="006E75DB"/>
    <w:rsid w:val="006E79B8"/>
    <w:rsid w:val="006E7CAF"/>
    <w:rsid w:val="006F068E"/>
    <w:rsid w:val="006F0FE3"/>
    <w:rsid w:val="006F1425"/>
    <w:rsid w:val="006F22CC"/>
    <w:rsid w:val="006F2838"/>
    <w:rsid w:val="006F2A24"/>
    <w:rsid w:val="006F3AC1"/>
    <w:rsid w:val="006F43FD"/>
    <w:rsid w:val="006F47FC"/>
    <w:rsid w:val="006F483E"/>
    <w:rsid w:val="006F617A"/>
    <w:rsid w:val="006F6191"/>
    <w:rsid w:val="006F62C0"/>
    <w:rsid w:val="006F6692"/>
    <w:rsid w:val="006F6C52"/>
    <w:rsid w:val="006F74C4"/>
    <w:rsid w:val="006F7F1B"/>
    <w:rsid w:val="00700A09"/>
    <w:rsid w:val="0070286A"/>
    <w:rsid w:val="00702CCD"/>
    <w:rsid w:val="00705411"/>
    <w:rsid w:val="00705BBF"/>
    <w:rsid w:val="00705FE5"/>
    <w:rsid w:val="007074EF"/>
    <w:rsid w:val="0070793E"/>
    <w:rsid w:val="00707E41"/>
    <w:rsid w:val="007100FA"/>
    <w:rsid w:val="00712044"/>
    <w:rsid w:val="00712351"/>
    <w:rsid w:val="007125BA"/>
    <w:rsid w:val="0071332A"/>
    <w:rsid w:val="00713AE8"/>
    <w:rsid w:val="0071414F"/>
    <w:rsid w:val="00715225"/>
    <w:rsid w:val="00715521"/>
    <w:rsid w:val="00715A9E"/>
    <w:rsid w:val="00716618"/>
    <w:rsid w:val="007169A4"/>
    <w:rsid w:val="00716C63"/>
    <w:rsid w:val="00716DC8"/>
    <w:rsid w:val="00717908"/>
    <w:rsid w:val="00717DD8"/>
    <w:rsid w:val="0072031F"/>
    <w:rsid w:val="00721761"/>
    <w:rsid w:val="0072243B"/>
    <w:rsid w:val="007229C0"/>
    <w:rsid w:val="00722A0B"/>
    <w:rsid w:val="00722CF4"/>
    <w:rsid w:val="0072338D"/>
    <w:rsid w:val="007237AF"/>
    <w:rsid w:val="00724264"/>
    <w:rsid w:val="00724D03"/>
    <w:rsid w:val="00725F49"/>
    <w:rsid w:val="00726557"/>
    <w:rsid w:val="0072693F"/>
    <w:rsid w:val="00726AE0"/>
    <w:rsid w:val="00726BE0"/>
    <w:rsid w:val="007271C5"/>
    <w:rsid w:val="0072781F"/>
    <w:rsid w:val="007309AD"/>
    <w:rsid w:val="00730E7C"/>
    <w:rsid w:val="00731872"/>
    <w:rsid w:val="007319AF"/>
    <w:rsid w:val="0073230B"/>
    <w:rsid w:val="0073245B"/>
    <w:rsid w:val="0073297E"/>
    <w:rsid w:val="00732C5B"/>
    <w:rsid w:val="00732CA9"/>
    <w:rsid w:val="00732F60"/>
    <w:rsid w:val="00733066"/>
    <w:rsid w:val="007343AF"/>
    <w:rsid w:val="007345CD"/>
    <w:rsid w:val="00734A87"/>
    <w:rsid w:val="00734B4E"/>
    <w:rsid w:val="007350AA"/>
    <w:rsid w:val="00735853"/>
    <w:rsid w:val="00735E51"/>
    <w:rsid w:val="0073678B"/>
    <w:rsid w:val="00736838"/>
    <w:rsid w:val="007374B8"/>
    <w:rsid w:val="00737A91"/>
    <w:rsid w:val="00740346"/>
    <w:rsid w:val="00741C6F"/>
    <w:rsid w:val="00742257"/>
    <w:rsid w:val="007426A8"/>
    <w:rsid w:val="00742DAC"/>
    <w:rsid w:val="00743186"/>
    <w:rsid w:val="007432E7"/>
    <w:rsid w:val="00743A24"/>
    <w:rsid w:val="00744124"/>
    <w:rsid w:val="0074430E"/>
    <w:rsid w:val="00744956"/>
    <w:rsid w:val="007449F5"/>
    <w:rsid w:val="00744A58"/>
    <w:rsid w:val="00745002"/>
    <w:rsid w:val="00745154"/>
    <w:rsid w:val="0074531D"/>
    <w:rsid w:val="00745DC4"/>
    <w:rsid w:val="00745E13"/>
    <w:rsid w:val="00747110"/>
    <w:rsid w:val="00747A2E"/>
    <w:rsid w:val="007506D1"/>
    <w:rsid w:val="00751106"/>
    <w:rsid w:val="00751E5E"/>
    <w:rsid w:val="00752E66"/>
    <w:rsid w:val="0075337A"/>
    <w:rsid w:val="00753B88"/>
    <w:rsid w:val="00753E14"/>
    <w:rsid w:val="007543B9"/>
    <w:rsid w:val="00754A0D"/>
    <w:rsid w:val="00755797"/>
    <w:rsid w:val="00755DF8"/>
    <w:rsid w:val="00756025"/>
    <w:rsid w:val="00756571"/>
    <w:rsid w:val="00757547"/>
    <w:rsid w:val="00757833"/>
    <w:rsid w:val="00760724"/>
    <w:rsid w:val="00760D70"/>
    <w:rsid w:val="0076197C"/>
    <w:rsid w:val="00761D17"/>
    <w:rsid w:val="00762FBF"/>
    <w:rsid w:val="00763DF7"/>
    <w:rsid w:val="00764310"/>
    <w:rsid w:val="00764973"/>
    <w:rsid w:val="00764B6D"/>
    <w:rsid w:val="0076550B"/>
    <w:rsid w:val="0076553B"/>
    <w:rsid w:val="00766B15"/>
    <w:rsid w:val="007670D8"/>
    <w:rsid w:val="00767138"/>
    <w:rsid w:val="00767514"/>
    <w:rsid w:val="007676C1"/>
    <w:rsid w:val="00770DB0"/>
    <w:rsid w:val="00771C08"/>
    <w:rsid w:val="0077224A"/>
    <w:rsid w:val="00772D9D"/>
    <w:rsid w:val="00772F7C"/>
    <w:rsid w:val="00774A50"/>
    <w:rsid w:val="00774AF8"/>
    <w:rsid w:val="00774E58"/>
    <w:rsid w:val="00774ECC"/>
    <w:rsid w:val="00776DD6"/>
    <w:rsid w:val="007776F8"/>
    <w:rsid w:val="0078116F"/>
    <w:rsid w:val="00781423"/>
    <w:rsid w:val="00783B4C"/>
    <w:rsid w:val="00784619"/>
    <w:rsid w:val="00785996"/>
    <w:rsid w:val="00785B2F"/>
    <w:rsid w:val="0078650B"/>
    <w:rsid w:val="007868FF"/>
    <w:rsid w:val="00786A1D"/>
    <w:rsid w:val="00786CD6"/>
    <w:rsid w:val="00787510"/>
    <w:rsid w:val="00792328"/>
    <w:rsid w:val="0079284D"/>
    <w:rsid w:val="00792D11"/>
    <w:rsid w:val="007931AC"/>
    <w:rsid w:val="007935A3"/>
    <w:rsid w:val="007938A5"/>
    <w:rsid w:val="00793DF3"/>
    <w:rsid w:val="00795178"/>
    <w:rsid w:val="00795C26"/>
    <w:rsid w:val="00795D56"/>
    <w:rsid w:val="00796285"/>
    <w:rsid w:val="007974DB"/>
    <w:rsid w:val="0079775A"/>
    <w:rsid w:val="007A001D"/>
    <w:rsid w:val="007A07F5"/>
    <w:rsid w:val="007A08C7"/>
    <w:rsid w:val="007A0BBC"/>
    <w:rsid w:val="007A25C5"/>
    <w:rsid w:val="007A3767"/>
    <w:rsid w:val="007A4A56"/>
    <w:rsid w:val="007A5A8A"/>
    <w:rsid w:val="007A657C"/>
    <w:rsid w:val="007A6FFA"/>
    <w:rsid w:val="007B0B3F"/>
    <w:rsid w:val="007B1181"/>
    <w:rsid w:val="007B18A5"/>
    <w:rsid w:val="007B3150"/>
    <w:rsid w:val="007B3E67"/>
    <w:rsid w:val="007B4209"/>
    <w:rsid w:val="007B5727"/>
    <w:rsid w:val="007B694E"/>
    <w:rsid w:val="007B7087"/>
    <w:rsid w:val="007C0A5B"/>
    <w:rsid w:val="007C0D45"/>
    <w:rsid w:val="007C1373"/>
    <w:rsid w:val="007C18C1"/>
    <w:rsid w:val="007C1B37"/>
    <w:rsid w:val="007C3D3D"/>
    <w:rsid w:val="007C4074"/>
    <w:rsid w:val="007C4FF3"/>
    <w:rsid w:val="007C53B7"/>
    <w:rsid w:val="007C7084"/>
    <w:rsid w:val="007C7988"/>
    <w:rsid w:val="007D3CE4"/>
    <w:rsid w:val="007D5296"/>
    <w:rsid w:val="007D56F8"/>
    <w:rsid w:val="007D68AA"/>
    <w:rsid w:val="007D6C69"/>
    <w:rsid w:val="007D6D6A"/>
    <w:rsid w:val="007D6F22"/>
    <w:rsid w:val="007D7D76"/>
    <w:rsid w:val="007D7FC7"/>
    <w:rsid w:val="007E08C4"/>
    <w:rsid w:val="007E0AB1"/>
    <w:rsid w:val="007E0FE0"/>
    <w:rsid w:val="007E12DC"/>
    <w:rsid w:val="007E1B21"/>
    <w:rsid w:val="007E22E6"/>
    <w:rsid w:val="007E2CD8"/>
    <w:rsid w:val="007E3410"/>
    <w:rsid w:val="007E364D"/>
    <w:rsid w:val="007E3C9E"/>
    <w:rsid w:val="007E3CAB"/>
    <w:rsid w:val="007E3D76"/>
    <w:rsid w:val="007E4152"/>
    <w:rsid w:val="007E420A"/>
    <w:rsid w:val="007E45D3"/>
    <w:rsid w:val="007E4DA6"/>
    <w:rsid w:val="007E5429"/>
    <w:rsid w:val="007E5D47"/>
    <w:rsid w:val="007E6BD7"/>
    <w:rsid w:val="007E72C6"/>
    <w:rsid w:val="007E7381"/>
    <w:rsid w:val="007E7857"/>
    <w:rsid w:val="007E79E5"/>
    <w:rsid w:val="007E7D17"/>
    <w:rsid w:val="007F0864"/>
    <w:rsid w:val="007F0B31"/>
    <w:rsid w:val="007F1342"/>
    <w:rsid w:val="007F13EF"/>
    <w:rsid w:val="007F1547"/>
    <w:rsid w:val="007F2163"/>
    <w:rsid w:val="007F220D"/>
    <w:rsid w:val="007F3046"/>
    <w:rsid w:val="007F3786"/>
    <w:rsid w:val="007F3C30"/>
    <w:rsid w:val="007F3E1F"/>
    <w:rsid w:val="007F4B8F"/>
    <w:rsid w:val="007F5094"/>
    <w:rsid w:val="007F59BB"/>
    <w:rsid w:val="007F5B52"/>
    <w:rsid w:val="007F5C5A"/>
    <w:rsid w:val="007F6442"/>
    <w:rsid w:val="007F6C2F"/>
    <w:rsid w:val="007F71AB"/>
    <w:rsid w:val="008003D5"/>
    <w:rsid w:val="0080056F"/>
    <w:rsid w:val="0080083A"/>
    <w:rsid w:val="00800A8E"/>
    <w:rsid w:val="00800D98"/>
    <w:rsid w:val="0080267B"/>
    <w:rsid w:val="008035F6"/>
    <w:rsid w:val="00803C99"/>
    <w:rsid w:val="0080413A"/>
    <w:rsid w:val="00804A94"/>
    <w:rsid w:val="00804FBF"/>
    <w:rsid w:val="0080516B"/>
    <w:rsid w:val="008052EC"/>
    <w:rsid w:val="00805493"/>
    <w:rsid w:val="00805C01"/>
    <w:rsid w:val="00806BE9"/>
    <w:rsid w:val="00806F18"/>
    <w:rsid w:val="008071A5"/>
    <w:rsid w:val="00807F50"/>
    <w:rsid w:val="008104EF"/>
    <w:rsid w:val="00810933"/>
    <w:rsid w:val="00810CE9"/>
    <w:rsid w:val="00810E40"/>
    <w:rsid w:val="00810F1A"/>
    <w:rsid w:val="00810F91"/>
    <w:rsid w:val="00811336"/>
    <w:rsid w:val="00811AA0"/>
    <w:rsid w:val="00811AD2"/>
    <w:rsid w:val="008137EF"/>
    <w:rsid w:val="00813C2E"/>
    <w:rsid w:val="008141FB"/>
    <w:rsid w:val="00814CC0"/>
    <w:rsid w:val="00814E2F"/>
    <w:rsid w:val="00815334"/>
    <w:rsid w:val="00815685"/>
    <w:rsid w:val="00817317"/>
    <w:rsid w:val="00822013"/>
    <w:rsid w:val="00822D83"/>
    <w:rsid w:val="0082364A"/>
    <w:rsid w:val="00823E67"/>
    <w:rsid w:val="0082507E"/>
    <w:rsid w:val="008252D2"/>
    <w:rsid w:val="00825B06"/>
    <w:rsid w:val="00825EA7"/>
    <w:rsid w:val="008308B5"/>
    <w:rsid w:val="00831635"/>
    <w:rsid w:val="0083296A"/>
    <w:rsid w:val="00832D03"/>
    <w:rsid w:val="008330D1"/>
    <w:rsid w:val="00834955"/>
    <w:rsid w:val="008351DF"/>
    <w:rsid w:val="008356D2"/>
    <w:rsid w:val="00835A81"/>
    <w:rsid w:val="00835AF4"/>
    <w:rsid w:val="0083634D"/>
    <w:rsid w:val="008366BD"/>
    <w:rsid w:val="0083697D"/>
    <w:rsid w:val="00836EE9"/>
    <w:rsid w:val="008373AC"/>
    <w:rsid w:val="00837893"/>
    <w:rsid w:val="008379AD"/>
    <w:rsid w:val="00837C35"/>
    <w:rsid w:val="008401C3"/>
    <w:rsid w:val="00840BB1"/>
    <w:rsid w:val="008415FB"/>
    <w:rsid w:val="00841FAA"/>
    <w:rsid w:val="00842356"/>
    <w:rsid w:val="008425C5"/>
    <w:rsid w:val="00842713"/>
    <w:rsid w:val="00842B3D"/>
    <w:rsid w:val="0084386B"/>
    <w:rsid w:val="00843B61"/>
    <w:rsid w:val="00844169"/>
    <w:rsid w:val="0084540C"/>
    <w:rsid w:val="00846575"/>
    <w:rsid w:val="008468F4"/>
    <w:rsid w:val="00847D55"/>
    <w:rsid w:val="00850CE9"/>
    <w:rsid w:val="00851A11"/>
    <w:rsid w:val="00852217"/>
    <w:rsid w:val="00852800"/>
    <w:rsid w:val="008535ED"/>
    <w:rsid w:val="008557E5"/>
    <w:rsid w:val="008558A0"/>
    <w:rsid w:val="00855A3D"/>
    <w:rsid w:val="00855EFD"/>
    <w:rsid w:val="00855F0B"/>
    <w:rsid w:val="008565E8"/>
    <w:rsid w:val="00856680"/>
    <w:rsid w:val="00856DCE"/>
    <w:rsid w:val="00856F82"/>
    <w:rsid w:val="008612EB"/>
    <w:rsid w:val="008615AF"/>
    <w:rsid w:val="008622BB"/>
    <w:rsid w:val="008625FB"/>
    <w:rsid w:val="00862CD8"/>
    <w:rsid w:val="00862F05"/>
    <w:rsid w:val="008640E6"/>
    <w:rsid w:val="008642D8"/>
    <w:rsid w:val="008651AB"/>
    <w:rsid w:val="008666CE"/>
    <w:rsid w:val="00866C4D"/>
    <w:rsid w:val="00866C74"/>
    <w:rsid w:val="00866EE8"/>
    <w:rsid w:val="008673D3"/>
    <w:rsid w:val="008674B1"/>
    <w:rsid w:val="00867DE6"/>
    <w:rsid w:val="008711EA"/>
    <w:rsid w:val="00871E04"/>
    <w:rsid w:val="00872424"/>
    <w:rsid w:val="00873245"/>
    <w:rsid w:val="008736C5"/>
    <w:rsid w:val="00874147"/>
    <w:rsid w:val="008741A8"/>
    <w:rsid w:val="00874A84"/>
    <w:rsid w:val="00875117"/>
    <w:rsid w:val="008757D4"/>
    <w:rsid w:val="00875A28"/>
    <w:rsid w:val="00875A86"/>
    <w:rsid w:val="00875A88"/>
    <w:rsid w:val="00881576"/>
    <w:rsid w:val="008819E8"/>
    <w:rsid w:val="00882252"/>
    <w:rsid w:val="008830B5"/>
    <w:rsid w:val="008833CB"/>
    <w:rsid w:val="00883766"/>
    <w:rsid w:val="008838C7"/>
    <w:rsid w:val="00884B72"/>
    <w:rsid w:val="00884B90"/>
    <w:rsid w:val="008856C5"/>
    <w:rsid w:val="00885DAF"/>
    <w:rsid w:val="00885F62"/>
    <w:rsid w:val="00885F8A"/>
    <w:rsid w:val="00886DA0"/>
    <w:rsid w:val="008900A4"/>
    <w:rsid w:val="00890877"/>
    <w:rsid w:val="00890D4C"/>
    <w:rsid w:val="00890E7E"/>
    <w:rsid w:val="00891AFD"/>
    <w:rsid w:val="00891CC7"/>
    <w:rsid w:val="00891FA4"/>
    <w:rsid w:val="008922FB"/>
    <w:rsid w:val="0089238A"/>
    <w:rsid w:val="008933E0"/>
    <w:rsid w:val="00893B90"/>
    <w:rsid w:val="008946E9"/>
    <w:rsid w:val="00894FFA"/>
    <w:rsid w:val="008964A9"/>
    <w:rsid w:val="008977FD"/>
    <w:rsid w:val="008A008B"/>
    <w:rsid w:val="008A22A3"/>
    <w:rsid w:val="008A28DD"/>
    <w:rsid w:val="008A3498"/>
    <w:rsid w:val="008A3E6F"/>
    <w:rsid w:val="008A445C"/>
    <w:rsid w:val="008A45CB"/>
    <w:rsid w:val="008A4ACE"/>
    <w:rsid w:val="008A51C1"/>
    <w:rsid w:val="008A65EE"/>
    <w:rsid w:val="008A7223"/>
    <w:rsid w:val="008A7A1B"/>
    <w:rsid w:val="008A7DAD"/>
    <w:rsid w:val="008B0AC6"/>
    <w:rsid w:val="008B1376"/>
    <w:rsid w:val="008B3C1A"/>
    <w:rsid w:val="008B4C75"/>
    <w:rsid w:val="008C09AC"/>
    <w:rsid w:val="008C134E"/>
    <w:rsid w:val="008C16F3"/>
    <w:rsid w:val="008C1C76"/>
    <w:rsid w:val="008C2948"/>
    <w:rsid w:val="008C3E05"/>
    <w:rsid w:val="008C48E0"/>
    <w:rsid w:val="008C4C09"/>
    <w:rsid w:val="008C5481"/>
    <w:rsid w:val="008C6482"/>
    <w:rsid w:val="008C6A76"/>
    <w:rsid w:val="008C6F26"/>
    <w:rsid w:val="008D02EF"/>
    <w:rsid w:val="008D0978"/>
    <w:rsid w:val="008D18BF"/>
    <w:rsid w:val="008D2A77"/>
    <w:rsid w:val="008D3DDB"/>
    <w:rsid w:val="008D419D"/>
    <w:rsid w:val="008D4C5F"/>
    <w:rsid w:val="008D522F"/>
    <w:rsid w:val="008D696B"/>
    <w:rsid w:val="008D6BC2"/>
    <w:rsid w:val="008D7AF3"/>
    <w:rsid w:val="008D7F9F"/>
    <w:rsid w:val="008E0DC5"/>
    <w:rsid w:val="008E17C8"/>
    <w:rsid w:val="008E2595"/>
    <w:rsid w:val="008E5003"/>
    <w:rsid w:val="008E56F2"/>
    <w:rsid w:val="008E5CB9"/>
    <w:rsid w:val="008E615E"/>
    <w:rsid w:val="008E697E"/>
    <w:rsid w:val="008E6A6B"/>
    <w:rsid w:val="008E6D23"/>
    <w:rsid w:val="008E7020"/>
    <w:rsid w:val="008E750D"/>
    <w:rsid w:val="008E7D4F"/>
    <w:rsid w:val="008E7FDA"/>
    <w:rsid w:val="008F0100"/>
    <w:rsid w:val="008F095A"/>
    <w:rsid w:val="008F257B"/>
    <w:rsid w:val="008F2827"/>
    <w:rsid w:val="008F32A2"/>
    <w:rsid w:val="008F5381"/>
    <w:rsid w:val="008F5DD4"/>
    <w:rsid w:val="008F5EB3"/>
    <w:rsid w:val="008F6D0F"/>
    <w:rsid w:val="00900DC0"/>
    <w:rsid w:val="009013F0"/>
    <w:rsid w:val="009019B1"/>
    <w:rsid w:val="00901D18"/>
    <w:rsid w:val="0090258C"/>
    <w:rsid w:val="0090346F"/>
    <w:rsid w:val="00903814"/>
    <w:rsid w:val="009038F1"/>
    <w:rsid w:val="00903A60"/>
    <w:rsid w:val="00903E30"/>
    <w:rsid w:val="00904061"/>
    <w:rsid w:val="00906595"/>
    <w:rsid w:val="00906609"/>
    <w:rsid w:val="009075C8"/>
    <w:rsid w:val="00907E03"/>
    <w:rsid w:val="009119C8"/>
    <w:rsid w:val="00911A93"/>
    <w:rsid w:val="00911DB8"/>
    <w:rsid w:val="009128BA"/>
    <w:rsid w:val="00912DA9"/>
    <w:rsid w:val="00915AA5"/>
    <w:rsid w:val="009177DB"/>
    <w:rsid w:val="00920F1A"/>
    <w:rsid w:val="00922D48"/>
    <w:rsid w:val="00926585"/>
    <w:rsid w:val="00926D66"/>
    <w:rsid w:val="00931050"/>
    <w:rsid w:val="00932233"/>
    <w:rsid w:val="00932487"/>
    <w:rsid w:val="009326AF"/>
    <w:rsid w:val="00932A08"/>
    <w:rsid w:val="00932CCF"/>
    <w:rsid w:val="009336FD"/>
    <w:rsid w:val="0093404B"/>
    <w:rsid w:val="0093448B"/>
    <w:rsid w:val="009348DE"/>
    <w:rsid w:val="009349D8"/>
    <w:rsid w:val="00934FA5"/>
    <w:rsid w:val="009354DD"/>
    <w:rsid w:val="00935F67"/>
    <w:rsid w:val="00937084"/>
    <w:rsid w:val="00940E66"/>
    <w:rsid w:val="00941838"/>
    <w:rsid w:val="00941B72"/>
    <w:rsid w:val="00941EAA"/>
    <w:rsid w:val="00942F8F"/>
    <w:rsid w:val="00943A40"/>
    <w:rsid w:val="00943FD2"/>
    <w:rsid w:val="009442BF"/>
    <w:rsid w:val="00944B82"/>
    <w:rsid w:val="00944D4E"/>
    <w:rsid w:val="00945994"/>
    <w:rsid w:val="00945AF4"/>
    <w:rsid w:val="00945AFD"/>
    <w:rsid w:val="009460BB"/>
    <w:rsid w:val="00946129"/>
    <w:rsid w:val="00946482"/>
    <w:rsid w:val="009467CE"/>
    <w:rsid w:val="00946F51"/>
    <w:rsid w:val="00947CA0"/>
    <w:rsid w:val="00947E86"/>
    <w:rsid w:val="0095008D"/>
    <w:rsid w:val="00950F02"/>
    <w:rsid w:val="00950FC0"/>
    <w:rsid w:val="009515D1"/>
    <w:rsid w:val="00952111"/>
    <w:rsid w:val="0095227D"/>
    <w:rsid w:val="009526DE"/>
    <w:rsid w:val="00952DB0"/>
    <w:rsid w:val="00952FBC"/>
    <w:rsid w:val="00952FF3"/>
    <w:rsid w:val="0095392F"/>
    <w:rsid w:val="00953AD5"/>
    <w:rsid w:val="00954CDC"/>
    <w:rsid w:val="00954D6F"/>
    <w:rsid w:val="00955360"/>
    <w:rsid w:val="009567A3"/>
    <w:rsid w:val="00956CDA"/>
    <w:rsid w:val="00957202"/>
    <w:rsid w:val="009574AA"/>
    <w:rsid w:val="00957F59"/>
    <w:rsid w:val="0096010B"/>
    <w:rsid w:val="0096059C"/>
    <w:rsid w:val="009611CD"/>
    <w:rsid w:val="0096312E"/>
    <w:rsid w:val="00963367"/>
    <w:rsid w:val="009634F6"/>
    <w:rsid w:val="00963694"/>
    <w:rsid w:val="00963D11"/>
    <w:rsid w:val="00966C90"/>
    <w:rsid w:val="009675C1"/>
    <w:rsid w:val="00967650"/>
    <w:rsid w:val="00970039"/>
    <w:rsid w:val="00970A83"/>
    <w:rsid w:val="00970E51"/>
    <w:rsid w:val="0097101C"/>
    <w:rsid w:val="0097102E"/>
    <w:rsid w:val="0097236A"/>
    <w:rsid w:val="00973067"/>
    <w:rsid w:val="009739C8"/>
    <w:rsid w:val="009752B6"/>
    <w:rsid w:val="0097569A"/>
    <w:rsid w:val="00975ABD"/>
    <w:rsid w:val="00975C82"/>
    <w:rsid w:val="00975CF2"/>
    <w:rsid w:val="0097600A"/>
    <w:rsid w:val="0097602D"/>
    <w:rsid w:val="0097677B"/>
    <w:rsid w:val="009767E0"/>
    <w:rsid w:val="00976A68"/>
    <w:rsid w:val="00976EDD"/>
    <w:rsid w:val="00977ACB"/>
    <w:rsid w:val="009803BC"/>
    <w:rsid w:val="00980724"/>
    <w:rsid w:val="00980D1D"/>
    <w:rsid w:val="00981C4C"/>
    <w:rsid w:val="0098285D"/>
    <w:rsid w:val="00983203"/>
    <w:rsid w:val="00983626"/>
    <w:rsid w:val="009841FD"/>
    <w:rsid w:val="00987863"/>
    <w:rsid w:val="00990746"/>
    <w:rsid w:val="0099079A"/>
    <w:rsid w:val="00990D7A"/>
    <w:rsid w:val="00991298"/>
    <w:rsid w:val="00993F17"/>
    <w:rsid w:val="00994476"/>
    <w:rsid w:val="00995C05"/>
    <w:rsid w:val="00995D01"/>
    <w:rsid w:val="009966E3"/>
    <w:rsid w:val="00997763"/>
    <w:rsid w:val="009977E6"/>
    <w:rsid w:val="00997E42"/>
    <w:rsid w:val="009A17D5"/>
    <w:rsid w:val="009A4385"/>
    <w:rsid w:val="009A4BA7"/>
    <w:rsid w:val="009A4F82"/>
    <w:rsid w:val="009A61FD"/>
    <w:rsid w:val="009A668E"/>
    <w:rsid w:val="009A7841"/>
    <w:rsid w:val="009B02FE"/>
    <w:rsid w:val="009B076C"/>
    <w:rsid w:val="009B0779"/>
    <w:rsid w:val="009B0A7E"/>
    <w:rsid w:val="009B0B97"/>
    <w:rsid w:val="009B168A"/>
    <w:rsid w:val="009B1D5A"/>
    <w:rsid w:val="009B201C"/>
    <w:rsid w:val="009B2DBD"/>
    <w:rsid w:val="009B3809"/>
    <w:rsid w:val="009B3937"/>
    <w:rsid w:val="009B3DF1"/>
    <w:rsid w:val="009B4602"/>
    <w:rsid w:val="009B47D6"/>
    <w:rsid w:val="009B4CDD"/>
    <w:rsid w:val="009B4E1F"/>
    <w:rsid w:val="009B70CE"/>
    <w:rsid w:val="009C0903"/>
    <w:rsid w:val="009C1A11"/>
    <w:rsid w:val="009C28C7"/>
    <w:rsid w:val="009C3D29"/>
    <w:rsid w:val="009C44A7"/>
    <w:rsid w:val="009C4CE0"/>
    <w:rsid w:val="009C5C06"/>
    <w:rsid w:val="009C6727"/>
    <w:rsid w:val="009C73CD"/>
    <w:rsid w:val="009C7408"/>
    <w:rsid w:val="009C7AE4"/>
    <w:rsid w:val="009C7FF8"/>
    <w:rsid w:val="009D045E"/>
    <w:rsid w:val="009D0FBC"/>
    <w:rsid w:val="009D125A"/>
    <w:rsid w:val="009D1528"/>
    <w:rsid w:val="009D16FE"/>
    <w:rsid w:val="009D26EC"/>
    <w:rsid w:val="009D27F9"/>
    <w:rsid w:val="009D2FFF"/>
    <w:rsid w:val="009D360B"/>
    <w:rsid w:val="009D4A30"/>
    <w:rsid w:val="009D5C60"/>
    <w:rsid w:val="009D6600"/>
    <w:rsid w:val="009D7397"/>
    <w:rsid w:val="009D7F0D"/>
    <w:rsid w:val="009E0253"/>
    <w:rsid w:val="009E1FA0"/>
    <w:rsid w:val="009E1FB7"/>
    <w:rsid w:val="009E2454"/>
    <w:rsid w:val="009E2989"/>
    <w:rsid w:val="009E2C86"/>
    <w:rsid w:val="009E2DE8"/>
    <w:rsid w:val="009E3765"/>
    <w:rsid w:val="009E4DB9"/>
    <w:rsid w:val="009E4EFA"/>
    <w:rsid w:val="009E5643"/>
    <w:rsid w:val="009E5977"/>
    <w:rsid w:val="009E66D3"/>
    <w:rsid w:val="009E71EE"/>
    <w:rsid w:val="009E7451"/>
    <w:rsid w:val="009E747B"/>
    <w:rsid w:val="009F00E6"/>
    <w:rsid w:val="009F0775"/>
    <w:rsid w:val="009F0C12"/>
    <w:rsid w:val="009F1A87"/>
    <w:rsid w:val="009F286E"/>
    <w:rsid w:val="009F3E69"/>
    <w:rsid w:val="009F3ED7"/>
    <w:rsid w:val="009F4472"/>
    <w:rsid w:val="009F4CD9"/>
    <w:rsid w:val="009F5741"/>
    <w:rsid w:val="009F5935"/>
    <w:rsid w:val="009F5EBD"/>
    <w:rsid w:val="009F5F01"/>
    <w:rsid w:val="009F6026"/>
    <w:rsid w:val="009F679D"/>
    <w:rsid w:val="009F6A18"/>
    <w:rsid w:val="009F6A50"/>
    <w:rsid w:val="009F71BD"/>
    <w:rsid w:val="00A00004"/>
    <w:rsid w:val="00A0099E"/>
    <w:rsid w:val="00A01075"/>
    <w:rsid w:val="00A014D1"/>
    <w:rsid w:val="00A03BE0"/>
    <w:rsid w:val="00A040C3"/>
    <w:rsid w:val="00A0577A"/>
    <w:rsid w:val="00A0698B"/>
    <w:rsid w:val="00A07805"/>
    <w:rsid w:val="00A07B1F"/>
    <w:rsid w:val="00A11079"/>
    <w:rsid w:val="00A115D4"/>
    <w:rsid w:val="00A121AE"/>
    <w:rsid w:val="00A12488"/>
    <w:rsid w:val="00A1254D"/>
    <w:rsid w:val="00A126AF"/>
    <w:rsid w:val="00A1299D"/>
    <w:rsid w:val="00A12CAA"/>
    <w:rsid w:val="00A13217"/>
    <w:rsid w:val="00A13351"/>
    <w:rsid w:val="00A138F4"/>
    <w:rsid w:val="00A14A64"/>
    <w:rsid w:val="00A15C96"/>
    <w:rsid w:val="00A160D9"/>
    <w:rsid w:val="00A1651D"/>
    <w:rsid w:val="00A16B91"/>
    <w:rsid w:val="00A202E0"/>
    <w:rsid w:val="00A20578"/>
    <w:rsid w:val="00A20DE1"/>
    <w:rsid w:val="00A2133B"/>
    <w:rsid w:val="00A21B90"/>
    <w:rsid w:val="00A23D4C"/>
    <w:rsid w:val="00A23F19"/>
    <w:rsid w:val="00A2436F"/>
    <w:rsid w:val="00A2467E"/>
    <w:rsid w:val="00A24FD6"/>
    <w:rsid w:val="00A25244"/>
    <w:rsid w:val="00A25639"/>
    <w:rsid w:val="00A25FE5"/>
    <w:rsid w:val="00A26085"/>
    <w:rsid w:val="00A27ACD"/>
    <w:rsid w:val="00A30322"/>
    <w:rsid w:val="00A30F08"/>
    <w:rsid w:val="00A32659"/>
    <w:rsid w:val="00A3376A"/>
    <w:rsid w:val="00A338B2"/>
    <w:rsid w:val="00A34338"/>
    <w:rsid w:val="00A34B15"/>
    <w:rsid w:val="00A34D6C"/>
    <w:rsid w:val="00A34F17"/>
    <w:rsid w:val="00A35515"/>
    <w:rsid w:val="00A3557B"/>
    <w:rsid w:val="00A36221"/>
    <w:rsid w:val="00A37135"/>
    <w:rsid w:val="00A37843"/>
    <w:rsid w:val="00A37902"/>
    <w:rsid w:val="00A40796"/>
    <w:rsid w:val="00A4113A"/>
    <w:rsid w:val="00A412AD"/>
    <w:rsid w:val="00A416F7"/>
    <w:rsid w:val="00A41D88"/>
    <w:rsid w:val="00A42AC7"/>
    <w:rsid w:val="00A4353F"/>
    <w:rsid w:val="00A43A7A"/>
    <w:rsid w:val="00A440F2"/>
    <w:rsid w:val="00A443FA"/>
    <w:rsid w:val="00A446B0"/>
    <w:rsid w:val="00A44D8F"/>
    <w:rsid w:val="00A456C7"/>
    <w:rsid w:val="00A457DB"/>
    <w:rsid w:val="00A4597C"/>
    <w:rsid w:val="00A45E94"/>
    <w:rsid w:val="00A465E5"/>
    <w:rsid w:val="00A471AD"/>
    <w:rsid w:val="00A4770A"/>
    <w:rsid w:val="00A47D66"/>
    <w:rsid w:val="00A47F4A"/>
    <w:rsid w:val="00A50856"/>
    <w:rsid w:val="00A509C5"/>
    <w:rsid w:val="00A50C52"/>
    <w:rsid w:val="00A50D95"/>
    <w:rsid w:val="00A50EDD"/>
    <w:rsid w:val="00A5198C"/>
    <w:rsid w:val="00A5356B"/>
    <w:rsid w:val="00A53AD7"/>
    <w:rsid w:val="00A53EAE"/>
    <w:rsid w:val="00A5418E"/>
    <w:rsid w:val="00A54F36"/>
    <w:rsid w:val="00A555D9"/>
    <w:rsid w:val="00A55949"/>
    <w:rsid w:val="00A55A52"/>
    <w:rsid w:val="00A567E0"/>
    <w:rsid w:val="00A57436"/>
    <w:rsid w:val="00A57716"/>
    <w:rsid w:val="00A57E66"/>
    <w:rsid w:val="00A6055C"/>
    <w:rsid w:val="00A60CBB"/>
    <w:rsid w:val="00A60FBF"/>
    <w:rsid w:val="00A6119D"/>
    <w:rsid w:val="00A62696"/>
    <w:rsid w:val="00A6402F"/>
    <w:rsid w:val="00A64257"/>
    <w:rsid w:val="00A64883"/>
    <w:rsid w:val="00A650EB"/>
    <w:rsid w:val="00A662CB"/>
    <w:rsid w:val="00A6634E"/>
    <w:rsid w:val="00A66991"/>
    <w:rsid w:val="00A672B1"/>
    <w:rsid w:val="00A67B97"/>
    <w:rsid w:val="00A67F3D"/>
    <w:rsid w:val="00A70282"/>
    <w:rsid w:val="00A70736"/>
    <w:rsid w:val="00A70CBC"/>
    <w:rsid w:val="00A710E3"/>
    <w:rsid w:val="00A71C41"/>
    <w:rsid w:val="00A71E0F"/>
    <w:rsid w:val="00A72F4A"/>
    <w:rsid w:val="00A73926"/>
    <w:rsid w:val="00A73E11"/>
    <w:rsid w:val="00A7407F"/>
    <w:rsid w:val="00A74178"/>
    <w:rsid w:val="00A749FC"/>
    <w:rsid w:val="00A74B86"/>
    <w:rsid w:val="00A74E06"/>
    <w:rsid w:val="00A74E3A"/>
    <w:rsid w:val="00A75ED8"/>
    <w:rsid w:val="00A766B3"/>
    <w:rsid w:val="00A7672F"/>
    <w:rsid w:val="00A77A39"/>
    <w:rsid w:val="00A77AAC"/>
    <w:rsid w:val="00A822A5"/>
    <w:rsid w:val="00A8458C"/>
    <w:rsid w:val="00A8536B"/>
    <w:rsid w:val="00A86652"/>
    <w:rsid w:val="00A876FF"/>
    <w:rsid w:val="00A87C92"/>
    <w:rsid w:val="00A92037"/>
    <w:rsid w:val="00A924DE"/>
    <w:rsid w:val="00A927CE"/>
    <w:rsid w:val="00A93313"/>
    <w:rsid w:val="00A93E82"/>
    <w:rsid w:val="00A93F87"/>
    <w:rsid w:val="00A9407E"/>
    <w:rsid w:val="00A94382"/>
    <w:rsid w:val="00A94B47"/>
    <w:rsid w:val="00A959EA"/>
    <w:rsid w:val="00A9774A"/>
    <w:rsid w:val="00AA0893"/>
    <w:rsid w:val="00AA0F09"/>
    <w:rsid w:val="00AA2EBB"/>
    <w:rsid w:val="00AA2FFA"/>
    <w:rsid w:val="00AA3AF8"/>
    <w:rsid w:val="00AA4155"/>
    <w:rsid w:val="00AA49B3"/>
    <w:rsid w:val="00AA4F5B"/>
    <w:rsid w:val="00AA51FA"/>
    <w:rsid w:val="00AA5220"/>
    <w:rsid w:val="00AA5466"/>
    <w:rsid w:val="00AA5D1A"/>
    <w:rsid w:val="00AA64FD"/>
    <w:rsid w:val="00AA65E2"/>
    <w:rsid w:val="00AA7594"/>
    <w:rsid w:val="00AA79FB"/>
    <w:rsid w:val="00AB029E"/>
    <w:rsid w:val="00AB197F"/>
    <w:rsid w:val="00AB1EDF"/>
    <w:rsid w:val="00AB2557"/>
    <w:rsid w:val="00AB3020"/>
    <w:rsid w:val="00AB3A57"/>
    <w:rsid w:val="00AB3B9A"/>
    <w:rsid w:val="00AB4DD2"/>
    <w:rsid w:val="00AB5D1D"/>
    <w:rsid w:val="00AB67BF"/>
    <w:rsid w:val="00AB74A7"/>
    <w:rsid w:val="00AB752E"/>
    <w:rsid w:val="00AB79DB"/>
    <w:rsid w:val="00AB7E46"/>
    <w:rsid w:val="00AC007D"/>
    <w:rsid w:val="00AC0FEF"/>
    <w:rsid w:val="00AC1548"/>
    <w:rsid w:val="00AC16F2"/>
    <w:rsid w:val="00AC2AB4"/>
    <w:rsid w:val="00AC32E5"/>
    <w:rsid w:val="00AC3595"/>
    <w:rsid w:val="00AC47C1"/>
    <w:rsid w:val="00AC52A9"/>
    <w:rsid w:val="00AC6817"/>
    <w:rsid w:val="00AC69E4"/>
    <w:rsid w:val="00AC6D95"/>
    <w:rsid w:val="00AC72D9"/>
    <w:rsid w:val="00AC732F"/>
    <w:rsid w:val="00AC79D8"/>
    <w:rsid w:val="00AC7F88"/>
    <w:rsid w:val="00AD1297"/>
    <w:rsid w:val="00AD4038"/>
    <w:rsid w:val="00AD403A"/>
    <w:rsid w:val="00AD4488"/>
    <w:rsid w:val="00AD4C1A"/>
    <w:rsid w:val="00AD5649"/>
    <w:rsid w:val="00AD56B3"/>
    <w:rsid w:val="00AD5716"/>
    <w:rsid w:val="00AD609C"/>
    <w:rsid w:val="00AD6ACA"/>
    <w:rsid w:val="00AD7CF5"/>
    <w:rsid w:val="00AE060E"/>
    <w:rsid w:val="00AE0A73"/>
    <w:rsid w:val="00AE0C1C"/>
    <w:rsid w:val="00AE1195"/>
    <w:rsid w:val="00AE1D23"/>
    <w:rsid w:val="00AE22E2"/>
    <w:rsid w:val="00AE270B"/>
    <w:rsid w:val="00AE283F"/>
    <w:rsid w:val="00AE3B40"/>
    <w:rsid w:val="00AE4B36"/>
    <w:rsid w:val="00AE5FA5"/>
    <w:rsid w:val="00AE6010"/>
    <w:rsid w:val="00AE6200"/>
    <w:rsid w:val="00AE6A7C"/>
    <w:rsid w:val="00AE7182"/>
    <w:rsid w:val="00AE7642"/>
    <w:rsid w:val="00AE7E7A"/>
    <w:rsid w:val="00AF058B"/>
    <w:rsid w:val="00AF1A3E"/>
    <w:rsid w:val="00AF1F1C"/>
    <w:rsid w:val="00AF2E7D"/>
    <w:rsid w:val="00AF2ED2"/>
    <w:rsid w:val="00AF2F98"/>
    <w:rsid w:val="00AF306C"/>
    <w:rsid w:val="00AF5150"/>
    <w:rsid w:val="00AF5A8D"/>
    <w:rsid w:val="00AF5C5B"/>
    <w:rsid w:val="00AF634A"/>
    <w:rsid w:val="00AF64EB"/>
    <w:rsid w:val="00AF72F0"/>
    <w:rsid w:val="00AF74B0"/>
    <w:rsid w:val="00B020F5"/>
    <w:rsid w:val="00B02A21"/>
    <w:rsid w:val="00B02CCC"/>
    <w:rsid w:val="00B03D48"/>
    <w:rsid w:val="00B04577"/>
    <w:rsid w:val="00B04B80"/>
    <w:rsid w:val="00B04CB6"/>
    <w:rsid w:val="00B052CD"/>
    <w:rsid w:val="00B05480"/>
    <w:rsid w:val="00B066EB"/>
    <w:rsid w:val="00B1096F"/>
    <w:rsid w:val="00B113E5"/>
    <w:rsid w:val="00B12488"/>
    <w:rsid w:val="00B13236"/>
    <w:rsid w:val="00B137C9"/>
    <w:rsid w:val="00B1400C"/>
    <w:rsid w:val="00B146ED"/>
    <w:rsid w:val="00B1489B"/>
    <w:rsid w:val="00B14ED1"/>
    <w:rsid w:val="00B1584A"/>
    <w:rsid w:val="00B16689"/>
    <w:rsid w:val="00B205E2"/>
    <w:rsid w:val="00B205F4"/>
    <w:rsid w:val="00B207A4"/>
    <w:rsid w:val="00B208D1"/>
    <w:rsid w:val="00B21D15"/>
    <w:rsid w:val="00B223B8"/>
    <w:rsid w:val="00B224C9"/>
    <w:rsid w:val="00B22540"/>
    <w:rsid w:val="00B230A9"/>
    <w:rsid w:val="00B2480B"/>
    <w:rsid w:val="00B24C9C"/>
    <w:rsid w:val="00B2544F"/>
    <w:rsid w:val="00B254AA"/>
    <w:rsid w:val="00B25891"/>
    <w:rsid w:val="00B2624F"/>
    <w:rsid w:val="00B2628D"/>
    <w:rsid w:val="00B26BC2"/>
    <w:rsid w:val="00B31B06"/>
    <w:rsid w:val="00B31DC2"/>
    <w:rsid w:val="00B32622"/>
    <w:rsid w:val="00B32945"/>
    <w:rsid w:val="00B3307F"/>
    <w:rsid w:val="00B33A75"/>
    <w:rsid w:val="00B34318"/>
    <w:rsid w:val="00B34C1E"/>
    <w:rsid w:val="00B357EE"/>
    <w:rsid w:val="00B364E4"/>
    <w:rsid w:val="00B36737"/>
    <w:rsid w:val="00B36DA7"/>
    <w:rsid w:val="00B371AF"/>
    <w:rsid w:val="00B37447"/>
    <w:rsid w:val="00B37902"/>
    <w:rsid w:val="00B37E7F"/>
    <w:rsid w:val="00B40A98"/>
    <w:rsid w:val="00B41C5D"/>
    <w:rsid w:val="00B41F45"/>
    <w:rsid w:val="00B431AD"/>
    <w:rsid w:val="00B43615"/>
    <w:rsid w:val="00B43D57"/>
    <w:rsid w:val="00B444EC"/>
    <w:rsid w:val="00B44D5A"/>
    <w:rsid w:val="00B44DCB"/>
    <w:rsid w:val="00B45E26"/>
    <w:rsid w:val="00B463C8"/>
    <w:rsid w:val="00B46DD1"/>
    <w:rsid w:val="00B473EC"/>
    <w:rsid w:val="00B47434"/>
    <w:rsid w:val="00B47970"/>
    <w:rsid w:val="00B47AB1"/>
    <w:rsid w:val="00B50983"/>
    <w:rsid w:val="00B51E81"/>
    <w:rsid w:val="00B5246A"/>
    <w:rsid w:val="00B530FF"/>
    <w:rsid w:val="00B53138"/>
    <w:rsid w:val="00B53A35"/>
    <w:rsid w:val="00B55461"/>
    <w:rsid w:val="00B5588C"/>
    <w:rsid w:val="00B55C5D"/>
    <w:rsid w:val="00B55F20"/>
    <w:rsid w:val="00B55F24"/>
    <w:rsid w:val="00B57318"/>
    <w:rsid w:val="00B60064"/>
    <w:rsid w:val="00B6129D"/>
    <w:rsid w:val="00B612BC"/>
    <w:rsid w:val="00B61979"/>
    <w:rsid w:val="00B623B4"/>
    <w:rsid w:val="00B637BC"/>
    <w:rsid w:val="00B63810"/>
    <w:rsid w:val="00B649AB"/>
    <w:rsid w:val="00B65A80"/>
    <w:rsid w:val="00B66062"/>
    <w:rsid w:val="00B678B9"/>
    <w:rsid w:val="00B67F97"/>
    <w:rsid w:val="00B70089"/>
    <w:rsid w:val="00B722F9"/>
    <w:rsid w:val="00B7251A"/>
    <w:rsid w:val="00B72738"/>
    <w:rsid w:val="00B72743"/>
    <w:rsid w:val="00B7534B"/>
    <w:rsid w:val="00B75C85"/>
    <w:rsid w:val="00B80492"/>
    <w:rsid w:val="00B81CAC"/>
    <w:rsid w:val="00B8266D"/>
    <w:rsid w:val="00B826C9"/>
    <w:rsid w:val="00B83076"/>
    <w:rsid w:val="00B838B8"/>
    <w:rsid w:val="00B83CF9"/>
    <w:rsid w:val="00B8463D"/>
    <w:rsid w:val="00B848FB"/>
    <w:rsid w:val="00B84D38"/>
    <w:rsid w:val="00B84EE5"/>
    <w:rsid w:val="00B8536B"/>
    <w:rsid w:val="00B85817"/>
    <w:rsid w:val="00B85CF6"/>
    <w:rsid w:val="00B8755B"/>
    <w:rsid w:val="00B87AF1"/>
    <w:rsid w:val="00B87FC9"/>
    <w:rsid w:val="00B9076D"/>
    <w:rsid w:val="00B91171"/>
    <w:rsid w:val="00B941C6"/>
    <w:rsid w:val="00B946F2"/>
    <w:rsid w:val="00B957FF"/>
    <w:rsid w:val="00B95E9B"/>
    <w:rsid w:val="00B9688D"/>
    <w:rsid w:val="00B969E4"/>
    <w:rsid w:val="00B97097"/>
    <w:rsid w:val="00B97317"/>
    <w:rsid w:val="00B97804"/>
    <w:rsid w:val="00BA01F7"/>
    <w:rsid w:val="00BA02B3"/>
    <w:rsid w:val="00BA16FD"/>
    <w:rsid w:val="00BA1A87"/>
    <w:rsid w:val="00BA320B"/>
    <w:rsid w:val="00BA3A62"/>
    <w:rsid w:val="00BA409D"/>
    <w:rsid w:val="00BA42FF"/>
    <w:rsid w:val="00BA4835"/>
    <w:rsid w:val="00BA4E39"/>
    <w:rsid w:val="00BA54FD"/>
    <w:rsid w:val="00BA6173"/>
    <w:rsid w:val="00BA67E5"/>
    <w:rsid w:val="00BA7532"/>
    <w:rsid w:val="00BB1559"/>
    <w:rsid w:val="00BB1AA6"/>
    <w:rsid w:val="00BB1E6B"/>
    <w:rsid w:val="00BB32D2"/>
    <w:rsid w:val="00BB33B5"/>
    <w:rsid w:val="00BB3F2C"/>
    <w:rsid w:val="00BB4357"/>
    <w:rsid w:val="00BB4423"/>
    <w:rsid w:val="00BB4AA8"/>
    <w:rsid w:val="00BB5B77"/>
    <w:rsid w:val="00BB5F29"/>
    <w:rsid w:val="00BB666A"/>
    <w:rsid w:val="00BB6A58"/>
    <w:rsid w:val="00BB7AD9"/>
    <w:rsid w:val="00BB7D83"/>
    <w:rsid w:val="00BB7D89"/>
    <w:rsid w:val="00BB7DA4"/>
    <w:rsid w:val="00BC0632"/>
    <w:rsid w:val="00BC0748"/>
    <w:rsid w:val="00BC219E"/>
    <w:rsid w:val="00BC2741"/>
    <w:rsid w:val="00BC28E5"/>
    <w:rsid w:val="00BC2B18"/>
    <w:rsid w:val="00BC2C89"/>
    <w:rsid w:val="00BC3396"/>
    <w:rsid w:val="00BC392D"/>
    <w:rsid w:val="00BC3974"/>
    <w:rsid w:val="00BC45E0"/>
    <w:rsid w:val="00BC49FC"/>
    <w:rsid w:val="00BC6039"/>
    <w:rsid w:val="00BC63B6"/>
    <w:rsid w:val="00BC67C6"/>
    <w:rsid w:val="00BC6BA7"/>
    <w:rsid w:val="00BC71AB"/>
    <w:rsid w:val="00BC73D2"/>
    <w:rsid w:val="00BC7618"/>
    <w:rsid w:val="00BD0343"/>
    <w:rsid w:val="00BD1C2E"/>
    <w:rsid w:val="00BD21DC"/>
    <w:rsid w:val="00BD2C78"/>
    <w:rsid w:val="00BD30D4"/>
    <w:rsid w:val="00BD3D0D"/>
    <w:rsid w:val="00BD3F05"/>
    <w:rsid w:val="00BD43E1"/>
    <w:rsid w:val="00BD7091"/>
    <w:rsid w:val="00BE00D6"/>
    <w:rsid w:val="00BE01A7"/>
    <w:rsid w:val="00BE04D9"/>
    <w:rsid w:val="00BE13AF"/>
    <w:rsid w:val="00BE1606"/>
    <w:rsid w:val="00BE1A60"/>
    <w:rsid w:val="00BE2626"/>
    <w:rsid w:val="00BE2789"/>
    <w:rsid w:val="00BE27A0"/>
    <w:rsid w:val="00BE299C"/>
    <w:rsid w:val="00BE2DC3"/>
    <w:rsid w:val="00BE2EE3"/>
    <w:rsid w:val="00BE386D"/>
    <w:rsid w:val="00BE39F2"/>
    <w:rsid w:val="00BE3EBD"/>
    <w:rsid w:val="00BE4035"/>
    <w:rsid w:val="00BE4A95"/>
    <w:rsid w:val="00BE51CD"/>
    <w:rsid w:val="00BE6B0B"/>
    <w:rsid w:val="00BE6DE1"/>
    <w:rsid w:val="00BE7A81"/>
    <w:rsid w:val="00BF0A13"/>
    <w:rsid w:val="00BF2561"/>
    <w:rsid w:val="00BF25E3"/>
    <w:rsid w:val="00BF2DA9"/>
    <w:rsid w:val="00BF3992"/>
    <w:rsid w:val="00BF3DE0"/>
    <w:rsid w:val="00BF4637"/>
    <w:rsid w:val="00BF4AFC"/>
    <w:rsid w:val="00BF5225"/>
    <w:rsid w:val="00BF5578"/>
    <w:rsid w:val="00BF584A"/>
    <w:rsid w:val="00BF5A5A"/>
    <w:rsid w:val="00BF637B"/>
    <w:rsid w:val="00BF6B46"/>
    <w:rsid w:val="00BF7713"/>
    <w:rsid w:val="00BF79D0"/>
    <w:rsid w:val="00BF7EC0"/>
    <w:rsid w:val="00C007ED"/>
    <w:rsid w:val="00C010EB"/>
    <w:rsid w:val="00C040EC"/>
    <w:rsid w:val="00C0487C"/>
    <w:rsid w:val="00C04CBF"/>
    <w:rsid w:val="00C04E5C"/>
    <w:rsid w:val="00C062FC"/>
    <w:rsid w:val="00C079BB"/>
    <w:rsid w:val="00C07B02"/>
    <w:rsid w:val="00C07DA7"/>
    <w:rsid w:val="00C10A21"/>
    <w:rsid w:val="00C12BD8"/>
    <w:rsid w:val="00C17229"/>
    <w:rsid w:val="00C2033C"/>
    <w:rsid w:val="00C20672"/>
    <w:rsid w:val="00C20E57"/>
    <w:rsid w:val="00C20F45"/>
    <w:rsid w:val="00C21525"/>
    <w:rsid w:val="00C21699"/>
    <w:rsid w:val="00C23C8B"/>
    <w:rsid w:val="00C24090"/>
    <w:rsid w:val="00C2478B"/>
    <w:rsid w:val="00C24D63"/>
    <w:rsid w:val="00C25230"/>
    <w:rsid w:val="00C255F1"/>
    <w:rsid w:val="00C258C0"/>
    <w:rsid w:val="00C25A75"/>
    <w:rsid w:val="00C25E52"/>
    <w:rsid w:val="00C26AF2"/>
    <w:rsid w:val="00C26AF7"/>
    <w:rsid w:val="00C27341"/>
    <w:rsid w:val="00C27EE3"/>
    <w:rsid w:val="00C31538"/>
    <w:rsid w:val="00C31720"/>
    <w:rsid w:val="00C31A20"/>
    <w:rsid w:val="00C31FCC"/>
    <w:rsid w:val="00C32133"/>
    <w:rsid w:val="00C3321A"/>
    <w:rsid w:val="00C340C7"/>
    <w:rsid w:val="00C3447B"/>
    <w:rsid w:val="00C3490D"/>
    <w:rsid w:val="00C358F9"/>
    <w:rsid w:val="00C37E3F"/>
    <w:rsid w:val="00C40B97"/>
    <w:rsid w:val="00C41AA6"/>
    <w:rsid w:val="00C41F02"/>
    <w:rsid w:val="00C427ED"/>
    <w:rsid w:val="00C42AC0"/>
    <w:rsid w:val="00C42B6C"/>
    <w:rsid w:val="00C42C63"/>
    <w:rsid w:val="00C44099"/>
    <w:rsid w:val="00C45581"/>
    <w:rsid w:val="00C45E84"/>
    <w:rsid w:val="00C461CE"/>
    <w:rsid w:val="00C461EA"/>
    <w:rsid w:val="00C46286"/>
    <w:rsid w:val="00C46714"/>
    <w:rsid w:val="00C4720C"/>
    <w:rsid w:val="00C477CA"/>
    <w:rsid w:val="00C5088C"/>
    <w:rsid w:val="00C516B8"/>
    <w:rsid w:val="00C51BFA"/>
    <w:rsid w:val="00C52342"/>
    <w:rsid w:val="00C52805"/>
    <w:rsid w:val="00C53544"/>
    <w:rsid w:val="00C54407"/>
    <w:rsid w:val="00C54EB9"/>
    <w:rsid w:val="00C55A5D"/>
    <w:rsid w:val="00C55B0B"/>
    <w:rsid w:val="00C56AF8"/>
    <w:rsid w:val="00C57281"/>
    <w:rsid w:val="00C57EF1"/>
    <w:rsid w:val="00C6095B"/>
    <w:rsid w:val="00C62019"/>
    <w:rsid w:val="00C62AFA"/>
    <w:rsid w:val="00C62EC0"/>
    <w:rsid w:val="00C63D91"/>
    <w:rsid w:val="00C64025"/>
    <w:rsid w:val="00C64650"/>
    <w:rsid w:val="00C646BF"/>
    <w:rsid w:val="00C64CD2"/>
    <w:rsid w:val="00C651D4"/>
    <w:rsid w:val="00C66246"/>
    <w:rsid w:val="00C66366"/>
    <w:rsid w:val="00C67024"/>
    <w:rsid w:val="00C67815"/>
    <w:rsid w:val="00C702F6"/>
    <w:rsid w:val="00C70C66"/>
    <w:rsid w:val="00C70DC5"/>
    <w:rsid w:val="00C70E8D"/>
    <w:rsid w:val="00C72912"/>
    <w:rsid w:val="00C7378A"/>
    <w:rsid w:val="00C75434"/>
    <w:rsid w:val="00C75893"/>
    <w:rsid w:val="00C7614A"/>
    <w:rsid w:val="00C770AA"/>
    <w:rsid w:val="00C81B5D"/>
    <w:rsid w:val="00C8274C"/>
    <w:rsid w:val="00C8338C"/>
    <w:rsid w:val="00C85CEE"/>
    <w:rsid w:val="00C86619"/>
    <w:rsid w:val="00C86F51"/>
    <w:rsid w:val="00C87171"/>
    <w:rsid w:val="00C87186"/>
    <w:rsid w:val="00C87574"/>
    <w:rsid w:val="00C90554"/>
    <w:rsid w:val="00C90DCD"/>
    <w:rsid w:val="00C90E51"/>
    <w:rsid w:val="00C91131"/>
    <w:rsid w:val="00C91CE6"/>
    <w:rsid w:val="00C92BD0"/>
    <w:rsid w:val="00C93900"/>
    <w:rsid w:val="00C93D1E"/>
    <w:rsid w:val="00C94B0D"/>
    <w:rsid w:val="00C953A4"/>
    <w:rsid w:val="00C959DA"/>
    <w:rsid w:val="00C95A43"/>
    <w:rsid w:val="00C964FF"/>
    <w:rsid w:val="00C9764D"/>
    <w:rsid w:val="00C977F6"/>
    <w:rsid w:val="00CA03BC"/>
    <w:rsid w:val="00CA0CD8"/>
    <w:rsid w:val="00CA0F21"/>
    <w:rsid w:val="00CA1977"/>
    <w:rsid w:val="00CA22AE"/>
    <w:rsid w:val="00CA39EF"/>
    <w:rsid w:val="00CA4A3F"/>
    <w:rsid w:val="00CA4F1E"/>
    <w:rsid w:val="00CA51AE"/>
    <w:rsid w:val="00CA5BEE"/>
    <w:rsid w:val="00CA622B"/>
    <w:rsid w:val="00CA662C"/>
    <w:rsid w:val="00CA689B"/>
    <w:rsid w:val="00CA6B1E"/>
    <w:rsid w:val="00CA6CDD"/>
    <w:rsid w:val="00CB0456"/>
    <w:rsid w:val="00CB06C9"/>
    <w:rsid w:val="00CB113F"/>
    <w:rsid w:val="00CB1A5D"/>
    <w:rsid w:val="00CB1D1F"/>
    <w:rsid w:val="00CB4A5C"/>
    <w:rsid w:val="00CB4E3E"/>
    <w:rsid w:val="00CB529F"/>
    <w:rsid w:val="00CB5C57"/>
    <w:rsid w:val="00CB64A4"/>
    <w:rsid w:val="00CB6D57"/>
    <w:rsid w:val="00CB6FC5"/>
    <w:rsid w:val="00CB7336"/>
    <w:rsid w:val="00CB7817"/>
    <w:rsid w:val="00CB7F23"/>
    <w:rsid w:val="00CC12E4"/>
    <w:rsid w:val="00CC2081"/>
    <w:rsid w:val="00CC2232"/>
    <w:rsid w:val="00CC279B"/>
    <w:rsid w:val="00CC3945"/>
    <w:rsid w:val="00CC3E75"/>
    <w:rsid w:val="00CC3EFD"/>
    <w:rsid w:val="00CC6105"/>
    <w:rsid w:val="00CC6CE4"/>
    <w:rsid w:val="00CC7449"/>
    <w:rsid w:val="00CC76F5"/>
    <w:rsid w:val="00CD094C"/>
    <w:rsid w:val="00CD0D76"/>
    <w:rsid w:val="00CD0D8E"/>
    <w:rsid w:val="00CD102B"/>
    <w:rsid w:val="00CD223F"/>
    <w:rsid w:val="00CD2EB3"/>
    <w:rsid w:val="00CD4563"/>
    <w:rsid w:val="00CD49EB"/>
    <w:rsid w:val="00CD4BF2"/>
    <w:rsid w:val="00CD5237"/>
    <w:rsid w:val="00CD52E3"/>
    <w:rsid w:val="00CD5F81"/>
    <w:rsid w:val="00CD7073"/>
    <w:rsid w:val="00CD7462"/>
    <w:rsid w:val="00CE1D7E"/>
    <w:rsid w:val="00CE296D"/>
    <w:rsid w:val="00CE29EE"/>
    <w:rsid w:val="00CE2A4F"/>
    <w:rsid w:val="00CE478B"/>
    <w:rsid w:val="00CE4DFA"/>
    <w:rsid w:val="00CE4ED0"/>
    <w:rsid w:val="00CE512C"/>
    <w:rsid w:val="00CE71AA"/>
    <w:rsid w:val="00CE72C7"/>
    <w:rsid w:val="00CF031B"/>
    <w:rsid w:val="00CF0928"/>
    <w:rsid w:val="00CF1409"/>
    <w:rsid w:val="00CF1919"/>
    <w:rsid w:val="00CF3335"/>
    <w:rsid w:val="00CF3F38"/>
    <w:rsid w:val="00CF4701"/>
    <w:rsid w:val="00CF5162"/>
    <w:rsid w:val="00CF5303"/>
    <w:rsid w:val="00CF5B57"/>
    <w:rsid w:val="00CF5C37"/>
    <w:rsid w:val="00CF637F"/>
    <w:rsid w:val="00CF726F"/>
    <w:rsid w:val="00D00E61"/>
    <w:rsid w:val="00D010A3"/>
    <w:rsid w:val="00D01754"/>
    <w:rsid w:val="00D02E15"/>
    <w:rsid w:val="00D046F1"/>
    <w:rsid w:val="00D04CCD"/>
    <w:rsid w:val="00D052D1"/>
    <w:rsid w:val="00D06113"/>
    <w:rsid w:val="00D0658F"/>
    <w:rsid w:val="00D067EE"/>
    <w:rsid w:val="00D06C06"/>
    <w:rsid w:val="00D10938"/>
    <w:rsid w:val="00D11C0E"/>
    <w:rsid w:val="00D11CE9"/>
    <w:rsid w:val="00D11D0F"/>
    <w:rsid w:val="00D11EB5"/>
    <w:rsid w:val="00D1234D"/>
    <w:rsid w:val="00D12F01"/>
    <w:rsid w:val="00D13047"/>
    <w:rsid w:val="00D14DA7"/>
    <w:rsid w:val="00D167F5"/>
    <w:rsid w:val="00D1733F"/>
    <w:rsid w:val="00D17A9F"/>
    <w:rsid w:val="00D17E10"/>
    <w:rsid w:val="00D20089"/>
    <w:rsid w:val="00D206AF"/>
    <w:rsid w:val="00D2118A"/>
    <w:rsid w:val="00D222B2"/>
    <w:rsid w:val="00D22742"/>
    <w:rsid w:val="00D23570"/>
    <w:rsid w:val="00D25939"/>
    <w:rsid w:val="00D259E9"/>
    <w:rsid w:val="00D26207"/>
    <w:rsid w:val="00D2644D"/>
    <w:rsid w:val="00D27D0B"/>
    <w:rsid w:val="00D27DF9"/>
    <w:rsid w:val="00D30184"/>
    <w:rsid w:val="00D309E6"/>
    <w:rsid w:val="00D30B7C"/>
    <w:rsid w:val="00D31048"/>
    <w:rsid w:val="00D31CCB"/>
    <w:rsid w:val="00D320D7"/>
    <w:rsid w:val="00D324AC"/>
    <w:rsid w:val="00D32695"/>
    <w:rsid w:val="00D328CD"/>
    <w:rsid w:val="00D33058"/>
    <w:rsid w:val="00D33099"/>
    <w:rsid w:val="00D33405"/>
    <w:rsid w:val="00D33AE0"/>
    <w:rsid w:val="00D33B88"/>
    <w:rsid w:val="00D3448F"/>
    <w:rsid w:val="00D347BD"/>
    <w:rsid w:val="00D34A50"/>
    <w:rsid w:val="00D34DAC"/>
    <w:rsid w:val="00D3506C"/>
    <w:rsid w:val="00D35404"/>
    <w:rsid w:val="00D36A04"/>
    <w:rsid w:val="00D37362"/>
    <w:rsid w:val="00D41629"/>
    <w:rsid w:val="00D42F25"/>
    <w:rsid w:val="00D43870"/>
    <w:rsid w:val="00D45AE2"/>
    <w:rsid w:val="00D4615E"/>
    <w:rsid w:val="00D466FC"/>
    <w:rsid w:val="00D46B01"/>
    <w:rsid w:val="00D478FA"/>
    <w:rsid w:val="00D50F2A"/>
    <w:rsid w:val="00D510C9"/>
    <w:rsid w:val="00D5127E"/>
    <w:rsid w:val="00D515E1"/>
    <w:rsid w:val="00D527AD"/>
    <w:rsid w:val="00D527C4"/>
    <w:rsid w:val="00D52ECA"/>
    <w:rsid w:val="00D54F9C"/>
    <w:rsid w:val="00D55C48"/>
    <w:rsid w:val="00D56C29"/>
    <w:rsid w:val="00D57459"/>
    <w:rsid w:val="00D603A5"/>
    <w:rsid w:val="00D607FD"/>
    <w:rsid w:val="00D61AC5"/>
    <w:rsid w:val="00D61FE7"/>
    <w:rsid w:val="00D62AAF"/>
    <w:rsid w:val="00D63061"/>
    <w:rsid w:val="00D64671"/>
    <w:rsid w:val="00D64781"/>
    <w:rsid w:val="00D66C4E"/>
    <w:rsid w:val="00D66EC3"/>
    <w:rsid w:val="00D67F34"/>
    <w:rsid w:val="00D7069C"/>
    <w:rsid w:val="00D71579"/>
    <w:rsid w:val="00D718F3"/>
    <w:rsid w:val="00D71A50"/>
    <w:rsid w:val="00D74014"/>
    <w:rsid w:val="00D74A96"/>
    <w:rsid w:val="00D74B32"/>
    <w:rsid w:val="00D751E0"/>
    <w:rsid w:val="00D752F1"/>
    <w:rsid w:val="00D75C1A"/>
    <w:rsid w:val="00D76233"/>
    <w:rsid w:val="00D765C3"/>
    <w:rsid w:val="00D768CF"/>
    <w:rsid w:val="00D770D5"/>
    <w:rsid w:val="00D77474"/>
    <w:rsid w:val="00D777D4"/>
    <w:rsid w:val="00D80283"/>
    <w:rsid w:val="00D81C55"/>
    <w:rsid w:val="00D82D96"/>
    <w:rsid w:val="00D84050"/>
    <w:rsid w:val="00D84924"/>
    <w:rsid w:val="00D84D9D"/>
    <w:rsid w:val="00D85BC7"/>
    <w:rsid w:val="00D86C80"/>
    <w:rsid w:val="00D90770"/>
    <w:rsid w:val="00D909F3"/>
    <w:rsid w:val="00D90C70"/>
    <w:rsid w:val="00D9208C"/>
    <w:rsid w:val="00D9220F"/>
    <w:rsid w:val="00D922BA"/>
    <w:rsid w:val="00D93C44"/>
    <w:rsid w:val="00D94CC0"/>
    <w:rsid w:val="00D94F9F"/>
    <w:rsid w:val="00D951CD"/>
    <w:rsid w:val="00D96777"/>
    <w:rsid w:val="00D96A31"/>
    <w:rsid w:val="00D96E0D"/>
    <w:rsid w:val="00DA14E1"/>
    <w:rsid w:val="00DA2DC2"/>
    <w:rsid w:val="00DA3FDA"/>
    <w:rsid w:val="00DA47FD"/>
    <w:rsid w:val="00DA4AF7"/>
    <w:rsid w:val="00DA4DE9"/>
    <w:rsid w:val="00DA5526"/>
    <w:rsid w:val="00DA60C7"/>
    <w:rsid w:val="00DA6380"/>
    <w:rsid w:val="00DB008E"/>
    <w:rsid w:val="00DB08C1"/>
    <w:rsid w:val="00DB0C12"/>
    <w:rsid w:val="00DB12B4"/>
    <w:rsid w:val="00DB12F7"/>
    <w:rsid w:val="00DB2438"/>
    <w:rsid w:val="00DB260F"/>
    <w:rsid w:val="00DB5026"/>
    <w:rsid w:val="00DB57EF"/>
    <w:rsid w:val="00DB590E"/>
    <w:rsid w:val="00DB5A8D"/>
    <w:rsid w:val="00DB5EA3"/>
    <w:rsid w:val="00DB6F77"/>
    <w:rsid w:val="00DB7A63"/>
    <w:rsid w:val="00DC01A0"/>
    <w:rsid w:val="00DC04E0"/>
    <w:rsid w:val="00DC0B68"/>
    <w:rsid w:val="00DC0FBE"/>
    <w:rsid w:val="00DC151E"/>
    <w:rsid w:val="00DC17D7"/>
    <w:rsid w:val="00DC1F86"/>
    <w:rsid w:val="00DC29C1"/>
    <w:rsid w:val="00DC3AD1"/>
    <w:rsid w:val="00DC4C15"/>
    <w:rsid w:val="00DC6528"/>
    <w:rsid w:val="00DC6CD1"/>
    <w:rsid w:val="00DC6DDB"/>
    <w:rsid w:val="00DC7956"/>
    <w:rsid w:val="00DC7B00"/>
    <w:rsid w:val="00DD0885"/>
    <w:rsid w:val="00DD1729"/>
    <w:rsid w:val="00DD1F43"/>
    <w:rsid w:val="00DD3514"/>
    <w:rsid w:val="00DD35EA"/>
    <w:rsid w:val="00DD37FC"/>
    <w:rsid w:val="00DD412E"/>
    <w:rsid w:val="00DD4771"/>
    <w:rsid w:val="00DD491F"/>
    <w:rsid w:val="00DD4EBB"/>
    <w:rsid w:val="00DD50BE"/>
    <w:rsid w:val="00DD54D0"/>
    <w:rsid w:val="00DD5E35"/>
    <w:rsid w:val="00DD76D1"/>
    <w:rsid w:val="00DD7FA6"/>
    <w:rsid w:val="00DE0A55"/>
    <w:rsid w:val="00DE30CB"/>
    <w:rsid w:val="00DE31D3"/>
    <w:rsid w:val="00DE39DA"/>
    <w:rsid w:val="00DE3F1B"/>
    <w:rsid w:val="00DE4339"/>
    <w:rsid w:val="00DE484F"/>
    <w:rsid w:val="00DE4E06"/>
    <w:rsid w:val="00DE5BF9"/>
    <w:rsid w:val="00DE5FB4"/>
    <w:rsid w:val="00DE6071"/>
    <w:rsid w:val="00DE644B"/>
    <w:rsid w:val="00DE6F7A"/>
    <w:rsid w:val="00DE707B"/>
    <w:rsid w:val="00DE7A7E"/>
    <w:rsid w:val="00DE7BB1"/>
    <w:rsid w:val="00DF0556"/>
    <w:rsid w:val="00DF123A"/>
    <w:rsid w:val="00DF3A43"/>
    <w:rsid w:val="00DF3FAE"/>
    <w:rsid w:val="00DF422B"/>
    <w:rsid w:val="00DF527A"/>
    <w:rsid w:val="00DF52C6"/>
    <w:rsid w:val="00DF5CD2"/>
    <w:rsid w:val="00DF620E"/>
    <w:rsid w:val="00DF6AE3"/>
    <w:rsid w:val="00DF74B7"/>
    <w:rsid w:val="00DF7DD3"/>
    <w:rsid w:val="00DF7E4C"/>
    <w:rsid w:val="00E00161"/>
    <w:rsid w:val="00E0075B"/>
    <w:rsid w:val="00E010D3"/>
    <w:rsid w:val="00E0122C"/>
    <w:rsid w:val="00E03035"/>
    <w:rsid w:val="00E037EC"/>
    <w:rsid w:val="00E03F75"/>
    <w:rsid w:val="00E0432A"/>
    <w:rsid w:val="00E05B7F"/>
    <w:rsid w:val="00E06609"/>
    <w:rsid w:val="00E067CE"/>
    <w:rsid w:val="00E070DD"/>
    <w:rsid w:val="00E07BC9"/>
    <w:rsid w:val="00E10022"/>
    <w:rsid w:val="00E10528"/>
    <w:rsid w:val="00E10A72"/>
    <w:rsid w:val="00E11EC0"/>
    <w:rsid w:val="00E13326"/>
    <w:rsid w:val="00E1342B"/>
    <w:rsid w:val="00E13551"/>
    <w:rsid w:val="00E14316"/>
    <w:rsid w:val="00E15419"/>
    <w:rsid w:val="00E16335"/>
    <w:rsid w:val="00E164B3"/>
    <w:rsid w:val="00E2066C"/>
    <w:rsid w:val="00E20BA3"/>
    <w:rsid w:val="00E20EBD"/>
    <w:rsid w:val="00E21AB0"/>
    <w:rsid w:val="00E21D9C"/>
    <w:rsid w:val="00E2256F"/>
    <w:rsid w:val="00E22FC8"/>
    <w:rsid w:val="00E230F2"/>
    <w:rsid w:val="00E23753"/>
    <w:rsid w:val="00E243D2"/>
    <w:rsid w:val="00E254CE"/>
    <w:rsid w:val="00E25D2D"/>
    <w:rsid w:val="00E25D91"/>
    <w:rsid w:val="00E26090"/>
    <w:rsid w:val="00E265D3"/>
    <w:rsid w:val="00E26F00"/>
    <w:rsid w:val="00E27A88"/>
    <w:rsid w:val="00E27C11"/>
    <w:rsid w:val="00E27DAE"/>
    <w:rsid w:val="00E30A43"/>
    <w:rsid w:val="00E31FBD"/>
    <w:rsid w:val="00E32C45"/>
    <w:rsid w:val="00E330C2"/>
    <w:rsid w:val="00E3326C"/>
    <w:rsid w:val="00E33C13"/>
    <w:rsid w:val="00E347E3"/>
    <w:rsid w:val="00E353EB"/>
    <w:rsid w:val="00E3599C"/>
    <w:rsid w:val="00E363A2"/>
    <w:rsid w:val="00E3695B"/>
    <w:rsid w:val="00E36D0A"/>
    <w:rsid w:val="00E40174"/>
    <w:rsid w:val="00E4034B"/>
    <w:rsid w:val="00E4083C"/>
    <w:rsid w:val="00E41136"/>
    <w:rsid w:val="00E41BDD"/>
    <w:rsid w:val="00E41F9F"/>
    <w:rsid w:val="00E43162"/>
    <w:rsid w:val="00E4398E"/>
    <w:rsid w:val="00E4432A"/>
    <w:rsid w:val="00E444C1"/>
    <w:rsid w:val="00E44C6C"/>
    <w:rsid w:val="00E45856"/>
    <w:rsid w:val="00E45C1E"/>
    <w:rsid w:val="00E46F66"/>
    <w:rsid w:val="00E47388"/>
    <w:rsid w:val="00E47D9A"/>
    <w:rsid w:val="00E47EDF"/>
    <w:rsid w:val="00E500AC"/>
    <w:rsid w:val="00E506BB"/>
    <w:rsid w:val="00E517E3"/>
    <w:rsid w:val="00E51BEB"/>
    <w:rsid w:val="00E52A50"/>
    <w:rsid w:val="00E52FF4"/>
    <w:rsid w:val="00E5339B"/>
    <w:rsid w:val="00E53651"/>
    <w:rsid w:val="00E549E2"/>
    <w:rsid w:val="00E57264"/>
    <w:rsid w:val="00E57289"/>
    <w:rsid w:val="00E57345"/>
    <w:rsid w:val="00E577B6"/>
    <w:rsid w:val="00E60A9A"/>
    <w:rsid w:val="00E60CD5"/>
    <w:rsid w:val="00E60EB8"/>
    <w:rsid w:val="00E6109A"/>
    <w:rsid w:val="00E61606"/>
    <w:rsid w:val="00E61E95"/>
    <w:rsid w:val="00E62814"/>
    <w:rsid w:val="00E63341"/>
    <w:rsid w:val="00E63601"/>
    <w:rsid w:val="00E64141"/>
    <w:rsid w:val="00E64760"/>
    <w:rsid w:val="00E66E1E"/>
    <w:rsid w:val="00E67FA2"/>
    <w:rsid w:val="00E7039A"/>
    <w:rsid w:val="00E70CF8"/>
    <w:rsid w:val="00E70EAC"/>
    <w:rsid w:val="00E715F8"/>
    <w:rsid w:val="00E71E5C"/>
    <w:rsid w:val="00E7237C"/>
    <w:rsid w:val="00E72B9F"/>
    <w:rsid w:val="00E7326A"/>
    <w:rsid w:val="00E74628"/>
    <w:rsid w:val="00E747A6"/>
    <w:rsid w:val="00E748E9"/>
    <w:rsid w:val="00E74A41"/>
    <w:rsid w:val="00E74C30"/>
    <w:rsid w:val="00E74CCF"/>
    <w:rsid w:val="00E75F7D"/>
    <w:rsid w:val="00E769BF"/>
    <w:rsid w:val="00E776AC"/>
    <w:rsid w:val="00E81160"/>
    <w:rsid w:val="00E812F7"/>
    <w:rsid w:val="00E81370"/>
    <w:rsid w:val="00E81626"/>
    <w:rsid w:val="00E826E4"/>
    <w:rsid w:val="00E82B22"/>
    <w:rsid w:val="00E82D8F"/>
    <w:rsid w:val="00E83C83"/>
    <w:rsid w:val="00E84CBA"/>
    <w:rsid w:val="00E86383"/>
    <w:rsid w:val="00E86814"/>
    <w:rsid w:val="00E8693D"/>
    <w:rsid w:val="00E86BCA"/>
    <w:rsid w:val="00E86EA6"/>
    <w:rsid w:val="00E871DD"/>
    <w:rsid w:val="00E87306"/>
    <w:rsid w:val="00E874E0"/>
    <w:rsid w:val="00E87535"/>
    <w:rsid w:val="00E90B99"/>
    <w:rsid w:val="00E9179D"/>
    <w:rsid w:val="00E92F16"/>
    <w:rsid w:val="00E92FBF"/>
    <w:rsid w:val="00E92FFB"/>
    <w:rsid w:val="00E93154"/>
    <w:rsid w:val="00E93CEC"/>
    <w:rsid w:val="00E940B9"/>
    <w:rsid w:val="00E95921"/>
    <w:rsid w:val="00E95A93"/>
    <w:rsid w:val="00E9616C"/>
    <w:rsid w:val="00E96788"/>
    <w:rsid w:val="00EA198F"/>
    <w:rsid w:val="00EA1D2B"/>
    <w:rsid w:val="00EA2089"/>
    <w:rsid w:val="00EA2F2A"/>
    <w:rsid w:val="00EA4296"/>
    <w:rsid w:val="00EA45F8"/>
    <w:rsid w:val="00EA565F"/>
    <w:rsid w:val="00EA57B1"/>
    <w:rsid w:val="00EA60CC"/>
    <w:rsid w:val="00EA665F"/>
    <w:rsid w:val="00EA70AA"/>
    <w:rsid w:val="00EB0CF6"/>
    <w:rsid w:val="00EB1542"/>
    <w:rsid w:val="00EB18C1"/>
    <w:rsid w:val="00EB1F91"/>
    <w:rsid w:val="00EB20C3"/>
    <w:rsid w:val="00EB25AF"/>
    <w:rsid w:val="00EB2A78"/>
    <w:rsid w:val="00EB2E10"/>
    <w:rsid w:val="00EB5025"/>
    <w:rsid w:val="00EB5A0F"/>
    <w:rsid w:val="00EB61C1"/>
    <w:rsid w:val="00EB6214"/>
    <w:rsid w:val="00EB634D"/>
    <w:rsid w:val="00EB668E"/>
    <w:rsid w:val="00EB67DB"/>
    <w:rsid w:val="00EB6B88"/>
    <w:rsid w:val="00EB6F52"/>
    <w:rsid w:val="00EC01E3"/>
    <w:rsid w:val="00EC0863"/>
    <w:rsid w:val="00EC0AC4"/>
    <w:rsid w:val="00EC0F74"/>
    <w:rsid w:val="00EC10CE"/>
    <w:rsid w:val="00EC207D"/>
    <w:rsid w:val="00EC2180"/>
    <w:rsid w:val="00EC3474"/>
    <w:rsid w:val="00EC35B8"/>
    <w:rsid w:val="00EC3B03"/>
    <w:rsid w:val="00EC3B30"/>
    <w:rsid w:val="00EC3C4C"/>
    <w:rsid w:val="00EC41BD"/>
    <w:rsid w:val="00EC4644"/>
    <w:rsid w:val="00EC4BDC"/>
    <w:rsid w:val="00EC5146"/>
    <w:rsid w:val="00EC5DF2"/>
    <w:rsid w:val="00EC6099"/>
    <w:rsid w:val="00EC62FA"/>
    <w:rsid w:val="00EC6A58"/>
    <w:rsid w:val="00EC7A20"/>
    <w:rsid w:val="00ED0C0A"/>
    <w:rsid w:val="00ED1575"/>
    <w:rsid w:val="00ED1713"/>
    <w:rsid w:val="00ED2171"/>
    <w:rsid w:val="00ED2724"/>
    <w:rsid w:val="00ED2F34"/>
    <w:rsid w:val="00ED3378"/>
    <w:rsid w:val="00ED3BEF"/>
    <w:rsid w:val="00ED3E30"/>
    <w:rsid w:val="00ED4545"/>
    <w:rsid w:val="00ED4E1D"/>
    <w:rsid w:val="00ED4FB3"/>
    <w:rsid w:val="00ED5B07"/>
    <w:rsid w:val="00ED5F9E"/>
    <w:rsid w:val="00ED615A"/>
    <w:rsid w:val="00ED61B9"/>
    <w:rsid w:val="00ED73D5"/>
    <w:rsid w:val="00ED7BDF"/>
    <w:rsid w:val="00EE0571"/>
    <w:rsid w:val="00EE1901"/>
    <w:rsid w:val="00EE2277"/>
    <w:rsid w:val="00EE2CFC"/>
    <w:rsid w:val="00EE31AC"/>
    <w:rsid w:val="00EE38DE"/>
    <w:rsid w:val="00EE3A44"/>
    <w:rsid w:val="00EE40A5"/>
    <w:rsid w:val="00EE4992"/>
    <w:rsid w:val="00EE52F1"/>
    <w:rsid w:val="00EE52F2"/>
    <w:rsid w:val="00EE6080"/>
    <w:rsid w:val="00EE6484"/>
    <w:rsid w:val="00EE64CC"/>
    <w:rsid w:val="00EE6866"/>
    <w:rsid w:val="00EE7498"/>
    <w:rsid w:val="00EF03C0"/>
    <w:rsid w:val="00EF111F"/>
    <w:rsid w:val="00EF14DE"/>
    <w:rsid w:val="00EF156D"/>
    <w:rsid w:val="00EF15C4"/>
    <w:rsid w:val="00EF16BF"/>
    <w:rsid w:val="00EF2231"/>
    <w:rsid w:val="00EF2CCA"/>
    <w:rsid w:val="00EF2D1B"/>
    <w:rsid w:val="00EF353A"/>
    <w:rsid w:val="00EF4C06"/>
    <w:rsid w:val="00EF4EF1"/>
    <w:rsid w:val="00EF51ED"/>
    <w:rsid w:val="00EF561C"/>
    <w:rsid w:val="00EF5736"/>
    <w:rsid w:val="00EF59CE"/>
    <w:rsid w:val="00EF5D5E"/>
    <w:rsid w:val="00EF5D86"/>
    <w:rsid w:val="00EF6191"/>
    <w:rsid w:val="00EF624C"/>
    <w:rsid w:val="00EF682E"/>
    <w:rsid w:val="00EF73F6"/>
    <w:rsid w:val="00F00525"/>
    <w:rsid w:val="00F009B5"/>
    <w:rsid w:val="00F00BB6"/>
    <w:rsid w:val="00F018DC"/>
    <w:rsid w:val="00F0195D"/>
    <w:rsid w:val="00F024A1"/>
    <w:rsid w:val="00F0273F"/>
    <w:rsid w:val="00F02F81"/>
    <w:rsid w:val="00F02FA9"/>
    <w:rsid w:val="00F0305A"/>
    <w:rsid w:val="00F03528"/>
    <w:rsid w:val="00F0396C"/>
    <w:rsid w:val="00F048CC"/>
    <w:rsid w:val="00F064A7"/>
    <w:rsid w:val="00F07DD5"/>
    <w:rsid w:val="00F1025D"/>
    <w:rsid w:val="00F10B57"/>
    <w:rsid w:val="00F10D2A"/>
    <w:rsid w:val="00F10DD3"/>
    <w:rsid w:val="00F11313"/>
    <w:rsid w:val="00F12876"/>
    <w:rsid w:val="00F12BC3"/>
    <w:rsid w:val="00F14236"/>
    <w:rsid w:val="00F14745"/>
    <w:rsid w:val="00F14CFD"/>
    <w:rsid w:val="00F16437"/>
    <w:rsid w:val="00F16706"/>
    <w:rsid w:val="00F16B54"/>
    <w:rsid w:val="00F1703C"/>
    <w:rsid w:val="00F20D58"/>
    <w:rsid w:val="00F2155D"/>
    <w:rsid w:val="00F21A66"/>
    <w:rsid w:val="00F21ADD"/>
    <w:rsid w:val="00F220BE"/>
    <w:rsid w:val="00F227EF"/>
    <w:rsid w:val="00F22D8C"/>
    <w:rsid w:val="00F22DC2"/>
    <w:rsid w:val="00F23337"/>
    <w:rsid w:val="00F23A23"/>
    <w:rsid w:val="00F2484B"/>
    <w:rsid w:val="00F24CBA"/>
    <w:rsid w:val="00F250A6"/>
    <w:rsid w:val="00F260CF"/>
    <w:rsid w:val="00F261F3"/>
    <w:rsid w:val="00F2626A"/>
    <w:rsid w:val="00F2642E"/>
    <w:rsid w:val="00F26885"/>
    <w:rsid w:val="00F300E8"/>
    <w:rsid w:val="00F3101C"/>
    <w:rsid w:val="00F3168B"/>
    <w:rsid w:val="00F317A6"/>
    <w:rsid w:val="00F3259D"/>
    <w:rsid w:val="00F328E9"/>
    <w:rsid w:val="00F33224"/>
    <w:rsid w:val="00F33DD2"/>
    <w:rsid w:val="00F34CB7"/>
    <w:rsid w:val="00F34EE0"/>
    <w:rsid w:val="00F3565A"/>
    <w:rsid w:val="00F35920"/>
    <w:rsid w:val="00F35D39"/>
    <w:rsid w:val="00F36CB8"/>
    <w:rsid w:val="00F40501"/>
    <w:rsid w:val="00F413ED"/>
    <w:rsid w:val="00F41557"/>
    <w:rsid w:val="00F41DD9"/>
    <w:rsid w:val="00F42BF2"/>
    <w:rsid w:val="00F443DD"/>
    <w:rsid w:val="00F44EE6"/>
    <w:rsid w:val="00F4505D"/>
    <w:rsid w:val="00F45089"/>
    <w:rsid w:val="00F457F0"/>
    <w:rsid w:val="00F47B92"/>
    <w:rsid w:val="00F47D4B"/>
    <w:rsid w:val="00F5032D"/>
    <w:rsid w:val="00F50770"/>
    <w:rsid w:val="00F5175C"/>
    <w:rsid w:val="00F517E9"/>
    <w:rsid w:val="00F525E3"/>
    <w:rsid w:val="00F528F0"/>
    <w:rsid w:val="00F52A04"/>
    <w:rsid w:val="00F52EDC"/>
    <w:rsid w:val="00F53704"/>
    <w:rsid w:val="00F53EDB"/>
    <w:rsid w:val="00F54C1E"/>
    <w:rsid w:val="00F563E2"/>
    <w:rsid w:val="00F572F4"/>
    <w:rsid w:val="00F57A0F"/>
    <w:rsid w:val="00F57C64"/>
    <w:rsid w:val="00F607EF"/>
    <w:rsid w:val="00F60C56"/>
    <w:rsid w:val="00F6178F"/>
    <w:rsid w:val="00F61EC1"/>
    <w:rsid w:val="00F6203D"/>
    <w:rsid w:val="00F62318"/>
    <w:rsid w:val="00F63A58"/>
    <w:rsid w:val="00F656B6"/>
    <w:rsid w:val="00F65C6D"/>
    <w:rsid w:val="00F66197"/>
    <w:rsid w:val="00F66AB4"/>
    <w:rsid w:val="00F67235"/>
    <w:rsid w:val="00F673C1"/>
    <w:rsid w:val="00F67A44"/>
    <w:rsid w:val="00F706F6"/>
    <w:rsid w:val="00F70A9F"/>
    <w:rsid w:val="00F716CE"/>
    <w:rsid w:val="00F71FEF"/>
    <w:rsid w:val="00F72329"/>
    <w:rsid w:val="00F73380"/>
    <w:rsid w:val="00F7340D"/>
    <w:rsid w:val="00F746B0"/>
    <w:rsid w:val="00F75292"/>
    <w:rsid w:val="00F75B60"/>
    <w:rsid w:val="00F76384"/>
    <w:rsid w:val="00F763D1"/>
    <w:rsid w:val="00F7645C"/>
    <w:rsid w:val="00F766C8"/>
    <w:rsid w:val="00F7765F"/>
    <w:rsid w:val="00F776DD"/>
    <w:rsid w:val="00F777F0"/>
    <w:rsid w:val="00F803C0"/>
    <w:rsid w:val="00F804A1"/>
    <w:rsid w:val="00F8066B"/>
    <w:rsid w:val="00F80CE3"/>
    <w:rsid w:val="00F812FB"/>
    <w:rsid w:val="00F8168E"/>
    <w:rsid w:val="00F81E6F"/>
    <w:rsid w:val="00F82425"/>
    <w:rsid w:val="00F829D9"/>
    <w:rsid w:val="00F82EB7"/>
    <w:rsid w:val="00F82F65"/>
    <w:rsid w:val="00F832B4"/>
    <w:rsid w:val="00F834B3"/>
    <w:rsid w:val="00F837AE"/>
    <w:rsid w:val="00F83A0E"/>
    <w:rsid w:val="00F84FF4"/>
    <w:rsid w:val="00F85212"/>
    <w:rsid w:val="00F852BB"/>
    <w:rsid w:val="00F85FAF"/>
    <w:rsid w:val="00F85FE3"/>
    <w:rsid w:val="00F86A98"/>
    <w:rsid w:val="00F86E60"/>
    <w:rsid w:val="00F871B8"/>
    <w:rsid w:val="00F87854"/>
    <w:rsid w:val="00F87951"/>
    <w:rsid w:val="00F87BFC"/>
    <w:rsid w:val="00F90B1C"/>
    <w:rsid w:val="00F91045"/>
    <w:rsid w:val="00F9182D"/>
    <w:rsid w:val="00F93965"/>
    <w:rsid w:val="00F942D1"/>
    <w:rsid w:val="00F951E5"/>
    <w:rsid w:val="00F954BF"/>
    <w:rsid w:val="00F95B86"/>
    <w:rsid w:val="00F962D0"/>
    <w:rsid w:val="00F96AD0"/>
    <w:rsid w:val="00F9728B"/>
    <w:rsid w:val="00FA07F7"/>
    <w:rsid w:val="00FA14E7"/>
    <w:rsid w:val="00FA34A2"/>
    <w:rsid w:val="00FA3E7E"/>
    <w:rsid w:val="00FA4B09"/>
    <w:rsid w:val="00FA5065"/>
    <w:rsid w:val="00FA78C5"/>
    <w:rsid w:val="00FB01CF"/>
    <w:rsid w:val="00FB084F"/>
    <w:rsid w:val="00FB0E8C"/>
    <w:rsid w:val="00FB1753"/>
    <w:rsid w:val="00FB1876"/>
    <w:rsid w:val="00FB359B"/>
    <w:rsid w:val="00FB483D"/>
    <w:rsid w:val="00FB4948"/>
    <w:rsid w:val="00FC00D1"/>
    <w:rsid w:val="00FC1539"/>
    <w:rsid w:val="00FC15B2"/>
    <w:rsid w:val="00FC1C37"/>
    <w:rsid w:val="00FC281D"/>
    <w:rsid w:val="00FC2AA7"/>
    <w:rsid w:val="00FC2C1E"/>
    <w:rsid w:val="00FC3159"/>
    <w:rsid w:val="00FC3C3F"/>
    <w:rsid w:val="00FC3CAB"/>
    <w:rsid w:val="00FC4CFE"/>
    <w:rsid w:val="00FC4E64"/>
    <w:rsid w:val="00FC4FDA"/>
    <w:rsid w:val="00FC50F5"/>
    <w:rsid w:val="00FC53CF"/>
    <w:rsid w:val="00FC5421"/>
    <w:rsid w:val="00FC5B69"/>
    <w:rsid w:val="00FC5FF9"/>
    <w:rsid w:val="00FC6345"/>
    <w:rsid w:val="00FC7D63"/>
    <w:rsid w:val="00FD036A"/>
    <w:rsid w:val="00FD0755"/>
    <w:rsid w:val="00FD0D80"/>
    <w:rsid w:val="00FD1A56"/>
    <w:rsid w:val="00FD1B09"/>
    <w:rsid w:val="00FD2676"/>
    <w:rsid w:val="00FD3E89"/>
    <w:rsid w:val="00FD3EE9"/>
    <w:rsid w:val="00FD4004"/>
    <w:rsid w:val="00FD40BD"/>
    <w:rsid w:val="00FD48E7"/>
    <w:rsid w:val="00FD5090"/>
    <w:rsid w:val="00FD5B40"/>
    <w:rsid w:val="00FD5C75"/>
    <w:rsid w:val="00FD6313"/>
    <w:rsid w:val="00FD646A"/>
    <w:rsid w:val="00FD6866"/>
    <w:rsid w:val="00FD7374"/>
    <w:rsid w:val="00FD7581"/>
    <w:rsid w:val="00FD78B8"/>
    <w:rsid w:val="00FD792B"/>
    <w:rsid w:val="00FD7B8B"/>
    <w:rsid w:val="00FD7DFB"/>
    <w:rsid w:val="00FD7E4C"/>
    <w:rsid w:val="00FE0797"/>
    <w:rsid w:val="00FE1236"/>
    <w:rsid w:val="00FE138A"/>
    <w:rsid w:val="00FE1754"/>
    <w:rsid w:val="00FE1821"/>
    <w:rsid w:val="00FE1D02"/>
    <w:rsid w:val="00FE20B9"/>
    <w:rsid w:val="00FE425A"/>
    <w:rsid w:val="00FE5511"/>
    <w:rsid w:val="00FE5550"/>
    <w:rsid w:val="00FE56A3"/>
    <w:rsid w:val="00FE56EB"/>
    <w:rsid w:val="00FE5CC8"/>
    <w:rsid w:val="00FE756E"/>
    <w:rsid w:val="00FE79E4"/>
    <w:rsid w:val="00FE7D42"/>
    <w:rsid w:val="00FF0B27"/>
    <w:rsid w:val="00FF1EA3"/>
    <w:rsid w:val="00FF27B5"/>
    <w:rsid w:val="00FF2CC5"/>
    <w:rsid w:val="00FF3F6A"/>
    <w:rsid w:val="00FF5046"/>
    <w:rsid w:val="00FF64EC"/>
    <w:rsid w:val="00FF672A"/>
    <w:rsid w:val="00FF70E3"/>
    <w:rsid w:val="01CE5D38"/>
    <w:rsid w:val="028F51CC"/>
    <w:rsid w:val="02B45EB8"/>
    <w:rsid w:val="02E02FB3"/>
    <w:rsid w:val="04B077A4"/>
    <w:rsid w:val="04CC227B"/>
    <w:rsid w:val="05801F95"/>
    <w:rsid w:val="0582761E"/>
    <w:rsid w:val="05C61F0C"/>
    <w:rsid w:val="060C129B"/>
    <w:rsid w:val="06B533ED"/>
    <w:rsid w:val="07634BF4"/>
    <w:rsid w:val="07844A8B"/>
    <w:rsid w:val="07BC136A"/>
    <w:rsid w:val="08B248BD"/>
    <w:rsid w:val="09AB20DD"/>
    <w:rsid w:val="09D30340"/>
    <w:rsid w:val="0A0E26AC"/>
    <w:rsid w:val="0BD1074A"/>
    <w:rsid w:val="0C61044C"/>
    <w:rsid w:val="0C6A0760"/>
    <w:rsid w:val="0D026E68"/>
    <w:rsid w:val="0D053803"/>
    <w:rsid w:val="0F577D49"/>
    <w:rsid w:val="0F655282"/>
    <w:rsid w:val="0FAE35ED"/>
    <w:rsid w:val="102A6E25"/>
    <w:rsid w:val="109E47A9"/>
    <w:rsid w:val="10A5627E"/>
    <w:rsid w:val="11196FB6"/>
    <w:rsid w:val="11561326"/>
    <w:rsid w:val="11D8475E"/>
    <w:rsid w:val="122819A3"/>
    <w:rsid w:val="12F9192A"/>
    <w:rsid w:val="13181ABC"/>
    <w:rsid w:val="132579DC"/>
    <w:rsid w:val="13B6237B"/>
    <w:rsid w:val="15233C15"/>
    <w:rsid w:val="162501CA"/>
    <w:rsid w:val="167976D5"/>
    <w:rsid w:val="17B544D6"/>
    <w:rsid w:val="18EF6370"/>
    <w:rsid w:val="191F1517"/>
    <w:rsid w:val="193C456E"/>
    <w:rsid w:val="19C00A84"/>
    <w:rsid w:val="19D4489B"/>
    <w:rsid w:val="1A23439D"/>
    <w:rsid w:val="1B3A3A66"/>
    <w:rsid w:val="1B5A5B16"/>
    <w:rsid w:val="1C541E06"/>
    <w:rsid w:val="1C8531F9"/>
    <w:rsid w:val="1E450CE8"/>
    <w:rsid w:val="1E8A6F74"/>
    <w:rsid w:val="1EC57EC1"/>
    <w:rsid w:val="1FE67D19"/>
    <w:rsid w:val="201D5FF4"/>
    <w:rsid w:val="203131C0"/>
    <w:rsid w:val="204643A0"/>
    <w:rsid w:val="2049683A"/>
    <w:rsid w:val="204B2347"/>
    <w:rsid w:val="20A76F0C"/>
    <w:rsid w:val="212154AC"/>
    <w:rsid w:val="21747135"/>
    <w:rsid w:val="21BD39AD"/>
    <w:rsid w:val="21C36564"/>
    <w:rsid w:val="21D036EB"/>
    <w:rsid w:val="227E1146"/>
    <w:rsid w:val="23595560"/>
    <w:rsid w:val="240B669A"/>
    <w:rsid w:val="24D86FD2"/>
    <w:rsid w:val="251236EC"/>
    <w:rsid w:val="26676E0F"/>
    <w:rsid w:val="26A5271A"/>
    <w:rsid w:val="272A498F"/>
    <w:rsid w:val="278A0834"/>
    <w:rsid w:val="28061AEA"/>
    <w:rsid w:val="28167C05"/>
    <w:rsid w:val="294176B3"/>
    <w:rsid w:val="295E2627"/>
    <w:rsid w:val="2979125B"/>
    <w:rsid w:val="29800816"/>
    <w:rsid w:val="2A881B54"/>
    <w:rsid w:val="2B011F90"/>
    <w:rsid w:val="2B1B2F6C"/>
    <w:rsid w:val="2B1D0B6D"/>
    <w:rsid w:val="2B5B15BB"/>
    <w:rsid w:val="2CDE3F21"/>
    <w:rsid w:val="2CEF6A8A"/>
    <w:rsid w:val="2DD364B3"/>
    <w:rsid w:val="2E0A72C8"/>
    <w:rsid w:val="2EAE6197"/>
    <w:rsid w:val="2FC03D76"/>
    <w:rsid w:val="3065687F"/>
    <w:rsid w:val="31D87AC8"/>
    <w:rsid w:val="34030644"/>
    <w:rsid w:val="34163B95"/>
    <w:rsid w:val="341A0016"/>
    <w:rsid w:val="341F5D90"/>
    <w:rsid w:val="36074868"/>
    <w:rsid w:val="361C403D"/>
    <w:rsid w:val="36B658BE"/>
    <w:rsid w:val="36D04132"/>
    <w:rsid w:val="36FB610E"/>
    <w:rsid w:val="37A26D6B"/>
    <w:rsid w:val="387F123D"/>
    <w:rsid w:val="38993FF8"/>
    <w:rsid w:val="38A8236D"/>
    <w:rsid w:val="39382075"/>
    <w:rsid w:val="3953438B"/>
    <w:rsid w:val="398C3287"/>
    <w:rsid w:val="39B90514"/>
    <w:rsid w:val="3A8C13DA"/>
    <w:rsid w:val="3AB40436"/>
    <w:rsid w:val="3AD2116E"/>
    <w:rsid w:val="3BA67BA6"/>
    <w:rsid w:val="3BC763DE"/>
    <w:rsid w:val="3CB8475C"/>
    <w:rsid w:val="3ECB36C7"/>
    <w:rsid w:val="3F190144"/>
    <w:rsid w:val="3F483869"/>
    <w:rsid w:val="3F6D76B7"/>
    <w:rsid w:val="3F99680C"/>
    <w:rsid w:val="3FAC745B"/>
    <w:rsid w:val="40101C87"/>
    <w:rsid w:val="40FD375C"/>
    <w:rsid w:val="412933A8"/>
    <w:rsid w:val="43482554"/>
    <w:rsid w:val="435466E2"/>
    <w:rsid w:val="44B5003A"/>
    <w:rsid w:val="4588349D"/>
    <w:rsid w:val="46345677"/>
    <w:rsid w:val="46EE27C2"/>
    <w:rsid w:val="474433F3"/>
    <w:rsid w:val="47FD3C48"/>
    <w:rsid w:val="480B0FAA"/>
    <w:rsid w:val="4847510B"/>
    <w:rsid w:val="48702802"/>
    <w:rsid w:val="492E3A81"/>
    <w:rsid w:val="4A183FCB"/>
    <w:rsid w:val="4A6C365C"/>
    <w:rsid w:val="4C8F331D"/>
    <w:rsid w:val="4D110E3D"/>
    <w:rsid w:val="4DA60CF0"/>
    <w:rsid w:val="509339A9"/>
    <w:rsid w:val="50A823D4"/>
    <w:rsid w:val="50CA5BE5"/>
    <w:rsid w:val="516E1744"/>
    <w:rsid w:val="51730B5D"/>
    <w:rsid w:val="51FD247F"/>
    <w:rsid w:val="532C36B9"/>
    <w:rsid w:val="53607807"/>
    <w:rsid w:val="53665AB4"/>
    <w:rsid w:val="537965B4"/>
    <w:rsid w:val="53FD6E04"/>
    <w:rsid w:val="55DB13C7"/>
    <w:rsid w:val="56670E9A"/>
    <w:rsid w:val="57545F4E"/>
    <w:rsid w:val="589D2963"/>
    <w:rsid w:val="59EB168D"/>
    <w:rsid w:val="5A02755C"/>
    <w:rsid w:val="5A503A77"/>
    <w:rsid w:val="5A7F286B"/>
    <w:rsid w:val="5A8E07B6"/>
    <w:rsid w:val="5B850FC4"/>
    <w:rsid w:val="5B991F12"/>
    <w:rsid w:val="5BBE3B1E"/>
    <w:rsid w:val="5DA67D57"/>
    <w:rsid w:val="5DEC0CDE"/>
    <w:rsid w:val="5E6A6AA9"/>
    <w:rsid w:val="5EAC6A18"/>
    <w:rsid w:val="5FAF18FA"/>
    <w:rsid w:val="5FB932E2"/>
    <w:rsid w:val="5FCC2AA9"/>
    <w:rsid w:val="5FE13A7D"/>
    <w:rsid w:val="600A6B30"/>
    <w:rsid w:val="60BA233B"/>
    <w:rsid w:val="612967DF"/>
    <w:rsid w:val="61A82AA5"/>
    <w:rsid w:val="61D0643A"/>
    <w:rsid w:val="62174497"/>
    <w:rsid w:val="62522A10"/>
    <w:rsid w:val="627C183B"/>
    <w:rsid w:val="62E2255F"/>
    <w:rsid w:val="63527671"/>
    <w:rsid w:val="64357EF4"/>
    <w:rsid w:val="651E38AD"/>
    <w:rsid w:val="659C6B89"/>
    <w:rsid w:val="65C92FEA"/>
    <w:rsid w:val="668A252A"/>
    <w:rsid w:val="670D060B"/>
    <w:rsid w:val="6733306C"/>
    <w:rsid w:val="67895BD4"/>
    <w:rsid w:val="67B57B22"/>
    <w:rsid w:val="680B4B13"/>
    <w:rsid w:val="6A1D43FD"/>
    <w:rsid w:val="6AC01691"/>
    <w:rsid w:val="6B0D52A8"/>
    <w:rsid w:val="6BC54AC4"/>
    <w:rsid w:val="6C93095F"/>
    <w:rsid w:val="6D8C5FF6"/>
    <w:rsid w:val="6DAC0977"/>
    <w:rsid w:val="6E7E2981"/>
    <w:rsid w:val="6F496F62"/>
    <w:rsid w:val="6F7109D3"/>
    <w:rsid w:val="6FAD3A8A"/>
    <w:rsid w:val="70450F45"/>
    <w:rsid w:val="713B3F22"/>
    <w:rsid w:val="71686EE2"/>
    <w:rsid w:val="71975298"/>
    <w:rsid w:val="71A02309"/>
    <w:rsid w:val="71A51536"/>
    <w:rsid w:val="71D764EB"/>
    <w:rsid w:val="722C0B88"/>
    <w:rsid w:val="73CB617F"/>
    <w:rsid w:val="749D2A0B"/>
    <w:rsid w:val="74B8335E"/>
    <w:rsid w:val="74E26747"/>
    <w:rsid w:val="756E5B9C"/>
    <w:rsid w:val="760B2BAF"/>
    <w:rsid w:val="76EC0685"/>
    <w:rsid w:val="77145374"/>
    <w:rsid w:val="77CD6A0C"/>
    <w:rsid w:val="79373F9B"/>
    <w:rsid w:val="79B01A9C"/>
    <w:rsid w:val="79F213DB"/>
    <w:rsid w:val="7A0438CB"/>
    <w:rsid w:val="7AC44C2C"/>
    <w:rsid w:val="7B582F6D"/>
    <w:rsid w:val="7CA86B72"/>
    <w:rsid w:val="7D7020D1"/>
    <w:rsid w:val="7E002EC9"/>
    <w:rsid w:val="7E4F16E9"/>
    <w:rsid w:val="7E9544D5"/>
    <w:rsid w:val="7EB553F8"/>
    <w:rsid w:val="7EC16AF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qFormat="1" w:unhideWhenUsed="0" w:uiPriority="99" w:semiHidden="0"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3"/>
    <w:link w:val="39"/>
    <w:qFormat/>
    <w:uiPriority w:val="99"/>
    <w:pPr>
      <w:keepNext/>
      <w:keepLines/>
      <w:spacing w:before="340" w:after="330" w:line="578" w:lineRule="auto"/>
      <w:outlineLvl w:val="0"/>
    </w:pPr>
    <w:rPr>
      <w:rFonts w:ascii="Calibri" w:hAnsi="Calibri" w:eastAsia="宋体" w:cs="Times New Roman"/>
      <w:b/>
      <w:bCs/>
      <w:kern w:val="44"/>
      <w:sz w:val="44"/>
      <w:szCs w:val="44"/>
    </w:rPr>
  </w:style>
  <w:style w:type="paragraph" w:styleId="4">
    <w:name w:val="heading 2"/>
    <w:basedOn w:val="1"/>
    <w:next w:val="1"/>
    <w:link w:val="36"/>
    <w:qFormat/>
    <w:uiPriority w:val="99"/>
    <w:pPr>
      <w:keepNext/>
      <w:keepLines/>
      <w:spacing w:before="260" w:after="260" w:line="416" w:lineRule="auto"/>
      <w:outlineLvl w:val="1"/>
    </w:pPr>
    <w:rPr>
      <w:rFonts w:ascii="Cambria" w:hAnsi="Cambria" w:eastAsia="宋体" w:cs="Times New Roman"/>
      <w:b/>
      <w:bCs/>
      <w:sz w:val="32"/>
      <w:szCs w:val="32"/>
    </w:rPr>
  </w:style>
  <w:style w:type="paragraph" w:styleId="5">
    <w:name w:val="heading 3"/>
    <w:basedOn w:val="1"/>
    <w:next w:val="1"/>
    <w:link w:val="40"/>
    <w:qFormat/>
    <w:uiPriority w:val="99"/>
    <w:pPr>
      <w:keepNext/>
      <w:keepLines/>
      <w:spacing w:before="260" w:after="260" w:line="416" w:lineRule="auto"/>
      <w:outlineLvl w:val="2"/>
    </w:pPr>
    <w:rPr>
      <w:rFonts w:ascii="Calibri" w:hAnsi="Calibri" w:eastAsia="宋体" w:cs="Times New Roman"/>
      <w:b/>
      <w:bCs/>
      <w:sz w:val="32"/>
      <w:szCs w:val="32"/>
    </w:rPr>
  </w:style>
  <w:style w:type="paragraph" w:styleId="6">
    <w:name w:val="heading 4"/>
    <w:basedOn w:val="1"/>
    <w:next w:val="1"/>
    <w:link w:val="41"/>
    <w:qFormat/>
    <w:uiPriority w:val="99"/>
    <w:pPr>
      <w:keepNext/>
      <w:keepLines/>
      <w:spacing w:before="280" w:after="290" w:line="376" w:lineRule="auto"/>
      <w:outlineLvl w:val="3"/>
    </w:pPr>
    <w:rPr>
      <w:rFonts w:ascii="Calibri Light" w:hAnsi="Calibri Light" w:eastAsia="宋体" w:cs="Times New Roman"/>
      <w:b/>
      <w:bCs/>
      <w:kern w:val="0"/>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0"/>
    <w:pPr>
      <w:spacing w:line="560" w:lineRule="exact"/>
      <w:ind w:firstLine="628" w:firstLineChars="200"/>
    </w:pPr>
    <w:rPr>
      <w:rFonts w:ascii="仿宋_GB2312" w:hAnsi="仿宋_GB2312" w:eastAsia="仿宋_GB2312" w:cs="Times New Roman"/>
      <w:spacing w:val="-6"/>
      <w:sz w:val="32"/>
    </w:rPr>
  </w:style>
  <w:style w:type="paragraph" w:styleId="7">
    <w:name w:val="toc 7"/>
    <w:basedOn w:val="1"/>
    <w:next w:val="1"/>
    <w:qFormat/>
    <w:uiPriority w:val="39"/>
    <w:pPr>
      <w:ind w:left="2520" w:leftChars="1200"/>
    </w:pPr>
    <w:rPr>
      <w:rFonts w:ascii="Calibri" w:hAnsi="Calibri" w:eastAsia="宋体" w:cs="Times New Roman"/>
    </w:rPr>
  </w:style>
  <w:style w:type="paragraph" w:styleId="8">
    <w:name w:val="Document Map"/>
    <w:basedOn w:val="1"/>
    <w:link w:val="81"/>
    <w:qFormat/>
    <w:uiPriority w:val="99"/>
    <w:rPr>
      <w:rFonts w:ascii="宋体" w:hAnsi="Calibri"/>
      <w:sz w:val="18"/>
      <w:szCs w:val="18"/>
    </w:rPr>
  </w:style>
  <w:style w:type="paragraph" w:styleId="9">
    <w:name w:val="annotation text"/>
    <w:basedOn w:val="1"/>
    <w:link w:val="82"/>
    <w:qFormat/>
    <w:uiPriority w:val="99"/>
    <w:pPr>
      <w:jc w:val="left"/>
    </w:pPr>
    <w:rPr>
      <w:rFonts w:ascii="Calibri" w:hAnsi="Calibri"/>
      <w:sz w:val="24"/>
      <w:szCs w:val="24"/>
    </w:rPr>
  </w:style>
  <w:style w:type="paragraph" w:styleId="10">
    <w:name w:val="toc 5"/>
    <w:basedOn w:val="1"/>
    <w:next w:val="1"/>
    <w:qFormat/>
    <w:uiPriority w:val="39"/>
    <w:pPr>
      <w:ind w:left="1680" w:leftChars="800"/>
    </w:pPr>
    <w:rPr>
      <w:rFonts w:ascii="Calibri" w:hAnsi="Calibri" w:eastAsia="宋体" w:cs="Times New Roman"/>
    </w:rPr>
  </w:style>
  <w:style w:type="paragraph" w:styleId="11">
    <w:name w:val="toc 3"/>
    <w:basedOn w:val="1"/>
    <w:next w:val="1"/>
    <w:qFormat/>
    <w:uiPriority w:val="39"/>
    <w:pPr>
      <w:ind w:left="840" w:leftChars="400"/>
    </w:pPr>
    <w:rPr>
      <w:rFonts w:ascii="Calibri" w:hAnsi="Calibri" w:eastAsia="宋体" w:cs="Times New Roman"/>
    </w:rPr>
  </w:style>
  <w:style w:type="paragraph" w:styleId="12">
    <w:name w:val="toc 8"/>
    <w:basedOn w:val="1"/>
    <w:next w:val="1"/>
    <w:qFormat/>
    <w:uiPriority w:val="39"/>
    <w:pPr>
      <w:ind w:left="2940" w:leftChars="1400"/>
    </w:pPr>
    <w:rPr>
      <w:rFonts w:ascii="Calibri" w:hAnsi="Calibri" w:eastAsia="宋体" w:cs="Times New Roman"/>
    </w:rPr>
  </w:style>
  <w:style w:type="paragraph" w:styleId="13">
    <w:name w:val="Date"/>
    <w:basedOn w:val="1"/>
    <w:next w:val="1"/>
    <w:link w:val="80"/>
    <w:qFormat/>
    <w:uiPriority w:val="99"/>
    <w:pPr>
      <w:ind w:left="100" w:leftChars="2500"/>
    </w:pPr>
    <w:rPr>
      <w:rFonts w:eastAsia="仿宋_GB2312"/>
      <w:sz w:val="24"/>
    </w:rPr>
  </w:style>
  <w:style w:type="paragraph" w:styleId="14">
    <w:name w:val="Balloon Text"/>
    <w:basedOn w:val="1"/>
    <w:link w:val="79"/>
    <w:qFormat/>
    <w:uiPriority w:val="99"/>
    <w:rPr>
      <w:sz w:val="18"/>
      <w:szCs w:val="18"/>
    </w:rPr>
  </w:style>
  <w:style w:type="paragraph" w:styleId="15">
    <w:name w:val="footer"/>
    <w:basedOn w:val="1"/>
    <w:link w:val="38"/>
    <w:unhideWhenUsed/>
    <w:qFormat/>
    <w:uiPriority w:val="99"/>
    <w:pPr>
      <w:tabs>
        <w:tab w:val="center" w:pos="4153"/>
        <w:tab w:val="right" w:pos="8306"/>
      </w:tabs>
      <w:snapToGrid w:val="0"/>
      <w:jc w:val="left"/>
    </w:pPr>
    <w:rPr>
      <w:sz w:val="18"/>
      <w:szCs w:val="18"/>
    </w:rPr>
  </w:style>
  <w:style w:type="paragraph" w:styleId="16">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unhideWhenUsed/>
    <w:qFormat/>
    <w:uiPriority w:val="39"/>
    <w:pPr>
      <w:tabs>
        <w:tab w:val="right" w:leader="dot" w:pos="8296"/>
      </w:tabs>
      <w:spacing w:line="360" w:lineRule="auto"/>
      <w:jc w:val="left"/>
    </w:pPr>
    <w:rPr>
      <w:rFonts w:ascii="微软雅黑-Tahoma" w:hAnsi="微软雅黑-Tahoma" w:eastAsia="微软雅黑-Tahoma" w:cs="微软雅黑-Tahoma"/>
      <w:color w:val="000000"/>
      <w:sz w:val="28"/>
      <w:szCs w:val="28"/>
    </w:rPr>
  </w:style>
  <w:style w:type="paragraph" w:styleId="18">
    <w:name w:val="toc 4"/>
    <w:basedOn w:val="1"/>
    <w:next w:val="1"/>
    <w:qFormat/>
    <w:uiPriority w:val="39"/>
    <w:pPr>
      <w:ind w:left="1260" w:leftChars="600"/>
    </w:pPr>
    <w:rPr>
      <w:rFonts w:ascii="Calibri" w:hAnsi="Calibri" w:eastAsia="宋体" w:cs="Times New Roman"/>
    </w:rPr>
  </w:style>
  <w:style w:type="paragraph" w:styleId="19">
    <w:name w:val="footnote text"/>
    <w:basedOn w:val="1"/>
    <w:link w:val="83"/>
    <w:qFormat/>
    <w:uiPriority w:val="99"/>
    <w:pPr>
      <w:snapToGrid w:val="0"/>
      <w:jc w:val="left"/>
    </w:pPr>
    <w:rPr>
      <w:rFonts w:ascii="Calibri" w:hAnsi="Calibri"/>
      <w:sz w:val="18"/>
      <w:szCs w:val="18"/>
    </w:rPr>
  </w:style>
  <w:style w:type="paragraph" w:styleId="20">
    <w:name w:val="toc 6"/>
    <w:basedOn w:val="1"/>
    <w:next w:val="1"/>
    <w:qFormat/>
    <w:uiPriority w:val="39"/>
    <w:pPr>
      <w:ind w:left="2100" w:leftChars="1000"/>
    </w:pPr>
    <w:rPr>
      <w:rFonts w:ascii="Calibri" w:hAnsi="Calibri" w:eastAsia="宋体" w:cs="Times New Roman"/>
    </w:rPr>
  </w:style>
  <w:style w:type="paragraph" w:styleId="21">
    <w:name w:val="toc 2"/>
    <w:basedOn w:val="1"/>
    <w:next w:val="1"/>
    <w:unhideWhenUsed/>
    <w:qFormat/>
    <w:uiPriority w:val="39"/>
    <w:pPr>
      <w:tabs>
        <w:tab w:val="right" w:leader="dot" w:pos="8302"/>
      </w:tabs>
      <w:spacing w:line="360" w:lineRule="auto"/>
      <w:ind w:left="420" w:leftChars="200"/>
    </w:pPr>
    <w:rPr>
      <w:rFonts w:ascii="楷体" w:hAnsi="楷体" w:eastAsia="楷体" w:cs="Times New Roman"/>
      <w:sz w:val="28"/>
      <w:szCs w:val="28"/>
    </w:rPr>
  </w:style>
  <w:style w:type="paragraph" w:styleId="22">
    <w:name w:val="toc 9"/>
    <w:basedOn w:val="1"/>
    <w:next w:val="1"/>
    <w:qFormat/>
    <w:uiPriority w:val="39"/>
    <w:pPr>
      <w:ind w:left="3360" w:leftChars="1600"/>
    </w:pPr>
    <w:rPr>
      <w:rFonts w:ascii="Calibri" w:hAnsi="Calibri" w:eastAsia="宋体" w:cs="Times New Roman"/>
    </w:rPr>
  </w:style>
  <w:style w:type="paragraph" w:styleId="23">
    <w:name w:val="HTML Preformatted"/>
    <w:basedOn w:val="1"/>
    <w:link w:val="8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paragraph" w:styleId="24">
    <w:name w:val="Normal (Web)"/>
    <w:basedOn w:val="1"/>
    <w:qFormat/>
    <w:uiPriority w:val="99"/>
    <w:pPr>
      <w:spacing w:before="100" w:beforeAutospacing="1" w:after="100" w:afterAutospacing="1"/>
      <w:jc w:val="left"/>
    </w:pPr>
    <w:rPr>
      <w:rFonts w:ascii="Calibri" w:hAnsi="Calibri" w:eastAsia="宋体" w:cs="Times New Roman"/>
      <w:kern w:val="0"/>
      <w:sz w:val="24"/>
      <w:szCs w:val="24"/>
    </w:rPr>
  </w:style>
  <w:style w:type="paragraph" w:styleId="25">
    <w:name w:val="Title"/>
    <w:basedOn w:val="1"/>
    <w:next w:val="1"/>
    <w:link w:val="86"/>
    <w:qFormat/>
    <w:uiPriority w:val="10"/>
    <w:pPr>
      <w:spacing w:before="240" w:after="60"/>
      <w:jc w:val="center"/>
      <w:outlineLvl w:val="0"/>
    </w:pPr>
    <w:rPr>
      <w:rFonts w:ascii="Cambria" w:hAnsi="Cambria"/>
      <w:b/>
      <w:bCs/>
      <w:sz w:val="32"/>
      <w:szCs w:val="32"/>
    </w:rPr>
  </w:style>
  <w:style w:type="paragraph" w:styleId="26">
    <w:name w:val="annotation subject"/>
    <w:basedOn w:val="9"/>
    <w:next w:val="9"/>
    <w:link w:val="87"/>
    <w:unhideWhenUsed/>
    <w:qFormat/>
    <w:uiPriority w:val="99"/>
    <w:rPr>
      <w:b/>
      <w:bCs/>
      <w:sz w:val="21"/>
      <w:szCs w:val="22"/>
    </w:rPr>
  </w:style>
  <w:style w:type="table" w:styleId="28">
    <w:name w:val="Table Grid"/>
    <w:basedOn w:val="27"/>
    <w:qFormat/>
    <w:uiPriority w:val="5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qFormat/>
    <w:uiPriority w:val="99"/>
    <w:rPr>
      <w:rFonts w:cs="Times New Roman"/>
      <w:b/>
      <w:bCs/>
    </w:rPr>
  </w:style>
  <w:style w:type="character" w:styleId="31">
    <w:name w:val="page number"/>
    <w:qFormat/>
    <w:uiPriority w:val="99"/>
    <w:rPr>
      <w:rFonts w:cs="Times New Roman"/>
    </w:rPr>
  </w:style>
  <w:style w:type="character" w:styleId="32">
    <w:name w:val="Emphasis"/>
    <w:qFormat/>
    <w:uiPriority w:val="99"/>
    <w:rPr>
      <w:rFonts w:cs="Times New Roman"/>
      <w:i/>
      <w:iCs/>
    </w:rPr>
  </w:style>
  <w:style w:type="character" w:styleId="33">
    <w:name w:val="Hyperlink"/>
    <w:unhideWhenUsed/>
    <w:qFormat/>
    <w:uiPriority w:val="99"/>
    <w:rPr>
      <w:color w:val="0000FF"/>
      <w:u w:val="single"/>
    </w:rPr>
  </w:style>
  <w:style w:type="character" w:styleId="34">
    <w:name w:val="annotation reference"/>
    <w:unhideWhenUsed/>
    <w:qFormat/>
    <w:uiPriority w:val="99"/>
    <w:rPr>
      <w:sz w:val="21"/>
      <w:szCs w:val="21"/>
    </w:rPr>
  </w:style>
  <w:style w:type="character" w:styleId="35">
    <w:name w:val="footnote reference"/>
    <w:qFormat/>
    <w:uiPriority w:val="99"/>
    <w:rPr>
      <w:rFonts w:cs="Times New Roman"/>
      <w:vertAlign w:val="superscript"/>
    </w:rPr>
  </w:style>
  <w:style w:type="character" w:customStyle="1" w:styleId="36">
    <w:name w:val="标题 2 字符"/>
    <w:basedOn w:val="29"/>
    <w:link w:val="4"/>
    <w:qFormat/>
    <w:uiPriority w:val="99"/>
    <w:rPr>
      <w:rFonts w:ascii="Cambria" w:hAnsi="Cambria" w:eastAsia="宋体" w:cs="Times New Roman"/>
      <w:b/>
      <w:bCs/>
      <w:sz w:val="32"/>
      <w:szCs w:val="32"/>
    </w:rPr>
  </w:style>
  <w:style w:type="character" w:customStyle="1" w:styleId="37">
    <w:name w:val="页眉 字符"/>
    <w:basedOn w:val="29"/>
    <w:link w:val="16"/>
    <w:qFormat/>
    <w:uiPriority w:val="99"/>
    <w:rPr>
      <w:sz w:val="18"/>
      <w:szCs w:val="18"/>
    </w:rPr>
  </w:style>
  <w:style w:type="character" w:customStyle="1" w:styleId="38">
    <w:name w:val="页脚 字符"/>
    <w:basedOn w:val="29"/>
    <w:link w:val="15"/>
    <w:qFormat/>
    <w:uiPriority w:val="99"/>
    <w:rPr>
      <w:sz w:val="18"/>
      <w:szCs w:val="18"/>
    </w:rPr>
  </w:style>
  <w:style w:type="character" w:customStyle="1" w:styleId="39">
    <w:name w:val="标题 1 字符"/>
    <w:basedOn w:val="29"/>
    <w:link w:val="2"/>
    <w:qFormat/>
    <w:uiPriority w:val="99"/>
    <w:rPr>
      <w:rFonts w:ascii="Calibri" w:hAnsi="Calibri" w:eastAsia="宋体" w:cs="Times New Roman"/>
      <w:b/>
      <w:bCs/>
      <w:kern w:val="44"/>
      <w:sz w:val="44"/>
      <w:szCs w:val="44"/>
    </w:rPr>
  </w:style>
  <w:style w:type="character" w:customStyle="1" w:styleId="40">
    <w:name w:val="标题 3 字符"/>
    <w:basedOn w:val="29"/>
    <w:link w:val="5"/>
    <w:qFormat/>
    <w:uiPriority w:val="99"/>
    <w:rPr>
      <w:rFonts w:ascii="Calibri" w:hAnsi="Calibri" w:eastAsia="宋体" w:cs="Times New Roman"/>
      <w:b/>
      <w:bCs/>
      <w:sz w:val="32"/>
      <w:szCs w:val="32"/>
    </w:rPr>
  </w:style>
  <w:style w:type="character" w:customStyle="1" w:styleId="41">
    <w:name w:val="标题 4 字符"/>
    <w:basedOn w:val="29"/>
    <w:link w:val="6"/>
    <w:qFormat/>
    <w:uiPriority w:val="99"/>
    <w:rPr>
      <w:rFonts w:ascii="Calibri Light" w:hAnsi="Calibri Light" w:eastAsia="宋体" w:cs="Times New Roman"/>
      <w:b/>
      <w:bCs/>
      <w:kern w:val="0"/>
      <w:sz w:val="28"/>
      <w:szCs w:val="28"/>
    </w:rPr>
  </w:style>
  <w:style w:type="character" w:customStyle="1" w:styleId="42">
    <w:name w:val="HTML 预设格式 Char1"/>
    <w:qFormat/>
    <w:uiPriority w:val="0"/>
    <w:rPr>
      <w:rFonts w:ascii="Courier New" w:hAnsi="Courier New" w:cs="Courier New"/>
      <w:kern w:val="2"/>
    </w:rPr>
  </w:style>
  <w:style w:type="character" w:customStyle="1" w:styleId="43">
    <w:name w:val="引用 Char1"/>
    <w:qFormat/>
    <w:uiPriority w:val="99"/>
    <w:rPr>
      <w:i/>
      <w:iCs/>
      <w:color w:val="000000"/>
      <w:kern w:val="2"/>
      <w:sz w:val="21"/>
      <w:szCs w:val="24"/>
    </w:rPr>
  </w:style>
  <w:style w:type="character" w:customStyle="1" w:styleId="44">
    <w:name w:val="不明显强调1"/>
    <w:qFormat/>
    <w:uiPriority w:val="19"/>
    <w:rPr>
      <w:i/>
      <w:iCs/>
      <w:color w:val="808080"/>
    </w:rPr>
  </w:style>
  <w:style w:type="character" w:customStyle="1" w:styleId="45">
    <w:name w:val="文档结构图 Char1"/>
    <w:semiHidden/>
    <w:qFormat/>
    <w:uiPriority w:val="99"/>
    <w:rPr>
      <w:rFonts w:ascii="宋体" w:hAnsi="Calibri" w:eastAsia="宋体" w:cs="Times New Roman"/>
      <w:sz w:val="18"/>
      <w:szCs w:val="18"/>
    </w:rPr>
  </w:style>
  <w:style w:type="character" w:customStyle="1" w:styleId="46">
    <w:name w:val="批注文字 Char"/>
    <w:qFormat/>
    <w:uiPriority w:val="99"/>
    <w:rPr>
      <w:rFonts w:ascii="Calibri" w:hAnsi="Calibri"/>
      <w:sz w:val="24"/>
      <w:szCs w:val="24"/>
    </w:rPr>
  </w:style>
  <w:style w:type="character" w:customStyle="1" w:styleId="47">
    <w:name w:val="Char Char1"/>
    <w:qFormat/>
    <w:locked/>
    <w:uiPriority w:val="99"/>
    <w:rPr>
      <w:rFonts w:ascii="Calibri" w:hAnsi="Calibri" w:eastAsia="宋体"/>
      <w:sz w:val="18"/>
    </w:rPr>
  </w:style>
  <w:style w:type="character" w:customStyle="1" w:styleId="48">
    <w:name w:val="批注框文本 Char"/>
    <w:qFormat/>
    <w:uiPriority w:val="99"/>
    <w:rPr>
      <w:sz w:val="18"/>
      <w:szCs w:val="18"/>
    </w:rPr>
  </w:style>
  <w:style w:type="character" w:customStyle="1" w:styleId="49">
    <w:name w:val="日期 Char"/>
    <w:qFormat/>
    <w:locked/>
    <w:uiPriority w:val="99"/>
    <w:rPr>
      <w:rFonts w:eastAsia="仿宋_GB2312"/>
      <w:sz w:val="24"/>
    </w:rPr>
  </w:style>
  <w:style w:type="character" w:customStyle="1" w:styleId="50">
    <w:name w:val="文档结构图 Char2"/>
    <w:qFormat/>
    <w:uiPriority w:val="0"/>
    <w:rPr>
      <w:rFonts w:ascii="宋体"/>
      <w:kern w:val="2"/>
      <w:sz w:val="18"/>
      <w:szCs w:val="18"/>
    </w:rPr>
  </w:style>
  <w:style w:type="character" w:customStyle="1" w:styleId="51">
    <w:name w:val="脚注文本 Char"/>
    <w:qFormat/>
    <w:uiPriority w:val="99"/>
    <w:rPr>
      <w:rFonts w:ascii="Calibri" w:hAnsi="Calibri"/>
      <w:sz w:val="18"/>
      <w:szCs w:val="18"/>
    </w:rPr>
  </w:style>
  <w:style w:type="character" w:customStyle="1" w:styleId="52">
    <w:name w:val="引用 Char"/>
    <w:qFormat/>
    <w:uiPriority w:val="99"/>
    <w:rPr>
      <w:rFonts w:ascii="Calibri" w:hAnsi="Calibri"/>
      <w:i/>
      <w:iCs/>
      <w:color w:val="000000"/>
    </w:rPr>
  </w:style>
  <w:style w:type="paragraph" w:styleId="53">
    <w:name w:val="Quote"/>
    <w:basedOn w:val="1"/>
    <w:next w:val="1"/>
    <w:link w:val="91"/>
    <w:qFormat/>
    <w:uiPriority w:val="99"/>
    <w:rPr>
      <w:rFonts w:ascii="Calibri" w:hAnsi="Calibri"/>
      <w:i/>
      <w:iCs/>
      <w:color w:val="000000"/>
    </w:rPr>
  </w:style>
  <w:style w:type="character" w:customStyle="1" w:styleId="54">
    <w:name w:val="Char Char3"/>
    <w:qFormat/>
    <w:locked/>
    <w:uiPriority w:val="99"/>
    <w:rPr>
      <w:rFonts w:ascii="Calibri" w:hAnsi="Calibri" w:eastAsia="宋体"/>
    </w:rPr>
  </w:style>
  <w:style w:type="character" w:customStyle="1" w:styleId="55">
    <w:name w:val="apple-converted-space"/>
    <w:qFormat/>
    <w:uiPriority w:val="99"/>
    <w:rPr>
      <w:rFonts w:cs="Times New Roman"/>
    </w:rPr>
  </w:style>
  <w:style w:type="character" w:customStyle="1" w:styleId="56">
    <w:name w:val="日期 Char1"/>
    <w:qFormat/>
    <w:uiPriority w:val="99"/>
    <w:rPr>
      <w:kern w:val="2"/>
      <w:sz w:val="21"/>
      <w:szCs w:val="24"/>
    </w:rPr>
  </w:style>
  <w:style w:type="character" w:customStyle="1" w:styleId="57">
    <w:name w:val="批注文字 Char1"/>
    <w:qFormat/>
    <w:uiPriority w:val="0"/>
    <w:rPr>
      <w:kern w:val="2"/>
      <w:sz w:val="21"/>
      <w:szCs w:val="24"/>
    </w:rPr>
  </w:style>
  <w:style w:type="character" w:customStyle="1" w:styleId="58">
    <w:name w:val="批注主题 Char"/>
    <w:qFormat/>
    <w:uiPriority w:val="99"/>
    <w:rPr>
      <w:rFonts w:ascii="Calibri" w:hAnsi="Calibri"/>
      <w:b/>
      <w:bCs/>
    </w:rPr>
  </w:style>
  <w:style w:type="character" w:customStyle="1" w:styleId="59">
    <w:name w:val="Char Char5"/>
    <w:qFormat/>
    <w:locked/>
    <w:uiPriority w:val="99"/>
    <w:rPr>
      <w:rFonts w:ascii="Cambria" w:hAnsi="Cambria" w:eastAsia="宋体"/>
      <w:b/>
      <w:sz w:val="32"/>
    </w:rPr>
  </w:style>
  <w:style w:type="character" w:customStyle="1" w:styleId="60">
    <w:name w:val="Char Char"/>
    <w:qFormat/>
    <w:locked/>
    <w:uiPriority w:val="99"/>
    <w:rPr>
      <w:rFonts w:ascii="Angsana New" w:hAnsi="Angsana New"/>
      <w:kern w:val="2"/>
      <w:sz w:val="24"/>
    </w:rPr>
  </w:style>
  <w:style w:type="character" w:customStyle="1" w:styleId="61">
    <w:name w:val="Char Char4"/>
    <w:qFormat/>
    <w:locked/>
    <w:uiPriority w:val="99"/>
    <w:rPr>
      <w:rFonts w:ascii="Times New Roman" w:hAnsi="Times New Roman" w:eastAsia="宋体"/>
      <w:b/>
      <w:sz w:val="32"/>
    </w:rPr>
  </w:style>
  <w:style w:type="character" w:customStyle="1" w:styleId="62">
    <w:name w:val="不明显强调2"/>
    <w:qFormat/>
    <w:uiPriority w:val="99"/>
    <w:rPr>
      <w:i/>
      <w:color w:val="404040"/>
    </w:rPr>
  </w:style>
  <w:style w:type="character" w:customStyle="1" w:styleId="63">
    <w:name w:val="HTML 预设格式 Char"/>
    <w:qFormat/>
    <w:uiPriority w:val="99"/>
    <w:rPr>
      <w:rFonts w:ascii="宋体" w:hAnsi="宋体"/>
    </w:rPr>
  </w:style>
  <w:style w:type="character" w:customStyle="1" w:styleId="64">
    <w:name w:val="文档结构图 Char"/>
    <w:qFormat/>
    <w:uiPriority w:val="99"/>
    <w:rPr>
      <w:rFonts w:ascii="宋体" w:hAnsi="Calibri"/>
      <w:sz w:val="18"/>
      <w:szCs w:val="18"/>
    </w:rPr>
  </w:style>
  <w:style w:type="character" w:customStyle="1" w:styleId="65">
    <w:name w:val="不明显强调11"/>
    <w:qFormat/>
    <w:uiPriority w:val="99"/>
    <w:rPr>
      <w:rFonts w:cs="Times New Roman"/>
      <w:i/>
      <w:iCs/>
      <w:color w:val="404040"/>
    </w:rPr>
  </w:style>
  <w:style w:type="character" w:customStyle="1" w:styleId="66">
    <w:name w:val="批注框文本 Char1"/>
    <w:semiHidden/>
    <w:qFormat/>
    <w:uiPriority w:val="99"/>
    <w:rPr>
      <w:rFonts w:ascii="Calibri" w:hAnsi="Calibri" w:eastAsia="宋体" w:cs="Times New Roman"/>
      <w:sz w:val="18"/>
      <w:szCs w:val="18"/>
    </w:rPr>
  </w:style>
  <w:style w:type="character" w:customStyle="1" w:styleId="67">
    <w:name w:val="标题 Char"/>
    <w:qFormat/>
    <w:uiPriority w:val="10"/>
    <w:rPr>
      <w:rFonts w:ascii="Cambria" w:hAnsi="Cambria"/>
      <w:b/>
      <w:bCs/>
      <w:sz w:val="32"/>
      <w:szCs w:val="32"/>
    </w:rPr>
  </w:style>
  <w:style w:type="character" w:customStyle="1" w:styleId="68">
    <w:name w:val="脚注文本 Char1"/>
    <w:qFormat/>
    <w:uiPriority w:val="0"/>
    <w:rPr>
      <w:kern w:val="2"/>
      <w:sz w:val="18"/>
      <w:szCs w:val="18"/>
    </w:rPr>
  </w:style>
  <w:style w:type="character" w:customStyle="1" w:styleId="69">
    <w:name w:val="标题 Char1"/>
    <w:qFormat/>
    <w:uiPriority w:val="0"/>
    <w:rPr>
      <w:rFonts w:ascii="Cambria" w:hAnsi="Cambria" w:cs="Times New Roman"/>
      <w:b/>
      <w:bCs/>
      <w:kern w:val="2"/>
      <w:sz w:val="32"/>
      <w:szCs w:val="32"/>
    </w:rPr>
  </w:style>
  <w:style w:type="character" w:customStyle="1" w:styleId="70">
    <w:name w:val="批注主题 Char1"/>
    <w:qFormat/>
    <w:uiPriority w:val="0"/>
    <w:rPr>
      <w:b/>
      <w:bCs/>
      <w:kern w:val="2"/>
      <w:sz w:val="21"/>
      <w:szCs w:val="24"/>
    </w:rPr>
  </w:style>
  <w:style w:type="character" w:customStyle="1" w:styleId="71">
    <w:name w:val="NormalCharacter"/>
    <w:semiHidden/>
    <w:qFormat/>
    <w:uiPriority w:val="0"/>
  </w:style>
  <w:style w:type="character" w:customStyle="1" w:styleId="72">
    <w:name w:val="UserStyle_0"/>
    <w:link w:val="73"/>
    <w:qFormat/>
    <w:uiPriority w:val="0"/>
    <w:rPr>
      <w:rFonts w:ascii="宋体" w:hAnsi="Courier New"/>
      <w:szCs w:val="21"/>
    </w:rPr>
  </w:style>
  <w:style w:type="paragraph" w:customStyle="1" w:styleId="73">
    <w:name w:val="PlainText"/>
    <w:basedOn w:val="1"/>
    <w:link w:val="72"/>
    <w:qFormat/>
    <w:uiPriority w:val="0"/>
    <w:pPr>
      <w:widowControl/>
      <w:textAlignment w:val="baseline"/>
    </w:pPr>
    <w:rPr>
      <w:rFonts w:ascii="宋体" w:hAnsi="Courier New"/>
      <w:szCs w:val="21"/>
    </w:rPr>
  </w:style>
  <w:style w:type="character" w:customStyle="1" w:styleId="74">
    <w:name w:val="UserStyle_1"/>
    <w:link w:val="75"/>
    <w:semiHidden/>
    <w:qFormat/>
    <w:uiPriority w:val="0"/>
    <w:rPr>
      <w:rFonts w:ascii="Calibri" w:hAnsi="Calibri"/>
      <w:sz w:val="18"/>
      <w:szCs w:val="18"/>
    </w:rPr>
  </w:style>
  <w:style w:type="paragraph" w:customStyle="1" w:styleId="75">
    <w:name w:val="页眉1"/>
    <w:basedOn w:val="1"/>
    <w:link w:val="74"/>
    <w:semiHidden/>
    <w:qFormat/>
    <w:uiPriority w:val="0"/>
    <w:pPr>
      <w:widowControl/>
      <w:pBdr>
        <w:bottom w:val="single" w:color="000000" w:sz="6" w:space="1"/>
      </w:pBdr>
      <w:tabs>
        <w:tab w:val="center" w:pos="4153"/>
        <w:tab w:val="right" w:pos="8306"/>
      </w:tabs>
      <w:snapToGrid w:val="0"/>
      <w:jc w:val="center"/>
      <w:textAlignment w:val="baseline"/>
    </w:pPr>
    <w:rPr>
      <w:rFonts w:ascii="Calibri" w:hAnsi="Calibri"/>
      <w:sz w:val="18"/>
      <w:szCs w:val="18"/>
    </w:rPr>
  </w:style>
  <w:style w:type="character" w:customStyle="1" w:styleId="76">
    <w:name w:val="UserStyle_2"/>
    <w:link w:val="77"/>
    <w:semiHidden/>
    <w:qFormat/>
    <w:uiPriority w:val="0"/>
    <w:rPr>
      <w:rFonts w:ascii="Calibri" w:hAnsi="Calibri"/>
      <w:sz w:val="18"/>
      <w:szCs w:val="18"/>
    </w:rPr>
  </w:style>
  <w:style w:type="paragraph" w:customStyle="1" w:styleId="77">
    <w:name w:val="页脚1"/>
    <w:basedOn w:val="1"/>
    <w:link w:val="76"/>
    <w:semiHidden/>
    <w:qFormat/>
    <w:uiPriority w:val="0"/>
    <w:pPr>
      <w:widowControl/>
      <w:tabs>
        <w:tab w:val="center" w:pos="4153"/>
        <w:tab w:val="right" w:pos="8306"/>
      </w:tabs>
      <w:snapToGrid w:val="0"/>
      <w:jc w:val="left"/>
      <w:textAlignment w:val="baseline"/>
    </w:pPr>
    <w:rPr>
      <w:rFonts w:ascii="Calibri" w:hAnsi="Calibri"/>
      <w:sz w:val="18"/>
      <w:szCs w:val="18"/>
    </w:rPr>
  </w:style>
  <w:style w:type="character" w:customStyle="1" w:styleId="78">
    <w:name w:val="260"/>
    <w:qFormat/>
    <w:uiPriority w:val="0"/>
    <w:rPr>
      <w:i/>
      <w:iCs/>
      <w:color w:val="808080"/>
    </w:rPr>
  </w:style>
  <w:style w:type="character" w:customStyle="1" w:styleId="79">
    <w:name w:val="批注框文本 字符"/>
    <w:basedOn w:val="29"/>
    <w:link w:val="14"/>
    <w:semiHidden/>
    <w:qFormat/>
    <w:uiPriority w:val="99"/>
    <w:rPr>
      <w:sz w:val="18"/>
      <w:szCs w:val="18"/>
    </w:rPr>
  </w:style>
  <w:style w:type="character" w:customStyle="1" w:styleId="80">
    <w:name w:val="日期 字符"/>
    <w:basedOn w:val="29"/>
    <w:link w:val="13"/>
    <w:semiHidden/>
    <w:qFormat/>
    <w:uiPriority w:val="99"/>
  </w:style>
  <w:style w:type="character" w:customStyle="1" w:styleId="81">
    <w:name w:val="文档结构图 字符"/>
    <w:basedOn w:val="29"/>
    <w:link w:val="8"/>
    <w:semiHidden/>
    <w:qFormat/>
    <w:uiPriority w:val="99"/>
    <w:rPr>
      <w:rFonts w:ascii="宋体" w:eastAsia="宋体"/>
      <w:sz w:val="18"/>
      <w:szCs w:val="18"/>
    </w:rPr>
  </w:style>
  <w:style w:type="character" w:customStyle="1" w:styleId="82">
    <w:name w:val="批注文字 字符"/>
    <w:basedOn w:val="29"/>
    <w:link w:val="9"/>
    <w:semiHidden/>
    <w:qFormat/>
    <w:uiPriority w:val="99"/>
  </w:style>
  <w:style w:type="character" w:customStyle="1" w:styleId="83">
    <w:name w:val="脚注文本 字符"/>
    <w:basedOn w:val="29"/>
    <w:link w:val="19"/>
    <w:semiHidden/>
    <w:qFormat/>
    <w:uiPriority w:val="99"/>
    <w:rPr>
      <w:sz w:val="18"/>
      <w:szCs w:val="18"/>
    </w:rPr>
  </w:style>
  <w:style w:type="character" w:customStyle="1" w:styleId="84">
    <w:name w:val="HTML 预设格式 字符"/>
    <w:basedOn w:val="29"/>
    <w:link w:val="23"/>
    <w:semiHidden/>
    <w:qFormat/>
    <w:uiPriority w:val="99"/>
    <w:rPr>
      <w:rFonts w:ascii="Courier New" w:hAnsi="Courier New" w:cs="Courier New"/>
      <w:sz w:val="20"/>
      <w:szCs w:val="20"/>
    </w:rPr>
  </w:style>
  <w:style w:type="paragraph" w:customStyle="1" w:styleId="85">
    <w:name w:val="列出段落1"/>
    <w:basedOn w:val="1"/>
    <w:qFormat/>
    <w:uiPriority w:val="99"/>
    <w:pPr>
      <w:ind w:firstLine="420" w:firstLineChars="200"/>
    </w:pPr>
    <w:rPr>
      <w:rFonts w:ascii="Calibri" w:hAnsi="Calibri" w:eastAsia="宋体" w:cs="Times New Roman"/>
    </w:rPr>
  </w:style>
  <w:style w:type="character" w:customStyle="1" w:styleId="86">
    <w:name w:val="标题 字符"/>
    <w:basedOn w:val="29"/>
    <w:link w:val="25"/>
    <w:qFormat/>
    <w:uiPriority w:val="10"/>
    <w:rPr>
      <w:rFonts w:eastAsia="宋体" w:asciiTheme="majorHAnsi" w:hAnsiTheme="majorHAnsi" w:cstheme="majorBidi"/>
      <w:b/>
      <w:bCs/>
      <w:sz w:val="32"/>
      <w:szCs w:val="32"/>
    </w:rPr>
  </w:style>
  <w:style w:type="character" w:customStyle="1" w:styleId="87">
    <w:name w:val="批注主题 字符"/>
    <w:basedOn w:val="82"/>
    <w:link w:val="26"/>
    <w:semiHidden/>
    <w:qFormat/>
    <w:uiPriority w:val="99"/>
    <w:rPr>
      <w:b/>
      <w:bCs/>
    </w:rPr>
  </w:style>
  <w:style w:type="paragraph" w:customStyle="1" w:styleId="88">
    <w:name w:val="List Paragraph1"/>
    <w:basedOn w:val="1"/>
    <w:qFormat/>
    <w:uiPriority w:val="99"/>
    <w:pPr>
      <w:ind w:firstLine="420" w:firstLineChars="200"/>
    </w:pPr>
    <w:rPr>
      <w:rFonts w:ascii="Calibri" w:hAnsi="Calibri" w:eastAsia="宋体" w:cs="Times New Roman"/>
    </w:rPr>
  </w:style>
  <w:style w:type="paragraph" w:customStyle="1" w:styleId="89">
    <w:name w:val="TOC 标题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styleId="90">
    <w:name w:val="List Paragraph"/>
    <w:basedOn w:val="1"/>
    <w:qFormat/>
    <w:uiPriority w:val="99"/>
    <w:pPr>
      <w:ind w:firstLine="420" w:firstLineChars="200"/>
    </w:pPr>
    <w:rPr>
      <w:rFonts w:ascii="Calibri" w:hAnsi="Calibri" w:eastAsia="宋体" w:cs="Times New Roman"/>
    </w:rPr>
  </w:style>
  <w:style w:type="character" w:customStyle="1" w:styleId="91">
    <w:name w:val="引用 字符"/>
    <w:basedOn w:val="29"/>
    <w:link w:val="53"/>
    <w:qFormat/>
    <w:uiPriority w:val="29"/>
    <w:rPr>
      <w:i/>
      <w:iCs/>
      <w:color w:val="000000" w:themeColor="text1"/>
      <w14:textFill>
        <w14:solidFill>
          <w14:schemeClr w14:val="tx1"/>
        </w14:solidFill>
      </w14:textFill>
    </w:rPr>
  </w:style>
  <w:style w:type="paragraph" w:customStyle="1" w:styleId="92">
    <w:name w:val="列出段落2"/>
    <w:basedOn w:val="1"/>
    <w:qFormat/>
    <w:uiPriority w:val="99"/>
    <w:pPr>
      <w:ind w:firstLine="420" w:firstLineChars="200"/>
    </w:pPr>
    <w:rPr>
      <w:rFonts w:ascii="Calibri" w:hAnsi="Calibri" w:eastAsia="宋体" w:cs="Times New Roman"/>
    </w:rPr>
  </w:style>
  <w:style w:type="paragraph" w:customStyle="1" w:styleId="93">
    <w:name w:val="reader-word-layer"/>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customStyle="1" w:styleId="94">
    <w:name w:val="正文 A"/>
    <w:qFormat/>
    <w:uiPriority w:val="99"/>
    <w:pPr>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4"/>
      <w:szCs w:val="24"/>
      <w:lang w:val="en-US" w:eastAsia="zh-CN" w:bidi="ar-SA"/>
    </w:rPr>
  </w:style>
  <w:style w:type="table" w:customStyle="1" w:styleId="95">
    <w:name w:val="TableGrid"/>
    <w:basedOn w:val="96"/>
    <w:qFormat/>
    <w:uiPriority w:val="0"/>
  </w:style>
  <w:style w:type="table" w:customStyle="1" w:styleId="96">
    <w:name w:val="TableNormal"/>
    <w:semiHidden/>
    <w:qFormat/>
    <w:uiPriority w:val="0"/>
    <w:rPr>
      <w:rFonts w:ascii="Times New Roman" w:hAnsi="Times New Roman" w:eastAsia="宋体" w:cs="Times New Roman"/>
    </w:rPr>
    <w:tblPr>
      <w:tblCellMar>
        <w:top w:w="0" w:type="dxa"/>
        <w:left w:w="0" w:type="dxa"/>
        <w:bottom w:w="0" w:type="dxa"/>
        <w:right w:w="0" w:type="dxa"/>
      </w:tblCellMar>
    </w:tblPr>
  </w:style>
  <w:style w:type="table" w:customStyle="1" w:styleId="97">
    <w:name w:val="网格型2"/>
    <w:basedOn w:val="27"/>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8">
    <w:name w:val="网格型1"/>
    <w:basedOn w:val="27"/>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9">
    <w:name w:val="网格型3"/>
    <w:basedOn w:val="2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0">
    <w:name w:val="标题 11"/>
    <w:basedOn w:val="1"/>
    <w:qFormat/>
    <w:uiPriority w:val="1"/>
    <w:pPr>
      <w:ind w:left="2568"/>
      <w:jc w:val="left"/>
      <w:outlineLvl w:val="1"/>
    </w:pPr>
    <w:rPr>
      <w:rFonts w:ascii="宋体" w:hAnsi="宋体" w:eastAsia="宋体"/>
      <w:kern w:val="0"/>
      <w:sz w:val="31"/>
      <w:szCs w:val="31"/>
      <w:lang w:eastAsia="en-US"/>
    </w:rPr>
  </w:style>
  <w:style w:type="paragraph" w:customStyle="1" w:styleId="101">
    <w:name w:val="标题 41"/>
    <w:basedOn w:val="1"/>
    <w:qFormat/>
    <w:uiPriority w:val="1"/>
    <w:pPr>
      <w:ind w:left="1745"/>
      <w:jc w:val="left"/>
      <w:outlineLvl w:val="4"/>
    </w:pPr>
    <w:rPr>
      <w:rFonts w:ascii="宋体" w:hAnsi="宋体" w:eastAsia="宋体"/>
      <w:kern w:val="0"/>
      <w:sz w:val="26"/>
      <w:szCs w:val="26"/>
      <w:lang w:eastAsia="en-US"/>
    </w:rPr>
  </w:style>
  <w:style w:type="paragraph" w:customStyle="1" w:styleId="102">
    <w:name w:val="标题 31"/>
    <w:basedOn w:val="1"/>
    <w:qFormat/>
    <w:uiPriority w:val="1"/>
    <w:pPr>
      <w:ind w:left="1736"/>
      <w:jc w:val="left"/>
      <w:outlineLvl w:val="3"/>
    </w:pPr>
    <w:rPr>
      <w:rFonts w:ascii="宋体" w:hAnsi="宋体" w:eastAsia="宋体"/>
      <w:kern w:val="0"/>
      <w:sz w:val="27"/>
      <w:szCs w:val="27"/>
      <w:lang w:eastAsia="en-US"/>
    </w:rPr>
  </w:style>
  <w:style w:type="paragraph" w:customStyle="1" w:styleId="103">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 w:type="paragraph" w:customStyle="1" w:styleId="104">
    <w:name w:val="Revision"/>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05">
    <w:name w:val="标题 3 Char1"/>
    <w:qFormat/>
    <w:uiPriority w:val="0"/>
    <w:rPr>
      <w:rFonts w:ascii="仿宋_GB2312" w:hAnsi="仿宋_GB2312" w:eastAsia="仿宋_GB2312" w:cs="Times New Roman"/>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8116ac2a-d7e8-448f-875b-bfe6d1477388</errorID>
      <errorWord>式</errorWord>
      <group>L1_Word</group>
      <groupName>字词问题</groupName>
      <ability>L2_Typo</ability>
      <abilityName>字词错误</abilityName>
      <candidateList>
        <item>式机</item>
      </candidateList>
      <explain/>
      <paraID>30CD6472</paraID>
      <start>11</start>
      <end>12</end>
      <status>unmodified</status>
      <modifiedWord/>
      <trackRevisions>false</trackRevisions>
    </reviewItem>
    <reviewItem>
      <errorID>7e38fa12-c750-44c9-b422-3d9569e9fc07</errorID>
      <errorWord>(</errorWord>
      <group>L1_Format</group>
      <groupName>格式问题</groupName>
      <ability>L2_HalfPunc_CN</ability>
      <abilityName>全半角问题</abilityName>
      <candidateList>
        <item>（</item>
      </candidateList>
      <explain>文本全半角错误。</explain>
      <paraID>53E889F7</paraID>
      <start>12</start>
      <end>13</end>
      <status>unmodified</status>
      <modifiedWord/>
      <trackRevisions>false</trackRevisions>
    </reviewItem>
    <reviewItem>
      <errorID>29dba6ff-e2ae-48c6-8582-92b79bbce0b3</errorID>
      <errorWord>)</errorWord>
      <group>L1_Format</group>
      <groupName>格式问题</groupName>
      <ability>L2_HalfPunc_CN</ability>
      <abilityName>全半角问题</abilityName>
      <candidateList>
        <item>）</item>
      </candidateList>
      <explain>文本全半角错误。</explain>
      <paraID>53E889F7</paraID>
      <start>24</start>
      <end>25</end>
      <status>unmodified</status>
      <modifiedWord/>
      <trackRevisions>false</trackRevisions>
    </reviewItem>
    <reviewItem>
      <errorID>e7c68afc-e90e-4ab8-bfdc-1199c67bd9ca</errorID>
      <errorWord>(</errorWord>
      <group>L1_Format</group>
      <groupName>格式问题</groupName>
      <ability>L2_HalfPunc_CN</ability>
      <abilityName>全半角问题</abilityName>
      <candidateList>
        <item>（</item>
      </candidateList>
      <explain>文本全半角错误。</explain>
      <paraID>653F9089</paraID>
      <start>57</start>
      <end>58</end>
      <status>unmodified</status>
      <modifiedWord/>
      <trackRevisions>false</trackRevisions>
    </reviewItem>
    <reviewItem>
      <errorID>409f4a48-ce99-45df-ba64-472b3e580ddd</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653F9089</paraID>
      <start>58</start>
      <end>63</end>
      <status>unmodified</status>
      <modifiedWord/>
      <trackRevisions>false</trackRevisions>
    </reviewItem>
    <reviewItem>
      <errorID>cecef126-8dfb-42fa-87b4-26e6ee16e69c</errorID>
      <errorWord>0-10%</errorWord>
      <group>L1_Knowledge</group>
      <groupName>知识性问题</groupName>
      <ability>L2_Knowledge</ability>
      <abilityName>其他知识</abilityName>
      <candidateList>
        <item>0—10%</item>
      </candidateList>
      <explain>1. “0-10%”中的单位“%”仅出现在后一个数字上，容易引起歧义；根据《现代汉语标点符号数字用法规范手册》，数字表示范围两边需要使用统一的格式。2. 根据标点国标 4.13 中的规则，数字、时间或地域连接符应使用（视觉上更长的）“—”或“～”。</explain>
      <paraID>3DFE6E21</paraID>
      <start>26</start>
      <end>31</end>
      <status>unmodified</status>
      <modifiedWord/>
      <trackRevisions>false</trackRevisions>
    </reviewItem>
    <reviewItem>
      <errorID>e2ac920a-682c-451b-a94c-ab118012e226</errorID>
      <errorWord>10%-30%</errorWord>
      <group>L1_Knowledge</group>
      <groupName>知识性问题</groupName>
      <ability>L2_Knowledge</ability>
      <abilityName>其他知识</abilityName>
      <candidateList>
        <item>10%—30%</item>
      </candidateList>
      <explain>1. “10%-30%”中的单位“%”仅出现在后一个数字上，容易引起歧义；根据《现代汉语标点符号数字用法规范手册》，数字表示范围两边需要使用统一的格式。2. 根据标点国标 4.13 中的规则，数字、时间或地域连接符应使用（视觉上更长的）“—”或“～”。</explain>
      <paraID> FF9D1E2</paraID>
      <start>14</start>
      <end>21</end>
      <status>unmodified</status>
      <modifiedWord/>
      <trackRevisions>false</trackRevisions>
    </reviewItem>
    <reviewItem>
      <errorID>bc76ff09-6a9e-441a-9feb-7cba5bc4cbf7</errorID>
      <errorWord>如对</errorWord>
      <group>L1_Word</group>
      <groupName>字词问题</groupName>
      <ability>L2_Typo</ability>
      <abilityName>字词错误</abilityName>
      <candidateList>
        <item>如</item>
      </candidateList>
      <explain/>
      <paraID>4AA8A24B</paraID>
      <start>7</start>
      <end>9</end>
      <status>unmodified</status>
      <modifiedWord/>
      <trackRevisions>false</trackRevisions>
    </reviewItem>
    <reviewItem>
      <errorID>2985fff1-a455-4e1b-90c1-a4e181022cbb</errorID>
      <errorWord>(</errorWord>
      <group>L1_Format</group>
      <groupName>格式问题</groupName>
      <ability>L2_HalfPunc_CN</ability>
      <abilityName>全半角问题</abilityName>
      <candidateList>
        <item>（</item>
      </candidateList>
      <explain>文本全半角错误。</explain>
      <paraID>17F68581</paraID>
      <start>13</start>
      <end>14</end>
      <status>unmodified</status>
      <modifiedWord/>
      <trackRevisions>false</trackRevisions>
    </reviewItem>
    <reviewItem>
      <errorID>cd52723b-6835-4b61-967a-7361d5f356dc</errorID>
      <errorWord>)</errorWord>
      <group>L1_Format</group>
      <groupName>格式问题</groupName>
      <ability>L2_HalfPunc_CN</ability>
      <abilityName>全半角问题</abilityName>
      <candidateList>
        <item>）</item>
      </candidateList>
      <explain>文本全半角错误。</explain>
      <paraID>17F68581</paraID>
      <start>45</start>
      <end>46</end>
      <status>unmodified</status>
      <modifiedWord/>
      <trackRevisions>false</trackRevisions>
    </reviewItem>
    <reviewItem>
      <errorID>be32a6cc-a393-4deb-9dfe-1925e2c8236e</errorID>
      <errorWord>(</errorWord>
      <group>L1_Format</group>
      <groupName>格式问题</groupName>
      <ability>L2_HalfPunc_CN</ability>
      <abilityName>全半角问题</abilityName>
      <candidateList>
        <item>（</item>
      </candidateList>
      <explain>文本全半角错误。</explain>
      <paraID>68E600CC</paraID>
      <start>15</start>
      <end>16</end>
      <status>unmodified</status>
      <modifiedWord/>
      <trackRevisions>false</trackRevisions>
    </reviewItem>
    <reviewItem>
      <errorID>385f5634-43e8-4413-b0b2-401d89fa4e6d</errorID>
      <errorWord>)</errorWord>
      <group>L1_Format</group>
      <groupName>格式问题</groupName>
      <ability>L2_HalfPunc_CN</ability>
      <abilityName>全半角问题</abilityName>
      <candidateList>
        <item>）</item>
      </candidateList>
      <explain>文本全半角错误。</explain>
      <paraID>68E600CC</paraID>
      <start>66</start>
      <end>67</end>
      <status>unmodified</status>
      <modifiedWord/>
      <trackRevisions>false</trackRevisions>
    </reviewItem>
  </reviewItems>
  <config/>
</contractReview>
</file>

<file path=customXml/itemProps1.xml><?xml version="1.0" encoding="utf-8"?>
<ds:datastoreItem xmlns:ds="http://schemas.openxmlformats.org/officeDocument/2006/customXml" ds:itemID="{0CD8A9D5-E45F-4EAD-B911-8B3F1151B744}">
  <ds:schemaRefs/>
</ds:datastoreItem>
</file>

<file path=customXml/itemProps2.xml><?xml version="1.0" encoding="utf-8"?>
<ds:datastoreItem xmlns:ds="http://schemas.openxmlformats.org/officeDocument/2006/customXml" ds:itemID="{fa00638a-6fc4-4616-8744-87e7d3d1c51b}">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13</Pages>
  <Words>1757</Words>
  <Characters>1824</Characters>
  <Lines>31</Lines>
  <Paragraphs>8</Paragraphs>
  <TotalTime>8</TotalTime>
  <ScaleCrop>false</ScaleCrop>
  <LinksUpToDate>false</LinksUpToDate>
  <CharactersWithSpaces>1873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2021-06-07T03:10:00Z</dcterms:created>
  <dc:creator>董波</dc:creator>
  <cp:lastModifiedBy>王娟</cp:lastModifiedBy>
  <cp:lastPrinted>2026-09-09T03:07:00Z</cp:lastPrinted>
  <dcterms:modified xsi:type="dcterms:W3CDTF">2026-09-17T08:32:43Z</dcterms:modified>
  <cp:revision>344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2773E7FE668D4768B89D176753ABDB73_13</vt:lpwstr>
  </property>
  <property fmtid="{D5CDD505-2E9C-101B-9397-08002B2CF9AE}" pid="4" name="KSOTemplateDocerSaveRecord">
    <vt:lpwstr>eyJoZGlkIjoiODViY2JkMjU3NGYzZTEwMzZmMGFkZWViYmNkYWU3NDIiLCJ1c2VySWQiOiI1MDkyMjY2OTcifQ==</vt:lpwstr>
  </property>
</Properties>
</file>