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版本号：ZLJZB-26-00420260415001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城固县征稽所家属楼、景苑小区等28个老旧小区基础设施改造弱电项目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ZLJZB-26-004</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陕西中陆建项目管理有限公司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陕西中陆建项目管理有限公司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城固县征稽所家属楼、景苑小区等28个老旧小区基础设施改造弱电项目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ZLJZB-26-004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城固县征稽所家属楼、景苑小区等28个老旧小区基础设施改造弱电项目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拟对城固县28个老旧小区基础设施改造弱电项目线路进行改造，共计1988户。主要进行小区旧线拆除，光交箱、楼道分纤箱的安装及光缆敷设，地埋光缆地沟开挖以及从楼道分纤箱至用户家中的入户线路铺设。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13992656001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陕西中陆建项目管理有限公司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汉中市汉台区西一环路北段嘉远建材城 A号4楼北1室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19991613331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采购包1：378,336.00元</w:t>
            </w:r>
          </w:p>
          <w:p>
            <w:pPr>
              <w:pStyle w:val="null3"/>
            </w:pPr>
            <w:r>
              <w:rPr>
                <w:rFonts w:ascii="仿宋_GB2312" w:hAnsi="仿宋_GB2312" w:cs="仿宋_GB2312" w:eastAsia="仿宋_GB2312"/>
              </w:rPr>
              <w:t>采购包2：353,564.00元</w:t>
            </w:r>
          </w:p>
          <w:p>
            <w:pPr>
              <w:pStyle w:val="null3"/>
            </w:pPr>
            <w:r>
              <w:rPr>
                <w:rFonts w:ascii="仿宋_GB2312" w:hAnsi="仿宋_GB2312" w:cs="仿宋_GB2312" w:eastAsia="仿宋_GB2312"/>
              </w:rPr>
              <w:t>采购包3：387,344.00元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采购包3保证金金额：7,000.00元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开户名称：陕西中陆建项目管理有限公司</w:t>
            </w:r>
          </w:p>
          <w:p>
            <w:pPr>
              <w:pStyle w:val="null3"/>
            </w:pPr>
            <w:r>
              <w:rPr>
                <w:rFonts w:ascii="仿宋_GB2312" w:hAnsi="仿宋_GB2312" w:cs="仿宋_GB2312" w:eastAsia="仿宋_GB2312"/>
              </w:rPr>
              <w:t>开户银行：西安银行汉中分行营业部</w:t>
            </w:r>
          </w:p>
          <w:p>
            <w:pPr>
              <w:pStyle w:val="null3"/>
            </w:pPr>
            <w:r>
              <w:rPr>
                <w:rFonts w:ascii="仿宋_GB2312" w:hAnsi="仿宋_GB2312" w:cs="仿宋_GB2312" w:eastAsia="仿宋_GB2312"/>
              </w:rPr>
              <w:t>银行账号：451011580000073415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开户名称：陕西中陆建项目管理有限公司 开 户 行：中国农业银行股份有限公司汉中西环路支行 账 号：26605501040013837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陕西中陆建项目管理有限公司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陕西中陆建项目管理有限公司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陕西中陆建项目管理有限公司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陕西中陆建项目管理有限公司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联系电话：19991613331</w:t>
      </w:r>
    </w:p>
    <w:p>
      <w:pPr>
        <w:pStyle w:val="null3"/>
      </w:pPr>
      <w:r>
        <w:rPr>
          <w:rFonts w:ascii="仿宋_GB2312" w:hAnsi="仿宋_GB2312" w:cs="仿宋_GB2312" w:eastAsia="仿宋_GB2312"/>
        </w:rPr>
        <w:t>地址：汉中市汉台区西一环路北段嘉远建材城 A号4楼北1室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拟对城固县28个老旧小区基础设施改造弱电项目线路进行改造，共计1988户。主要进行小区旧线拆除，光交箱、楼道分纤箱的安装及光缆敷设，地埋光缆地沟开挖以及从楼道分纤箱至用户家中的入户线路铺设。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378,336.00</w:t>
      </w:r>
    </w:p>
    <w:p>
      <w:pPr>
        <w:pStyle w:val="null3"/>
      </w:pPr>
      <w:r>
        <w:rPr>
          <w:rFonts w:ascii="仿宋_GB2312" w:hAnsi="仿宋_GB2312" w:cs="仿宋_GB2312" w:eastAsia="仿宋_GB2312"/>
        </w:rPr>
        <w:t>采购包最高限价（元）: 378,336.00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弱电改造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378,336.00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353,564.00</w:t>
      </w:r>
    </w:p>
    <w:p>
      <w:pPr>
        <w:pStyle w:val="null3"/>
      </w:pPr>
      <w:r>
        <w:rPr>
          <w:rFonts w:ascii="仿宋_GB2312" w:hAnsi="仿宋_GB2312" w:cs="仿宋_GB2312" w:eastAsia="仿宋_GB2312"/>
        </w:rPr>
        <w:t>采购包最高限价（元）: 353,564.00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弱电改造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353,564.00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387,344.00</w:t>
      </w:r>
    </w:p>
    <w:p>
      <w:pPr>
        <w:pStyle w:val="null3"/>
      </w:pPr>
      <w:r>
        <w:rPr>
          <w:rFonts w:ascii="仿宋_GB2312" w:hAnsi="仿宋_GB2312" w:cs="仿宋_GB2312" w:eastAsia="仿宋_GB2312"/>
        </w:rPr>
        <w:t>采购包最高限价（元）: 387,344.00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弱电改造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387,344.00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标的名称：弱电改造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0"/>
              <w:jc w:val="left"/>
            </w:pPr>
            <w:r>
              <w:rPr>
                <w:rFonts w:ascii="仿宋_GB2312" w:hAnsi="仿宋_GB2312" w:cs="仿宋_GB2312" w:eastAsia="仿宋_GB2312"/>
                <w:sz w:val="22"/>
                <w:color w:val="333333"/>
              </w:rPr>
              <w:t>一、项目概况和招标范围</w:t>
            </w:r>
          </w:p>
          <w:p>
            <w:pPr>
              <w:pStyle w:val="null3"/>
              <w:ind w:firstLine="440"/>
              <w:jc w:val="left"/>
            </w:pPr>
            <w:r>
              <w:rPr>
                <w:rFonts w:ascii="仿宋_GB2312" w:hAnsi="仿宋_GB2312" w:cs="仿宋_GB2312" w:eastAsia="仿宋_GB2312"/>
                <w:sz w:val="22"/>
                <w:color w:val="333333"/>
              </w:rPr>
              <w:t>拟对城固县征稽所家属楼、景苑小区等</w:t>
            </w:r>
            <w:r>
              <w:rPr>
                <w:rFonts w:ascii="仿宋_GB2312" w:hAnsi="仿宋_GB2312" w:cs="仿宋_GB2312" w:eastAsia="仿宋_GB2312"/>
                <w:sz w:val="22"/>
                <w:color w:val="333333"/>
              </w:rPr>
              <w:t>13个老旧小区基础设施改造弱电项目线路进行改造，共672户。主要进行小区旧线拆除，光交箱、楼道分纤箱的安装及光缆敷设，地埋光缆地沟开挖以及从楼道分纤箱至用户家中的入户线路铺设。</w:t>
            </w:r>
          </w:p>
          <w:p>
            <w:pPr>
              <w:pStyle w:val="null3"/>
              <w:ind w:firstLine="440"/>
              <w:jc w:val="left"/>
            </w:pPr>
            <w:r>
              <w:rPr>
                <w:rFonts w:ascii="仿宋_GB2312" w:hAnsi="仿宋_GB2312" w:cs="仿宋_GB2312" w:eastAsia="仿宋_GB2312"/>
                <w:sz w:val="22"/>
                <w:color w:val="333333"/>
              </w:rPr>
              <w:t>二、具体要求</w:t>
            </w:r>
          </w:p>
          <w:p>
            <w:pPr>
              <w:pStyle w:val="null3"/>
              <w:jc w:val="both"/>
            </w:pPr>
            <w:r>
              <w:rPr>
                <w:rFonts w:ascii="仿宋_GB2312" w:hAnsi="仿宋_GB2312" w:cs="仿宋_GB2312" w:eastAsia="仿宋_GB2312"/>
                <w:sz w:val="22"/>
                <w:color w:val="333333"/>
              </w:rPr>
              <w:t xml:space="preserve">    本项目服务标准应符合工信部YD5191-2009《电信设施共建共享工程技术暂行规定》。施工完成后，实现四大运营商（移动、联通、电信、广电）入户线路接入，保障高速、稳定的网络信号。服务单位需确保工程质量、进度和投资可控及弱电改造范围内的所有工作，服务期限以此项目结束为止。</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标的名称：弱电改造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一、项目概况和招标范围</w:t>
            </w:r>
          </w:p>
          <w:p>
            <w:pPr>
              <w:pStyle w:val="null3"/>
              <w:jc w:val="both"/>
            </w:pPr>
            <w:r>
              <w:rPr>
                <w:rFonts w:ascii="仿宋_GB2312" w:hAnsi="仿宋_GB2312" w:cs="仿宋_GB2312" w:eastAsia="仿宋_GB2312"/>
                <w:sz w:val="21"/>
              </w:rPr>
              <w:t xml:space="preserve"> 拟对城固县泛亚小区、东方红小区等</w:t>
            </w:r>
            <w:r>
              <w:rPr>
                <w:rFonts w:ascii="仿宋_GB2312" w:hAnsi="仿宋_GB2312" w:cs="仿宋_GB2312" w:eastAsia="仿宋_GB2312"/>
                <w:sz w:val="21"/>
              </w:rPr>
              <w:t>8个老旧小区基础设施改造弱电项目线路进行改造，共628户。主要进行小区旧线拆除，光交箱、楼道分纤箱的安装及光缆敷设，地埋光缆地沟开挖以及从楼道分纤箱至用户家中的入户线路铺设。</w:t>
            </w:r>
          </w:p>
          <w:p>
            <w:pPr>
              <w:pStyle w:val="null3"/>
              <w:jc w:val="both"/>
            </w:pPr>
            <w:r>
              <w:rPr>
                <w:rFonts w:ascii="仿宋_GB2312" w:hAnsi="仿宋_GB2312" w:cs="仿宋_GB2312" w:eastAsia="仿宋_GB2312"/>
                <w:sz w:val="21"/>
              </w:rPr>
              <w:t>二、具体要求</w:t>
            </w:r>
          </w:p>
          <w:p>
            <w:pPr>
              <w:pStyle w:val="null3"/>
              <w:jc w:val="both"/>
            </w:pPr>
            <w:r>
              <w:rPr>
                <w:rFonts w:ascii="仿宋_GB2312" w:hAnsi="仿宋_GB2312" w:cs="仿宋_GB2312" w:eastAsia="仿宋_GB2312"/>
                <w:sz w:val="21"/>
              </w:rPr>
              <w:t xml:space="preserve"> 本项目服务标准应符合工信部</w:t>
            </w:r>
            <w:r>
              <w:rPr>
                <w:rFonts w:ascii="仿宋_GB2312" w:hAnsi="仿宋_GB2312" w:cs="仿宋_GB2312" w:eastAsia="仿宋_GB2312"/>
                <w:sz w:val="21"/>
              </w:rPr>
              <w:t>YD5191-2009《电信设施共建共享工程技术暂行规定》。施工完成后，实现四大运营商（移动、联通、电信、广电）入户线路接入，保障高速、稳定的网络信号。服务单位需确保工程质量、进度和投资可控及弱电改造范围内的所有工作，服务期限以此项目结束为止。</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标的名称：弱电改造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一、项目概况和招标范围</w:t>
            </w:r>
          </w:p>
          <w:p>
            <w:pPr>
              <w:pStyle w:val="null3"/>
              <w:ind w:firstLine="210"/>
              <w:jc w:val="both"/>
            </w:pPr>
            <w:r>
              <w:rPr>
                <w:rFonts w:ascii="仿宋_GB2312" w:hAnsi="仿宋_GB2312" w:cs="仿宋_GB2312" w:eastAsia="仿宋_GB2312"/>
                <w:sz w:val="21"/>
              </w:rPr>
              <w:t>拟对城固县金阳名居、汉龙小区等</w:t>
            </w:r>
            <w:r>
              <w:rPr>
                <w:rFonts w:ascii="仿宋_GB2312" w:hAnsi="仿宋_GB2312" w:cs="仿宋_GB2312" w:eastAsia="仿宋_GB2312"/>
                <w:sz w:val="21"/>
              </w:rPr>
              <w:t>7个老旧小区基础设施改造弱电项目线路进行改造，共688户。主要进行小区旧线拆除，光交箱、楼道分纤箱的安装及光缆敷设，地埋光缆地沟开挖以及从楼道分纤箱至用户家中的入户线路铺设。</w:t>
            </w:r>
          </w:p>
          <w:p>
            <w:pPr>
              <w:pStyle w:val="null3"/>
              <w:jc w:val="both"/>
            </w:pPr>
            <w:r>
              <w:rPr>
                <w:rFonts w:ascii="仿宋_GB2312" w:hAnsi="仿宋_GB2312" w:cs="仿宋_GB2312" w:eastAsia="仿宋_GB2312"/>
                <w:sz w:val="21"/>
              </w:rPr>
              <w:t>二、具体要求</w:t>
            </w:r>
          </w:p>
          <w:p>
            <w:pPr>
              <w:pStyle w:val="null3"/>
              <w:jc w:val="both"/>
            </w:pPr>
            <w:r>
              <w:rPr>
                <w:rFonts w:ascii="仿宋_GB2312" w:hAnsi="仿宋_GB2312" w:cs="仿宋_GB2312" w:eastAsia="仿宋_GB2312"/>
                <w:sz w:val="21"/>
              </w:rPr>
              <w:t xml:space="preserve"> 本项目服务标准应符合工信部</w:t>
            </w:r>
            <w:r>
              <w:rPr>
                <w:rFonts w:ascii="仿宋_GB2312" w:hAnsi="仿宋_GB2312" w:cs="仿宋_GB2312" w:eastAsia="仿宋_GB2312"/>
                <w:sz w:val="21"/>
              </w:rPr>
              <w:t>YD5191-2009《电信设施共建共享工程技术暂行规定》。施工完成后，实现四大运营商（移动、联通、电信、广电）入户线路接入，保障高速、稳定的网络信号。服务单位需确保工程质量、进度和投资可控及弱电改造范围内的所有工作，服务期限以此项目结束为止。</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满足采购人和竞争性磋商文件要求。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180日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180日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项目竣工验收完成后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项目竣工验收完成后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响应文件-资格证明文件（三包）.docx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响应文件-商务技术文件（一包）.docx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响应文件-资格证明文件（一包）.docx 响应文件-商务技术文件（一包）.docx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响应文件-商务技术文件（一包）.docx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响应文件-资格证明文件（一包）.docx 响应文件-商务技术文件（一包）.docx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报价表 响应文件-商务技术文件（二包）.docx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响应文件-资格证明文件（二包）.docx 中小企业声明函 残疾人福利性单位声明函 标的清单 报价表 响应函 响应文件-商务技术文件（二包）.docx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标的清单 报价表 响应文件-商务技术文件（二包）.docx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响应文件-资格证明文件（二包）.docx 标的清单 报价表 响应函 响应文件-商务技术文件（二包）.docx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响应文件-商务技术文件（三包）.docx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响应文件-资格证明文件（三包）.docx 中小企业声明函 残疾人福利性单位声明函 响应文件-商务技术文件（三包）.docx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响应文件-资格证明文件（三包）.docx 响应文件-商务技术文件（三包）.docx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改造部署方案</w:t>
            </w:r>
          </w:p>
        </w:tc>
        <w:tc>
          <w:tcPr>
            <w:tcW w:type="dxa" w:w="2492"/>
          </w:tcPr>
          <w:p>
            <w:pPr>
              <w:pStyle w:val="null3"/>
            </w:pPr>
            <w:r>
              <w:rPr>
                <w:rFonts w:ascii="仿宋_GB2312" w:hAnsi="仿宋_GB2312" w:cs="仿宋_GB2312" w:eastAsia="仿宋_GB2312"/>
              </w:rPr>
              <w:t>一、评审内容 供应商针对本项目编制完善的改造部署方案，内容包含： ①改造目标：成本目标、工期目标、质量目标 ②改造准备：技术准备、材料准备、机械准备、机具准备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①改造目标：每完全满足一个评审标准得2分，满分6分； ②改造准备：每完全满足一个评审标准得2分，满分6分。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工期进度及保障措施</w:t>
            </w:r>
          </w:p>
        </w:tc>
        <w:tc>
          <w:tcPr>
            <w:tcW w:type="dxa" w:w="2492"/>
          </w:tcPr>
          <w:p>
            <w:pPr>
              <w:pStyle w:val="null3"/>
            </w:pPr>
            <w:r>
              <w:rPr>
                <w:rFonts w:ascii="仿宋_GB2312" w:hAnsi="仿宋_GB2312" w:cs="仿宋_GB2312" w:eastAsia="仿宋_GB2312"/>
              </w:rPr>
              <w:t>一、评审内容 提供工期进度及保障措施，内容包括：①工作路线和方法②工期保障措施。 二、评审标准 1、完整性：方案须全面，对评审内容中的各项要求有详细描述； 2、落实性：切合本项目实际情况，提出步骤清晰、合理的方案； 3、针对性：方案能够紧扣项目实际情况，内容科学合理。 三、赋分标准（针对评审标准存在有不合理处的扣0.5分） ①工作路线和方法：每完全满足一个评审标准得1分，满分3分； ②工期保障措施：每完全满足一个评审标准得1分，满分3分。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供应商针对本标段提供服务保障方案，内容包括：①技术人员及设备②服务保障方案③组织机构的配备计划④组织机构的岗位职责 二、评审标准 1、完整性：方案须全面，对评审内容中的各项要求有详细描述； 2、落实性：切合本项目实际情况，提出步骤清晰、合理的方案； 3、针对性：方案能够紧扣项目实际情况，内容科学合理。 三、赋分标准（针对评审标准存在有不合理处的扣0.5分） ①技术人员及设备：每完全满足一个评审标准得2分，满分6分； ②服务保障方案：每完全满足一个评审标准得2分，满分6分； ③组织机构的配备计划：每完全满足一个评审标准得1分，满分3分； ④组织机构的岗位职责：每完全满足一个评审标准得1分，满分3分。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①质量目标管理体系：每完全满足一个评审标准得1分，满分3分； ②施工质量的检验制度：每完全满足一个评审标准得1分，满分3分； ③确保质量的技术组织措施：每完全满足一个评审标准得1分，满分3分； ④施工质量控制措施：每完全满足一个评审标准得1分，满分3分。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①安全生产管理制度：每完全满足一个评审标准得1分，满分3分； ②安全施工措施：每完全满足一个评审标准得1分，满分3分；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①文明施工管理目标及技术措施：每完全满足一个评审标准得1分，满分3分； ②文明施工现场管理：每完全满足一个评审标准得0.5分，满分3分。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提供2023年4月以来完成的类似项目业绩：每有一个类似项目业绩得2分,最高6分。无此项内容不得分。 (业绩证明材料以中标/成交通知书或合同为准，磋商响应文件中附中标/成交通知书或合同复印件并加盖企业鲜章)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响应文件-商务技术文件（一包）.docx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结合本项目的实际，供应商应依据国家相关规定提出工程验收维护方案，内容包含：①验收方案②维保措施③保修责任及保修承诺④响应时间及方式。 二、评审标准 1、完整性：内容必须全面，对评审内容中的各项要求有详细描述； 2、落实性：切合项目具体情况，提出责任明确、要求具体的方案； 3、针对性：内容能够紧扣项目实际情况，内容科学合理。 三、赋分标准（针对评审标准存在有不合理处的扣0.5分） ①验收方案：每完全满足一个评审标准得1分，满分3分； ②维保措施：每完全满足一个评审标准得1分，满分3分； ③保修责任及保修承诺：每完全满足一个评审标准得1分，满分3分； ④响应时间及方式：每完全满足一个评审标准得1分，满分3分。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响应文件-商务技术文件（一包）.docx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改造部署方案</w:t>
            </w:r>
          </w:p>
        </w:tc>
        <w:tc>
          <w:tcPr>
            <w:tcW w:type="dxa" w:w="2492"/>
          </w:tcPr>
          <w:p>
            <w:pPr>
              <w:pStyle w:val="null3"/>
            </w:pPr>
            <w:r>
              <w:rPr>
                <w:rFonts w:ascii="仿宋_GB2312" w:hAnsi="仿宋_GB2312" w:cs="仿宋_GB2312" w:eastAsia="仿宋_GB2312"/>
              </w:rPr>
              <w:t>一、评审内容 供应商针对本项目编制完善的改造部署方案，内容包含： ①改造目标：成本目标、工期目标、质量目标 ②改造准备：技术准备、材料准备、机械准备、机具准备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①改造目标：每完全满足一个评审标准得2分，满分6分； ②改造准备：每完全满足一个评审标准得2分，满分6分。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工期进度及保障措施</w:t>
            </w:r>
          </w:p>
        </w:tc>
        <w:tc>
          <w:tcPr>
            <w:tcW w:type="dxa" w:w="2492"/>
          </w:tcPr>
          <w:p>
            <w:pPr>
              <w:pStyle w:val="null3"/>
            </w:pPr>
            <w:r>
              <w:rPr>
                <w:rFonts w:ascii="仿宋_GB2312" w:hAnsi="仿宋_GB2312" w:cs="仿宋_GB2312" w:eastAsia="仿宋_GB2312"/>
              </w:rPr>
              <w:t>一、评审内容 提供工期进度及保障措施，内容包括：①工作路线和方法②工期保障措施。 二、评审标准 1、完整性：方案须全面，对评审内容中的各项要求有详细描述； 2、落实性：切合本项目实际情况，提出步骤清晰、合理的方案； 3、针对性：方案能够紧扣项目实际情况，内容科学合理。 三、赋分标准（针对评审标准存在有不合理处的扣0.5分） ①工作路线和方法：每完全满足一个评审标准得1分，满分3分； ②工期保障措施：每完全满足一个评审标准得1分，满分3分。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供应商针对本标段提供服务保障方案，内容包括：①技术人员及设备②服务保障方案③组织机构的配备计划④组织机构的岗位职责 二、评审标准 1、完整性：方案须全面，对评审内容中的各项要求有详细描述； 2、落实性：切合本项目实际情况，提出步骤清晰、合理的方案； 3、针对性：方案能够紧扣项目实际情况，内容科学合理。 三、赋分标准（针对评审标准存在有不合理处的扣0.5分） ①技术人员及设备：每完全满足一个评审标准得2分，满分6分； ②服务保障方案：每完全满足一个评审标准得2分，满分6分； ③组织机构的配备计划：每完全满足一个评审标准得1分，满分3分； ④组织机构的岗位职责：每完全满足一个评审标准得1分，满分3分。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①质量目标管理体系：每完全满足一个评审标准得1分，满分3分； ②施工质量的检验制度：每完全满足一个评审标准得1分，满分3分； ③确保质量的技术组织措施：每完全满足一个评审标准得1分，满分3分； ④施工质量控制措施：每完全满足一个评审标准得1分，满分3分。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①安全生产管理制度：每完全满足一个评审标准得1分，满分3分； ②安全施工措施：每完全满足一个评审标准得1分，满分3分；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①文明施工管理目标及技术措施：每完全满足一个评审标准得1分，满分3分； ②文明施工现场管理：每完全满足一个评审标准得0.5分，满分3分。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提供2023年4月以来完成的类似项目业绩：每有一个类似项目业绩得2分,最高6分。无此项内容不得分。 (业绩证明材料以中标/成交通知书或合同为准，磋商响应文件中附中标/成交通知书或合同复印件并加盖企业鲜章)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响应文件-商务技术文件（二包）.docx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结合本项目的实际，供应商应依据国家相关规定提出工程验收维护方案，内容包含：①验收方案②维保措施③保修责任及保修承诺④响应时间及方式。 二、评审标准 1、完整性：内容必须全面，对评审内容中的各项要求有详细描述； 2、落实性：切合项目具体情况，提出责任明确、要求具体的方案； 3、针对性：内容能够紧扣项目实际情况，内容科学合理。 三、赋分标准（针对评审标准存在有不合理处的扣0.5分） ①验收方案：每完全满足一个评审标准得1分，满分3分； ②维保措施：每完全满足一个评审标准得1分，满分3分； ③保修责任及保修承诺：每完全满足一个评审标准得1分，满分3分； ④响应时间及方式：每完全满足一个评审标准得1分，满分3分。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响应文件-商务技术文件（二包）.docx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改造部署方案</w:t>
            </w:r>
          </w:p>
        </w:tc>
        <w:tc>
          <w:tcPr>
            <w:tcW w:type="dxa" w:w="2492"/>
          </w:tcPr>
          <w:p>
            <w:pPr>
              <w:pStyle w:val="null3"/>
            </w:pPr>
            <w:r>
              <w:rPr>
                <w:rFonts w:ascii="仿宋_GB2312" w:hAnsi="仿宋_GB2312" w:cs="仿宋_GB2312" w:eastAsia="仿宋_GB2312"/>
              </w:rPr>
              <w:t>一、评审内容 供应商针对本项目编制完善的改造部署方案，内容包含： ①改造目标：成本目标、工期目标、质量目标 ②改造准备：技术准备、材料准备、机械准备、机具准备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①改造目标：每完全满足一个评审标准得2分，满分6分； ②改造准备：每完全满足一个评审标准得2分，满分6分。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工期进度及保障措施</w:t>
            </w:r>
          </w:p>
        </w:tc>
        <w:tc>
          <w:tcPr>
            <w:tcW w:type="dxa" w:w="2492"/>
          </w:tcPr>
          <w:p>
            <w:pPr>
              <w:pStyle w:val="null3"/>
            </w:pPr>
            <w:r>
              <w:rPr>
                <w:rFonts w:ascii="仿宋_GB2312" w:hAnsi="仿宋_GB2312" w:cs="仿宋_GB2312" w:eastAsia="仿宋_GB2312"/>
              </w:rPr>
              <w:t>一、评审内容 提供工期进度及保障措施，内容包括：①工作路线和方法②工期保障措施。 二、评审标准 1、完整性：方案须全面，对评审内容中的各项要求有详细描述； 2、落实性：切合本项目实际情况，提出步骤清晰、合理的方案； 3、针对性：方案能够紧扣项目实际情况，内容科学合理。 三、赋分标准（针对评审标准存在有不合理处的扣0.5分） ①工作路线和方法：每完全满足一个评审标准得1分，满分3分； ②工期保障措施：每完全满足一个评审标准得1分，满分3分。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一、评审内容 供应商针对本标段提供服务保障方案，内容包括：①技术人员及设备②服务保障方案③组织机构的配备计划④组织机构的岗位职责 二、评审标准 1、完整性：方案须全面，对评审内容中的各项要求有详细描述； 2、落实性：切合本项目实际情况，提出步骤清晰、合理的方案； 3、针对性：方案能够紧扣项目实际情况，内容科学合理。 三、赋分标准（针对评审标准存在有不合理处的扣0.5分） ①技术人员及设备：每完全满足一个评审标准得2分，满分6分； ②服务保障方案：每完全满足一个评审标准得2分，满分6分； ③组织机构的配备计划：每完全满足一个评审标准得1分，满分3分； ④组织机构的岗位职责：每完全满足一个评审标准得1分，满分3分。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①工程重难点及解决措施：每完全满足一个评审标准得1分，满分3分； ②分部分项工程施工方法：每完全满足一个评审标准得1分，满分3分；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①质量目标管理体系：每完全满足一个评审标准得1分，满分3分； ②施工质量的检验制度：每完全满足一个评审标准得1分，满分3分； ③确保质量的技术组织措施：每完全满足一个评审标准得1分，满分3分； ④施工质量控制措施：每完全满足一个评审标准得1分，满分3分。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①安全生产管理制度：每完全满足一个评审标准得1分，满分3分； ②安全施工措施：每完全满足一个评审标准得1分，满分3分；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三、赋分标准（针对评审标准存在有不合理处的扣0.5分） ①文明施工管理目标及技术措施：每完全满足一个评审标准得1分，满分3分； ②文明施工现场管理：每完全满足一个评审标准得0.5分，满分3分。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提供2023年4月以来完成的类似项目业绩：每有一个类似项目业绩得2分,最高6分。无此项内容不得分。 (业绩证明材料以中标/成交通知书或合同为准，磋商响应文件中附中标/成交通知书或合同复印件并加盖企业鲜章)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响应文件-商务技术文件（三包）.docx</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 结合本项目的实际，供应商应依据国家相关规定提出工程验收维护方案，内容包含：①验收方案②维保措施③保修责任及保修承诺④响应时间及方式。 二、评审标准 1、完整性：内容必须全面，对评审内容中的各项要求有详细描述； 2、落实性：切合项目具体情况，提出责任明确、要求具体的方案； 3、针对性：内容能够紧扣项目实际情况，内容科学合理。 三、赋分标准（针对评审标准存在有不合理处的扣0.5分） ①验收方案：每完全满足一个评审标准得1分，满分3分； ②维保措施：每完全满足一个评审标准得1分，满分3分； ③保修责任及保修承诺：每完全满足一个评审标准得1分，满分3分； ④响应时间及方式：每完全满足一个评审标准得1分，满分3分。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响应文件-商务技术文件（三包）.docx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磋商报价得分=（磋商基准价／磋商报价)×10%×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详见附件：响应文件-商务技术文件（一包）.docx</w:t>
      </w:r>
    </w:p>
    <w:p>
      <w:pPr>
        <w:pStyle w:val="null3"/>
        <w:ind w:firstLine="960"/>
      </w:pPr>
      <w:r>
        <w:rPr>
          <w:rFonts w:ascii="仿宋_GB2312" w:hAnsi="仿宋_GB2312" w:cs="仿宋_GB2312" w:eastAsia="仿宋_GB2312"/>
        </w:rPr>
        <w:t>详见附件：响应文件-资格证明文件（一包）.docx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详见附件：响应文件-商务技术文件（二包）.docx</w:t>
      </w:r>
    </w:p>
    <w:p>
      <w:pPr>
        <w:pStyle w:val="null3"/>
        <w:ind w:firstLine="960"/>
      </w:pPr>
      <w:r>
        <w:rPr>
          <w:rFonts w:ascii="仿宋_GB2312" w:hAnsi="仿宋_GB2312" w:cs="仿宋_GB2312" w:eastAsia="仿宋_GB2312"/>
        </w:rPr>
        <w:t>详见附件：响应文件-资格证明文件（二包）.docx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详见附件：响应文件-商务技术文件（三包）.docx</w:t>
      </w:r>
    </w:p>
    <w:p>
      <w:pPr>
        <w:pStyle w:val="null3"/>
        <w:ind w:firstLine="960"/>
      </w:pPr>
      <w:r>
        <w:rPr>
          <w:rFonts w:ascii="仿宋_GB2312" w:hAnsi="仿宋_GB2312" w:cs="仿宋_GB2312" w:eastAsia="仿宋_GB2312"/>
        </w:rPr>
        <w:t>详见附件：响应文件-资格证明文件（三包）.docx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