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19E428AF">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6AADC33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0768384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辅警体检项目（</w:t>
      </w:r>
      <w:r>
        <w:rPr>
          <w:rFonts w:hint="eastAsia" w:ascii="仿宋_GB2312" w:hAnsi="仿宋_GB2312" w:eastAsia="仿宋_GB2312" w:cs="仿宋_GB2312"/>
          <w:bCs/>
          <w:sz w:val="28"/>
          <w:szCs w:val="28"/>
          <w:u w:val="single"/>
          <w:lang w:val="en-US" w:eastAsia="zh-CN"/>
        </w:rPr>
        <w:t>二次</w:t>
      </w:r>
      <w:r>
        <w:rPr>
          <w:rFonts w:hint="eastAsia" w:ascii="仿宋_GB2312" w:hAnsi="仿宋_GB2312" w:eastAsia="仿宋_GB2312" w:cs="仿宋_GB2312"/>
          <w:bCs/>
          <w:sz w:val="28"/>
          <w:szCs w:val="28"/>
          <w:u w:val="single"/>
          <w:lang w:eastAsia="zh-CN"/>
        </w:rPr>
        <w:t>）</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SXHC2025-319</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，由陕西华采招标有限公司组织竞争性磋商，</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（以下简称“乙方”）为该项目的成交供应商。</w:t>
      </w:r>
    </w:p>
    <w:p w14:paraId="7ECC9E9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依据《中华人民共和国民法</w:t>
      </w:r>
      <w:bookmarkStart w:id="0" w:name="_GoBack"/>
      <w:bookmarkEnd w:id="0"/>
      <w:r>
        <w:rPr>
          <w:rFonts w:hint="eastAsia" w:ascii="仿宋_GB2312" w:hAnsi="仿宋" w:eastAsia="仿宋_GB2312"/>
          <w:bCs/>
          <w:sz w:val="28"/>
          <w:szCs w:val="28"/>
          <w:highlight w:val="none"/>
        </w:rPr>
        <w:t>典》和《中华人民共和国政府采购法》之规定，经双方在平等、自愿、互利的基础上，签订本合同，共同信守。</w:t>
      </w:r>
    </w:p>
    <w:p w14:paraId="5EB91E1B">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一、合同价款</w:t>
      </w:r>
    </w:p>
    <w:p w14:paraId="6A526761">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（一）合同</w:t>
      </w:r>
      <w:r>
        <w:rPr>
          <w:rFonts w:hint="eastAsia" w:ascii="仿宋_GB2312" w:hAnsi="仿宋" w:eastAsia="仿宋_GB2312"/>
          <w:bCs/>
          <w:sz w:val="28"/>
          <w:szCs w:val="28"/>
          <w:lang w:eastAsia="zh-CN"/>
        </w:rPr>
        <w:t>暂定</w:t>
      </w:r>
      <w:r>
        <w:rPr>
          <w:rFonts w:hint="eastAsia" w:ascii="仿宋_GB2312" w:hAnsi="仿宋" w:eastAsia="仿宋_GB2312"/>
          <w:bCs/>
          <w:sz w:val="28"/>
          <w:szCs w:val="28"/>
          <w:lang w:val="en-US" w:eastAsia="zh-CN"/>
        </w:rPr>
        <w:t>综合单价</w:t>
      </w:r>
      <w:r>
        <w:rPr>
          <w:rFonts w:hint="eastAsia" w:ascii="仿宋_GB2312" w:hAnsi="仿宋" w:eastAsia="仿宋_GB2312"/>
          <w:bCs/>
          <w:sz w:val="28"/>
          <w:szCs w:val="28"/>
        </w:rPr>
        <w:t>为</w:t>
      </w:r>
      <w:r>
        <w:rPr>
          <w:rFonts w:hint="eastAsia" w:ascii="仿宋_GB2312" w:hAnsi="仿宋" w:eastAsia="仿宋_GB2312"/>
          <w:bCs/>
          <w:sz w:val="28"/>
          <w:szCs w:val="28"/>
          <w:lang w:val="en-US" w:eastAsia="zh-CN"/>
        </w:rPr>
        <w:t>：</w:t>
      </w:r>
      <w:r>
        <w:rPr>
          <w:rFonts w:hint="eastAsia" w:ascii="仿宋_GB2312" w:hAnsi="仿宋" w:eastAsia="仿宋_GB2312"/>
          <w:bCs/>
          <w:sz w:val="28"/>
          <w:szCs w:val="28"/>
          <w:u w:val="single"/>
          <w:lang w:val="en-US" w:eastAsia="zh-CN"/>
        </w:rPr>
        <w:t xml:space="preserve">      </w:t>
      </w:r>
      <w:r>
        <w:rPr>
          <w:rFonts w:hint="eastAsia" w:ascii="仿宋_GB2312" w:hAnsi="仿宋" w:eastAsia="仿宋_GB2312"/>
          <w:bCs/>
          <w:sz w:val="28"/>
          <w:szCs w:val="28"/>
          <w:lang w:val="en-US" w:eastAsia="zh-CN"/>
        </w:rPr>
        <w:t>元/人，</w:t>
      </w:r>
      <w:r>
        <w:rPr>
          <w:rFonts w:hint="eastAsia" w:ascii="仿宋_GB2312" w:hAnsi="仿宋" w:eastAsia="仿宋_GB2312"/>
          <w:b/>
          <w:bCs w:val="0"/>
          <w:sz w:val="28"/>
          <w:szCs w:val="28"/>
        </w:rPr>
        <w:t>最终合同支付费用按照实际参加体检人数*成交单价</w:t>
      </w:r>
      <w:r>
        <w:rPr>
          <w:rFonts w:hint="eastAsia" w:ascii="仿宋_GB2312" w:hAnsi="仿宋" w:eastAsia="仿宋_GB2312"/>
          <w:b/>
          <w:bCs w:val="0"/>
          <w:sz w:val="28"/>
          <w:szCs w:val="28"/>
          <w:lang w:eastAsia="zh-CN"/>
        </w:rPr>
        <w:t>据实结算</w:t>
      </w:r>
      <w:r>
        <w:rPr>
          <w:rFonts w:hint="eastAsia" w:ascii="仿宋_GB2312" w:hAnsi="仿宋" w:eastAsia="仿宋_GB2312"/>
          <w:b/>
          <w:bCs w:val="0"/>
          <w:sz w:val="28"/>
          <w:szCs w:val="28"/>
        </w:rPr>
        <w:t>，最终支付不超过项目预算。</w:t>
      </w:r>
    </w:p>
    <w:p w14:paraId="1CDAAF13">
      <w:pPr>
        <w:autoSpaceDE w:val="0"/>
        <w:autoSpaceDN w:val="0"/>
        <w:adjustRightInd w:val="0"/>
        <w:snapToGrid w:val="0"/>
        <w:spacing w:line="360" w:lineRule="auto"/>
        <w:ind w:firstLine="562" w:firstLineChars="200"/>
        <w:rPr>
          <w:rFonts w:hint="eastAsia" w:ascii="仿宋_GB2312" w:hAnsi="仿宋" w:eastAsia="仿宋_GB2312"/>
          <w:b/>
          <w:bCs w:val="0"/>
          <w:sz w:val="28"/>
          <w:szCs w:val="28"/>
          <w:lang w:val="en-US" w:eastAsia="zh-CN"/>
        </w:rPr>
      </w:pPr>
      <w:r>
        <w:rPr>
          <w:rFonts w:hint="eastAsia" w:ascii="仿宋_GB2312" w:hAnsi="仿宋" w:eastAsia="仿宋_GB2312"/>
          <w:b/>
          <w:bCs w:val="0"/>
          <w:sz w:val="28"/>
          <w:szCs w:val="28"/>
          <w:lang w:eastAsia="zh-CN"/>
        </w:rPr>
        <w:t>说明：</w:t>
      </w:r>
      <w:r>
        <w:rPr>
          <w:rFonts w:hint="eastAsia" w:ascii="仿宋_GB2312" w:hAnsi="仿宋" w:eastAsia="仿宋_GB2312"/>
          <w:b/>
          <w:bCs w:val="0"/>
          <w:sz w:val="28"/>
          <w:szCs w:val="28"/>
        </w:rPr>
        <w:t>体检</w:t>
      </w:r>
      <w:r>
        <w:rPr>
          <w:rFonts w:hint="eastAsia" w:ascii="仿宋_GB2312" w:hAnsi="仿宋" w:eastAsia="仿宋_GB2312"/>
          <w:b/>
          <w:bCs w:val="0"/>
          <w:sz w:val="28"/>
          <w:szCs w:val="28"/>
          <w:lang w:eastAsia="zh-CN"/>
        </w:rPr>
        <w:t>过程中</w:t>
      </w:r>
      <w:r>
        <w:rPr>
          <w:rFonts w:hint="eastAsia" w:ascii="仿宋_GB2312" w:hAnsi="仿宋" w:eastAsia="仿宋_GB2312"/>
          <w:b/>
          <w:bCs w:val="0"/>
          <w:sz w:val="28"/>
          <w:szCs w:val="28"/>
        </w:rPr>
        <w:t>发生套餐外加项的，</w:t>
      </w:r>
      <w:r>
        <w:rPr>
          <w:rFonts w:hint="eastAsia" w:ascii="仿宋_GB2312" w:hAnsi="仿宋" w:eastAsia="仿宋_GB2312"/>
          <w:b/>
          <w:bCs w:val="0"/>
          <w:sz w:val="28"/>
          <w:szCs w:val="28"/>
          <w:lang w:eastAsia="zh-CN"/>
        </w:rPr>
        <w:t>外加项</w:t>
      </w:r>
      <w:r>
        <w:rPr>
          <w:rFonts w:hint="eastAsia" w:ascii="仿宋_GB2312" w:hAnsi="仿宋" w:eastAsia="仿宋_GB2312"/>
          <w:b/>
          <w:bCs w:val="0"/>
          <w:sz w:val="28"/>
          <w:szCs w:val="28"/>
        </w:rPr>
        <w:t>费用由体检本人承担。</w:t>
      </w:r>
    </w:p>
    <w:p w14:paraId="6BA1704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（二）合同价款是指包含各项检查所需的材料费、处置费、营养早餐、税金等全部费用。</w:t>
      </w:r>
    </w:p>
    <w:p w14:paraId="1F909697">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（三）合同</w:t>
      </w:r>
      <w:r>
        <w:rPr>
          <w:rFonts w:hint="eastAsia" w:ascii="仿宋_GB2312" w:hAnsi="仿宋" w:eastAsia="仿宋_GB2312"/>
          <w:bCs/>
          <w:sz w:val="28"/>
          <w:szCs w:val="28"/>
          <w:lang w:eastAsia="zh-CN"/>
        </w:rPr>
        <w:t>综合单价</w:t>
      </w:r>
      <w:r>
        <w:rPr>
          <w:rFonts w:hint="eastAsia" w:ascii="仿宋_GB2312" w:hAnsi="仿宋" w:eastAsia="仿宋_GB2312"/>
          <w:bCs/>
          <w:sz w:val="28"/>
          <w:szCs w:val="28"/>
        </w:rPr>
        <w:t>一次性包死，不受市场价格变化因素的影响。</w:t>
      </w:r>
    </w:p>
    <w:p w14:paraId="38D1FCC1">
      <w:pPr>
        <w:pStyle w:val="21"/>
        <w:spacing w:line="360" w:lineRule="auto"/>
        <w:ind w:firstLine="562" w:firstLineChars="200"/>
        <w:rPr>
          <w:rFonts w:hint="default" w:eastAsia="仿宋_GB2312"/>
          <w:u w:val="single"/>
          <w:lang w:val="en-US" w:eastAsia="zh-CN"/>
        </w:rPr>
      </w:pPr>
      <w:r>
        <w:rPr>
          <w:rFonts w:hint="eastAsia" w:ascii="仿宋_GB2312" w:hAnsi="仿宋" w:eastAsia="仿宋_GB2312"/>
          <w:b/>
          <w:bCs/>
          <w:color w:val="auto"/>
          <w:sz w:val="28"/>
          <w:szCs w:val="28"/>
        </w:rPr>
        <w:t>二、委托工作内容：</w:t>
      </w:r>
      <w:r>
        <w:rPr>
          <w:rFonts w:hint="eastAsia" w:ascii="仿宋_GB2312" w:hAnsi="仿宋" w:eastAsia="仿宋_GB2312"/>
          <w:b/>
          <w:bCs/>
          <w:color w:val="auto"/>
          <w:sz w:val="28"/>
          <w:szCs w:val="28"/>
          <w:u w:val="single"/>
          <w:lang w:val="en-US" w:eastAsia="zh-CN"/>
        </w:rPr>
        <w:t xml:space="preserve">                                 </w:t>
      </w:r>
      <w:r>
        <w:rPr>
          <w:rFonts w:hint="eastAsia" w:ascii="仿宋_GB2312" w:hAnsi="仿宋" w:eastAsia="仿宋_GB2312"/>
          <w:b/>
          <w:bCs/>
          <w:color w:val="auto"/>
          <w:sz w:val="28"/>
          <w:szCs w:val="28"/>
          <w:u w:val="none"/>
          <w:lang w:val="en-US" w:eastAsia="zh-CN"/>
        </w:rPr>
        <w:t>。</w:t>
      </w:r>
    </w:p>
    <w:p w14:paraId="7EC82AEE">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三、款项结算</w:t>
      </w:r>
    </w:p>
    <w:p w14:paraId="01B21F86">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lang w:val="en-US" w:eastAsia="zh-CN"/>
        </w:rPr>
      </w:pPr>
      <w:r>
        <w:rPr>
          <w:rFonts w:hint="eastAsia" w:ascii="仿宋_GB2312" w:hAnsi="仿宋" w:eastAsia="仿宋_GB2312"/>
          <w:bCs/>
          <w:sz w:val="28"/>
          <w:szCs w:val="28"/>
          <w:highlight w:val="none"/>
        </w:rPr>
        <w:t>（一）付款</w:t>
      </w:r>
      <w:r>
        <w:rPr>
          <w:rFonts w:hint="eastAsia" w:ascii="仿宋_GB2312" w:hAnsi="仿宋" w:eastAsia="仿宋_GB2312"/>
          <w:bCs/>
          <w:sz w:val="28"/>
          <w:szCs w:val="28"/>
          <w:highlight w:val="none"/>
          <w:lang w:val="en-US" w:eastAsia="zh-CN"/>
        </w:rPr>
        <w:t>方式：</w:t>
      </w:r>
    </w:p>
    <w:p w14:paraId="18C07D43">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lang w:eastAsia="zh-CN"/>
        </w:rPr>
      </w:pPr>
      <w:r>
        <w:rPr>
          <w:rFonts w:hint="eastAsia" w:ascii="仿宋_GB2312" w:hAnsi="仿宋" w:eastAsia="仿宋_GB2312"/>
          <w:bCs/>
          <w:sz w:val="28"/>
          <w:szCs w:val="28"/>
          <w:highlight w:val="none"/>
          <w:lang w:val="en-US" w:eastAsia="zh-CN"/>
        </w:rPr>
        <w:t>服务期结束，经甲方验收合格后，按照实际参加体检人数*成交单价据实计算，最终支付不超过项目预算。</w:t>
      </w:r>
    </w:p>
    <w:p w14:paraId="608D4C03">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highlight w:val="none"/>
          <w:lang w:eastAsia="zh-CN"/>
        </w:rPr>
      </w:pPr>
      <w:r>
        <w:rPr>
          <w:rFonts w:hint="eastAsia" w:ascii="仿宋_GB2312" w:hAnsi="仿宋" w:eastAsia="仿宋_GB2312" w:cs="Times New Roman"/>
          <w:bCs/>
          <w:sz w:val="28"/>
          <w:szCs w:val="28"/>
          <w:highlight w:val="none"/>
          <w:lang w:eastAsia="zh-CN"/>
        </w:rPr>
        <w:t>（二）结算方式：银行转账。</w:t>
      </w:r>
    </w:p>
    <w:p w14:paraId="6146DC74">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highlight w:val="none"/>
          <w:lang w:eastAsia="zh-CN"/>
        </w:rPr>
      </w:pPr>
      <w:r>
        <w:rPr>
          <w:rFonts w:hint="eastAsia" w:ascii="仿宋_GB2312" w:hAnsi="仿宋" w:eastAsia="仿宋_GB2312" w:cs="Times New Roman"/>
          <w:bCs/>
          <w:sz w:val="28"/>
          <w:szCs w:val="28"/>
          <w:highlight w:val="none"/>
          <w:lang w:eastAsia="zh-CN"/>
        </w:rPr>
        <w:t>（三）结算单位：由甲方负责结算，乙方开具合同价款的全额发票给甲方。</w:t>
      </w:r>
    </w:p>
    <w:p w14:paraId="093FCA8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2" w:firstLineChars="200"/>
        <w:textAlignment w:val="baseline"/>
        <w:rPr>
          <w:rFonts w:hint="eastAsia" w:ascii="仿宋_GB2312" w:hAnsi="仿宋" w:eastAsia="仿宋_GB2312"/>
          <w:b/>
          <w:bCs/>
          <w:sz w:val="28"/>
          <w:szCs w:val="28"/>
        </w:rPr>
      </w:pPr>
      <w:r>
        <w:rPr>
          <w:rFonts w:hint="eastAsia" w:ascii="仿宋_GB2312" w:hAnsi="仿宋" w:eastAsia="仿宋_GB2312"/>
          <w:b/>
          <w:bCs/>
          <w:sz w:val="28"/>
          <w:szCs w:val="28"/>
        </w:rPr>
        <w:t>四、服务地点及服务期</w:t>
      </w:r>
    </w:p>
    <w:p w14:paraId="40BAB59C">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（一）服务地点：</w:t>
      </w:r>
      <w:r>
        <w:rPr>
          <w:rFonts w:hint="eastAsia" w:ascii="仿宋_GB2312" w:hAnsi="仿宋_GB2312" w:eastAsia="仿宋_GB2312" w:cs="仿宋_GB2312"/>
          <w:b w:val="0"/>
          <w:bCs w:val="0"/>
          <w:snapToGrid/>
          <w:color w:val="auto"/>
          <w:sz w:val="28"/>
          <w:szCs w:val="28"/>
          <w:highlight w:val="none"/>
          <w:lang w:val="en-US" w:eastAsia="zh-CN"/>
        </w:rPr>
        <w:t>西安市范围内，具体以甲方要求为准</w:t>
      </w:r>
      <w:r>
        <w:rPr>
          <w:rFonts w:hint="eastAsia" w:ascii="仿宋_GB2312" w:hAnsi="仿宋" w:eastAsia="仿宋_GB2312"/>
          <w:bCs/>
          <w:sz w:val="28"/>
          <w:szCs w:val="28"/>
          <w:highlight w:val="none"/>
        </w:rPr>
        <w:t>。</w:t>
      </w:r>
    </w:p>
    <w:p w14:paraId="085FC2BD">
      <w:pPr>
        <w:autoSpaceDE w:val="0"/>
        <w:autoSpaceDN w:val="0"/>
        <w:adjustRightInd w:val="0"/>
        <w:snapToGrid w:val="0"/>
        <w:spacing w:line="360" w:lineRule="auto"/>
        <w:ind w:firstLine="560" w:firstLineChars="200"/>
        <w:rPr>
          <w:rFonts w:hint="eastAsia"/>
          <w:highlight w:val="none"/>
        </w:rPr>
      </w:pPr>
      <w:r>
        <w:rPr>
          <w:rFonts w:hint="eastAsia" w:ascii="仿宋_GB2312" w:hAnsi="仿宋" w:eastAsia="仿宋_GB2312"/>
          <w:bCs/>
          <w:sz w:val="28"/>
          <w:szCs w:val="28"/>
          <w:highlight w:val="none"/>
        </w:rPr>
        <w:t>（二）服务期：</w:t>
      </w:r>
      <w:r>
        <w:rPr>
          <w:rFonts w:hint="eastAsia" w:ascii="仿宋_GB2312" w:hAnsi="仿宋_GB2312" w:eastAsia="仿宋_GB2312" w:cs="仿宋_GB2312"/>
          <w:snapToGrid/>
          <w:color w:val="auto"/>
          <w:sz w:val="28"/>
          <w:szCs w:val="28"/>
          <w:highlight w:val="none"/>
          <w:lang w:eastAsia="zh-CN"/>
        </w:rPr>
        <w:t>自合同签订之日起</w:t>
      </w:r>
      <w:r>
        <w:rPr>
          <w:rFonts w:hint="eastAsia" w:ascii="仿宋_GB2312" w:hAnsi="仿宋_GB2312" w:eastAsia="仿宋_GB2312" w:cs="仿宋_GB2312"/>
          <w:snapToGrid/>
          <w:color w:val="auto"/>
          <w:sz w:val="28"/>
          <w:szCs w:val="28"/>
          <w:highlight w:val="none"/>
          <w:lang w:val="en-US" w:eastAsia="zh-CN"/>
        </w:rPr>
        <w:t>6个月</w:t>
      </w:r>
      <w:r>
        <w:rPr>
          <w:rFonts w:hint="eastAsia" w:ascii="仿宋_GB2312" w:hAnsi="仿宋_GB2312" w:eastAsia="仿宋_GB2312" w:cs="仿宋_GB2312"/>
          <w:sz w:val="28"/>
          <w:szCs w:val="28"/>
          <w:highlight w:val="none"/>
          <w:lang w:val="en-US" w:eastAsia="zh-CN"/>
        </w:rPr>
        <w:t>。</w:t>
      </w:r>
    </w:p>
    <w:p w14:paraId="751383B9">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五、双方的权利和义务</w:t>
      </w:r>
    </w:p>
    <w:p w14:paraId="4E92D331">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5C7CB2F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1、甲方负责配合本次项目服务工作；</w:t>
      </w:r>
    </w:p>
    <w:p w14:paraId="3D974FF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2、甲方应按本合同的约定向乙方支付合同价款；</w:t>
      </w:r>
    </w:p>
    <w:p w14:paraId="48C74278">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3、甲方根据需要对乙方提供的实施方案进行审核，提供建议及意见，确定最终实施的服务方案，以便乙方遵照执行；</w:t>
      </w:r>
    </w:p>
    <w:p w14:paraId="550E871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4、甲方有权对合同规定范围内乙方的服务行为进行监督和检查，拥有监管权。有权定期核对乙方提供服务所配备的人员数量。对甲方认为不合理的部分有权下达整改通知书，并要求乙方限期整改。</w:t>
      </w:r>
    </w:p>
    <w:p w14:paraId="6FABBC03">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（二）乙方的权利与义务</w:t>
      </w:r>
    </w:p>
    <w:p w14:paraId="1E38BD3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1、乙方的工作人员必须严格遵守甲方的规章制度，以良好的形象和积极的工作态度，按甲方要求开展工作；</w:t>
      </w:r>
    </w:p>
    <w:p w14:paraId="16FE2463">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2、乙方应服从甲方统筹管理并按流程开展工作；</w:t>
      </w:r>
    </w:p>
    <w:p w14:paraId="09B765E2">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color w:val="auto"/>
          <w:sz w:val="28"/>
          <w:szCs w:val="28"/>
          <w:highlight w:val="none"/>
          <w:lang w:val="en-US" w:eastAsia="zh-CN"/>
        </w:rPr>
        <w:t>3、乙方提交的方案等应得到甲方确认再予以实施</w:t>
      </w:r>
      <w:r>
        <w:rPr>
          <w:rFonts w:hint="eastAsia" w:ascii="仿宋_GB2312" w:hAnsi="仿宋" w:eastAsia="仿宋_GB2312"/>
          <w:bCs/>
          <w:sz w:val="28"/>
          <w:szCs w:val="28"/>
        </w:rPr>
        <w:t>。</w:t>
      </w:r>
    </w:p>
    <w:p w14:paraId="6EB30C20">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六、服务质量保证</w:t>
      </w:r>
    </w:p>
    <w:p w14:paraId="780ED49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（一）乙方需建立高效的管理团队，项目团队组成合理。</w:t>
      </w:r>
    </w:p>
    <w:p w14:paraId="167666A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（二）乙方需派一名项目</w:t>
      </w:r>
      <w:r>
        <w:rPr>
          <w:rFonts w:hint="eastAsia" w:ascii="仿宋_GB2312" w:hAnsi="仿宋" w:eastAsia="仿宋_GB2312"/>
          <w:bCs/>
          <w:sz w:val="28"/>
          <w:szCs w:val="28"/>
          <w:lang w:val="en-US" w:eastAsia="zh-CN"/>
        </w:rPr>
        <w:t>负责人</w:t>
      </w:r>
      <w:r>
        <w:rPr>
          <w:rFonts w:hint="eastAsia" w:ascii="仿宋_GB2312" w:hAnsi="仿宋" w:eastAsia="仿宋_GB2312"/>
          <w:bCs/>
          <w:sz w:val="28"/>
          <w:szCs w:val="28"/>
        </w:rPr>
        <w:t>，直接与甲方沟通，项目</w:t>
      </w:r>
      <w:r>
        <w:rPr>
          <w:rFonts w:hint="eastAsia" w:ascii="仿宋_GB2312" w:hAnsi="仿宋" w:eastAsia="仿宋_GB2312"/>
          <w:bCs/>
          <w:sz w:val="28"/>
          <w:szCs w:val="28"/>
          <w:lang w:val="en-US" w:eastAsia="zh-CN"/>
        </w:rPr>
        <w:t>负责人</w:t>
      </w:r>
      <w:r>
        <w:rPr>
          <w:rFonts w:hint="eastAsia" w:ascii="仿宋_GB2312" w:hAnsi="仿宋" w:eastAsia="仿宋_GB2312"/>
          <w:bCs/>
          <w:sz w:val="28"/>
          <w:szCs w:val="28"/>
        </w:rPr>
        <w:t>接收甲方提出的问题与要求，并及时反馈给工作组，解决在项目实施过程中遇到的问题。</w:t>
      </w:r>
    </w:p>
    <w:p w14:paraId="7788A2C7">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（三）项目在实施过程中会出现不可预料的需求变更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，乙方需积极配合甲方的需求变更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，并按照变更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细化</w:t>
      </w:r>
      <w:r>
        <w:rPr>
          <w:rFonts w:hint="eastAsia" w:ascii="仿宋_GB2312" w:hAnsi="仿宋" w:eastAsia="仿宋_GB2312"/>
          <w:bCs/>
          <w:sz w:val="28"/>
          <w:szCs w:val="28"/>
        </w:rPr>
        <w:t>后的需求继续实施。</w:t>
      </w:r>
    </w:p>
    <w:p w14:paraId="4C33AD54">
      <w:pPr>
        <w:autoSpaceDE w:val="0"/>
        <w:autoSpaceDN w:val="0"/>
        <w:adjustRightInd w:val="0"/>
        <w:snapToGrid w:val="0"/>
        <w:spacing w:line="360" w:lineRule="auto"/>
        <w:ind w:firstLine="560" w:firstLineChars="200"/>
        <w:rPr>
          <w:rFonts w:hint="eastAsia" w:ascii="仿宋_GB2312" w:hAnsi="仿宋" w:eastAsia="仿宋_GB2312"/>
          <w:bCs/>
          <w:sz w:val="28"/>
          <w:szCs w:val="28"/>
          <w:lang w:eastAsia="zh-CN"/>
        </w:rPr>
      </w:pPr>
      <w:r>
        <w:rPr>
          <w:rFonts w:hint="eastAsia" w:ascii="仿宋_GB2312" w:hAnsi="仿宋" w:eastAsia="仿宋_GB2312"/>
          <w:bCs/>
          <w:sz w:val="28"/>
          <w:szCs w:val="28"/>
        </w:rPr>
        <w:t>（四）乙方需设有详细的资料档案和服务档案以便于更好地提供服务</w:t>
      </w:r>
      <w:r>
        <w:rPr>
          <w:rFonts w:hint="eastAsia" w:ascii="仿宋_GB2312" w:hAnsi="仿宋" w:eastAsia="仿宋_GB2312"/>
          <w:bCs/>
          <w:sz w:val="28"/>
          <w:szCs w:val="28"/>
          <w:lang w:eastAsia="zh-CN"/>
        </w:rPr>
        <w:t>。</w:t>
      </w:r>
    </w:p>
    <w:p w14:paraId="55598E0F">
      <w:pPr>
        <w:spacing w:line="360" w:lineRule="auto"/>
        <w:ind w:firstLine="562" w:firstLineChars="200"/>
        <w:rPr>
          <w:rFonts w:hint="eastAsia" w:ascii="仿宋_GB2312" w:hAnsi="仿宋" w:eastAsia="仿宋_GB2312"/>
          <w:b/>
          <w:sz w:val="28"/>
          <w:szCs w:val="28"/>
          <w:lang w:eastAsia="zh-CN"/>
        </w:rPr>
      </w:pPr>
      <w:r>
        <w:rPr>
          <w:rFonts w:hint="eastAsia" w:ascii="仿宋_GB2312" w:hAnsi="仿宋" w:eastAsia="仿宋_GB2312"/>
          <w:b/>
          <w:sz w:val="28"/>
          <w:szCs w:val="28"/>
          <w:lang w:val="en-US" w:eastAsia="zh-CN"/>
        </w:rPr>
        <w:t>七</w:t>
      </w:r>
      <w:r>
        <w:rPr>
          <w:rFonts w:hint="eastAsia" w:ascii="仿宋_GB2312" w:hAnsi="仿宋" w:eastAsia="仿宋_GB2312"/>
          <w:b/>
          <w:sz w:val="28"/>
          <w:szCs w:val="28"/>
        </w:rPr>
        <w:t>、保密</w:t>
      </w:r>
      <w:r>
        <w:rPr>
          <w:rFonts w:hint="eastAsia" w:ascii="仿宋_GB2312" w:hAnsi="仿宋" w:eastAsia="仿宋_GB2312"/>
          <w:b/>
          <w:sz w:val="28"/>
          <w:szCs w:val="28"/>
          <w:lang w:val="en-US" w:eastAsia="zh-CN"/>
        </w:rPr>
        <w:t>规定</w:t>
      </w:r>
    </w:p>
    <w:p w14:paraId="53EEC96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eastAsia="仿宋_GB2312"/>
          <w:sz w:val="28"/>
          <w:szCs w:val="28"/>
        </w:rPr>
      </w:pPr>
      <w:r>
        <w:rPr>
          <w:rFonts w:hint="eastAsia" w:ascii="仿宋_GB2312" w:hAnsi="仿宋_GB2312" w:eastAsia="仿宋_GB2312" w:cs="仿宋_GB2312"/>
          <w:color w:val="auto"/>
          <w:sz w:val="28"/>
          <w:szCs w:val="28"/>
          <w:highlight w:val="none"/>
          <w:lang w:val="en-US" w:eastAsia="zh-CN"/>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5D506161">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eastAsia" w:ascii="仿宋_GB2312" w:hAnsi="仿宋" w:eastAsia="仿宋_GB2312"/>
          <w:b/>
          <w:sz w:val="28"/>
          <w:szCs w:val="28"/>
        </w:rPr>
      </w:pPr>
      <w:r>
        <w:rPr>
          <w:rFonts w:hint="eastAsia" w:ascii="仿宋_GB2312" w:eastAsia="仿宋_GB2312"/>
          <w:b/>
          <w:bCs/>
          <w:sz w:val="28"/>
          <w:szCs w:val="28"/>
          <w:lang w:val="en-US" w:eastAsia="zh-CN"/>
        </w:rPr>
        <w:t>八</w:t>
      </w:r>
      <w:r>
        <w:rPr>
          <w:rFonts w:hint="eastAsia" w:ascii="仿宋_GB2312" w:hAnsi="仿宋" w:eastAsia="仿宋_GB2312"/>
          <w:b/>
          <w:sz w:val="28"/>
          <w:szCs w:val="28"/>
        </w:rPr>
        <w:t>、其他事项</w:t>
      </w:r>
    </w:p>
    <w:p w14:paraId="4346A8CD">
      <w:pPr>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（一）乙方不得转让给其它单位或个人。</w:t>
      </w:r>
    </w:p>
    <w:p w14:paraId="291DF5AD">
      <w:pPr>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w:t>
      </w:r>
      <w:r>
        <w:rPr>
          <w:rFonts w:hint="eastAsia" w:ascii="仿宋_GB2312" w:hAnsi="仿宋_GB2312" w:eastAsia="仿宋_GB2312" w:cs="仿宋_GB2312"/>
          <w:color w:val="auto"/>
          <w:sz w:val="28"/>
          <w:szCs w:val="28"/>
          <w:highlight w:val="none"/>
          <w:lang w:val="en-US" w:eastAsia="zh-CN"/>
        </w:rPr>
        <w:t>响应</w:t>
      </w:r>
      <w:r>
        <w:rPr>
          <w:rFonts w:hint="eastAsia" w:ascii="仿宋_GB2312" w:hAnsi="仿宋" w:eastAsia="仿宋_GB2312"/>
          <w:bCs/>
          <w:sz w:val="28"/>
          <w:szCs w:val="28"/>
        </w:rPr>
        <w:t>文件和承诺等内容将列入合同。</w:t>
      </w:r>
    </w:p>
    <w:p w14:paraId="5E7441BD">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九</w:t>
      </w:r>
      <w:r>
        <w:rPr>
          <w:rFonts w:hint="eastAsia" w:ascii="仿宋_GB2312" w:hAnsi="仿宋" w:eastAsia="仿宋_GB2312"/>
          <w:b/>
          <w:sz w:val="28"/>
          <w:szCs w:val="28"/>
        </w:rPr>
        <w:t>、验收</w:t>
      </w:r>
    </w:p>
    <w:p w14:paraId="3DFD010B">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（一）本项目验收费用，由乙方自行承担。</w:t>
      </w:r>
    </w:p>
    <w:p w14:paraId="552F9F93">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（二）服务期满后，由乙方向甲方递交验收通知书，经甲方确认后，组织乙方进行系统验收。验收合格后，填写政府采购项目验收单作为对本次服务的最终认可。</w:t>
      </w:r>
    </w:p>
    <w:p w14:paraId="0DB36759">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（三）验收依据：</w:t>
      </w:r>
    </w:p>
    <w:p w14:paraId="0C71CA98">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1、本合同及附加文本；</w:t>
      </w:r>
    </w:p>
    <w:p w14:paraId="1F1028F9">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2、磋商文件、成交供应商的响应文件及澄清（承诺）函；</w:t>
      </w:r>
    </w:p>
    <w:p w14:paraId="40DBC4FB">
      <w:pPr>
        <w:autoSpaceDE w:val="0"/>
        <w:autoSpaceDN w:val="0"/>
        <w:adjustRightInd w:val="0"/>
        <w:snapToGrid w:val="0"/>
        <w:spacing w:line="360" w:lineRule="auto"/>
        <w:ind w:firstLine="560" w:firstLineChars="200"/>
        <w:rPr>
          <w:rFonts w:hint="eastAsia" w:ascii="仿宋_GB2312" w:hAnsi="仿宋" w:eastAsia="仿宋_GB2312"/>
          <w:b w:val="0"/>
          <w:bCs/>
          <w:sz w:val="28"/>
          <w:szCs w:val="28"/>
        </w:rPr>
      </w:pPr>
      <w:r>
        <w:rPr>
          <w:rFonts w:hint="eastAsia" w:ascii="仿宋_GB2312" w:hAnsi="仿宋" w:eastAsia="仿宋_GB2312"/>
          <w:b w:val="0"/>
          <w:bCs/>
          <w:sz w:val="28"/>
          <w:szCs w:val="28"/>
        </w:rPr>
        <w:t>3、国家相应的标准、规范。</w:t>
      </w:r>
    </w:p>
    <w:p w14:paraId="58C35342">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十、违约责任</w:t>
      </w:r>
    </w:p>
    <w:p w14:paraId="4453A3D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（一）按《中华人民共和国民法典》中的相关条款执行。</w:t>
      </w:r>
    </w:p>
    <w:p w14:paraId="5D68D2B0">
      <w:pPr>
        <w:autoSpaceDE w:val="0"/>
        <w:autoSpaceDN w:val="0"/>
        <w:adjustRightInd w:val="0"/>
        <w:snapToGrid w:val="0"/>
        <w:spacing w:line="360" w:lineRule="auto"/>
        <w:ind w:firstLine="560" w:firstLineChars="200"/>
        <w:rPr>
          <w:rFonts w:hint="eastAsia"/>
        </w:rPr>
      </w:pPr>
      <w:r>
        <w:rPr>
          <w:rFonts w:hint="eastAsia" w:ascii="仿宋_GB2312" w:hAnsi="仿宋" w:eastAsia="仿宋_GB2312"/>
          <w:bCs/>
          <w:sz w:val="28"/>
          <w:szCs w:val="28"/>
        </w:rPr>
        <w:t>（二）未按合同要求提供服务或服务质量不能满足本次采购要求，采购人会同监督机构、采购代理机构有权终止合同和对成交供应商违约行为进行追究，同时按政府采购法的有关规定进行相应。</w:t>
      </w:r>
    </w:p>
    <w:p w14:paraId="19FC730A">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w:t>
      </w:r>
      <w:r>
        <w:rPr>
          <w:rFonts w:hint="eastAsia" w:ascii="仿宋_GB2312" w:hAnsi="仿宋" w:eastAsia="仿宋_GB2312"/>
          <w:b/>
          <w:sz w:val="28"/>
          <w:szCs w:val="28"/>
          <w:lang w:val="en-US" w:eastAsia="zh-CN"/>
        </w:rPr>
        <w:t>一</w:t>
      </w:r>
      <w:r>
        <w:rPr>
          <w:rFonts w:hint="eastAsia" w:ascii="仿宋_GB2312" w:hAnsi="仿宋" w:eastAsia="仿宋_GB2312"/>
          <w:b/>
          <w:sz w:val="28"/>
          <w:szCs w:val="28"/>
        </w:rPr>
        <w:t>、合同争议解决的方式</w:t>
      </w:r>
    </w:p>
    <w:p w14:paraId="07DF63C5">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本合同在履行过程中发生的争议，由甲、乙双方当事人协商解决，协商不成的按下列第</w:t>
      </w:r>
      <w:r>
        <w:rPr>
          <w:rFonts w:hint="eastAsia" w:ascii="仿宋_GB2312" w:hAnsi="仿宋" w:eastAsia="仿宋_GB2312"/>
          <w:bCs/>
          <w:sz w:val="28"/>
          <w:szCs w:val="28"/>
          <w:u w:val="single"/>
        </w:rPr>
        <w:t>（二）</w:t>
      </w:r>
      <w:r>
        <w:rPr>
          <w:rFonts w:hint="eastAsia" w:ascii="仿宋_GB2312" w:hAnsi="仿宋" w:eastAsia="仿宋_GB2312"/>
          <w:bCs/>
          <w:sz w:val="28"/>
          <w:szCs w:val="28"/>
        </w:rPr>
        <w:t>种方式解决：</w:t>
      </w:r>
    </w:p>
    <w:p w14:paraId="62E3756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（一）提交西安仲裁委员会仲裁；</w:t>
      </w:r>
    </w:p>
    <w:p w14:paraId="790F5E3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（二）依法向甲方所在地人民法院起诉。</w:t>
      </w:r>
    </w:p>
    <w:p w14:paraId="62E1742A">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十二、</w:t>
      </w:r>
      <w:r>
        <w:rPr>
          <w:rFonts w:hint="eastAsia" w:ascii="仿宋_GB2312" w:hAnsi="仿宋" w:eastAsia="仿宋_GB2312"/>
          <w:b/>
          <w:sz w:val="28"/>
          <w:szCs w:val="28"/>
        </w:rPr>
        <w:t>合同生效</w:t>
      </w:r>
    </w:p>
    <w:p w14:paraId="1AB4C1F6">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56BADEA8">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（二）合同生效后，甲、乙双方须严格执行本合同条款的规定，全面履行合同，违者按《中华人民共和国民法典》的有关规定承担相应责任。</w:t>
      </w:r>
    </w:p>
    <w:p w14:paraId="5762C24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551846AA">
      <w:pPr>
        <w:keepNext w:val="0"/>
        <w:keepLines w:val="0"/>
        <w:pageBreakBefore w:val="0"/>
        <w:widowControl w:val="0"/>
        <w:kinsoku/>
        <w:wordWrap/>
        <w:overflowPunct/>
        <w:topLinePunct w:val="0"/>
        <w:autoSpaceDE w:val="0"/>
        <w:autoSpaceDN w:val="0"/>
        <w:bidi w:val="0"/>
        <w:adjustRightInd w:val="0"/>
        <w:snapToGrid w:val="0"/>
        <w:spacing w:after="0" w:afterLines="50"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_GB2312" w:eastAsia="仿宋_GB2312" w:cs="仿宋_GB2312"/>
          <w:sz w:val="28"/>
          <w:szCs w:val="28"/>
        </w:rPr>
        <w:t>（四）本合同如有未尽事宜，甲、乙双方协商解决</w:t>
      </w:r>
      <w:r>
        <w:rPr>
          <w:rFonts w:hint="eastAsia" w:ascii="仿宋_GB2312" w:hAnsi="仿宋" w:eastAsia="仿宋_GB2312"/>
          <w:bCs/>
          <w:sz w:val="28"/>
          <w:szCs w:val="28"/>
          <w:highlight w:val="none"/>
        </w:rPr>
        <w:t>。</w:t>
      </w:r>
    </w:p>
    <w:p w14:paraId="247672A7">
      <w:pPr>
        <w:keepNext w:val="0"/>
        <w:keepLines w:val="0"/>
        <w:pageBreakBefore w:val="0"/>
        <w:widowControl w:val="0"/>
        <w:kinsoku/>
        <w:wordWrap/>
        <w:overflowPunct/>
        <w:topLinePunct w:val="0"/>
        <w:autoSpaceDE w:val="0"/>
        <w:autoSpaceDN w:val="0"/>
        <w:bidi w:val="0"/>
        <w:adjustRightInd w:val="0"/>
        <w:snapToGrid w:val="0"/>
        <w:spacing w:after="0" w:afterLines="50" w:line="360" w:lineRule="auto"/>
        <w:ind w:firstLine="560" w:firstLineChars="200"/>
        <w:textAlignment w:val="auto"/>
        <w:rPr>
          <w:rFonts w:hint="eastAsia" w:ascii="仿宋_GB2312" w:hAnsi="仿宋" w:eastAsia="仿宋_GB2312"/>
          <w:bCs/>
          <w:sz w:val="28"/>
          <w:szCs w:val="28"/>
          <w:highlight w:val="none"/>
        </w:rPr>
      </w:pPr>
    </w:p>
    <w:p w14:paraId="0D1AF8F1">
      <w:pPr>
        <w:pStyle w:val="8"/>
        <w:rPr>
          <w:rFonts w:hint="eastAsia" w:ascii="仿宋_GB2312" w:hAnsi="仿宋" w:eastAsia="仿宋_GB2312"/>
          <w:bCs/>
          <w:sz w:val="28"/>
          <w:szCs w:val="28"/>
          <w:highlight w:val="none"/>
        </w:rPr>
      </w:pPr>
    </w:p>
    <w:tbl>
      <w:tblPr>
        <w:tblStyle w:val="13"/>
        <w:tblW w:w="0" w:type="auto"/>
        <w:jc w:val="center"/>
        <w:tblLayout w:type="fixed"/>
        <w:tblCellMar>
          <w:top w:w="0" w:type="dxa"/>
          <w:left w:w="108" w:type="dxa"/>
          <w:bottom w:w="0" w:type="dxa"/>
          <w:right w:w="108" w:type="dxa"/>
        </w:tblCellMar>
      </w:tblPr>
      <w:tblGrid>
        <w:gridCol w:w="4201"/>
        <w:gridCol w:w="4202"/>
      </w:tblGrid>
      <w:tr w14:paraId="6572C8C8">
        <w:tblPrEx>
          <w:tblCellMar>
            <w:top w:w="0" w:type="dxa"/>
            <w:left w:w="108" w:type="dxa"/>
            <w:bottom w:w="0" w:type="dxa"/>
            <w:right w:w="108" w:type="dxa"/>
          </w:tblCellMar>
        </w:tblPrEx>
        <w:trPr>
          <w:trHeight w:val="567" w:hRule="exact"/>
          <w:jc w:val="center"/>
        </w:trPr>
        <w:tc>
          <w:tcPr>
            <w:tcW w:w="4201" w:type="dxa"/>
            <w:noWrap w:val="0"/>
            <w:vAlign w:val="center"/>
          </w:tcPr>
          <w:p w14:paraId="6E23166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甲  方</w:t>
            </w:r>
          </w:p>
        </w:tc>
        <w:tc>
          <w:tcPr>
            <w:tcW w:w="4202" w:type="dxa"/>
            <w:noWrap w:val="0"/>
            <w:vAlign w:val="center"/>
          </w:tcPr>
          <w:p w14:paraId="61FD565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乙  方</w:t>
            </w:r>
          </w:p>
        </w:tc>
      </w:tr>
      <w:tr w14:paraId="1BC0F0E0">
        <w:tblPrEx>
          <w:tblCellMar>
            <w:top w:w="0" w:type="dxa"/>
            <w:left w:w="108" w:type="dxa"/>
            <w:bottom w:w="0" w:type="dxa"/>
            <w:right w:w="108" w:type="dxa"/>
          </w:tblCellMar>
        </w:tblPrEx>
        <w:trPr>
          <w:trHeight w:val="567" w:hRule="exact"/>
          <w:jc w:val="center"/>
        </w:trPr>
        <w:tc>
          <w:tcPr>
            <w:tcW w:w="4201" w:type="dxa"/>
            <w:noWrap w:val="0"/>
            <w:vAlign w:val="center"/>
          </w:tcPr>
          <w:p w14:paraId="614BCD9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c>
          <w:tcPr>
            <w:tcW w:w="4202" w:type="dxa"/>
            <w:noWrap w:val="0"/>
            <w:vAlign w:val="center"/>
          </w:tcPr>
          <w:p w14:paraId="51DA11A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r>
      <w:tr w14:paraId="77BEA7F7">
        <w:tblPrEx>
          <w:tblCellMar>
            <w:top w:w="0" w:type="dxa"/>
            <w:left w:w="108" w:type="dxa"/>
            <w:bottom w:w="0" w:type="dxa"/>
            <w:right w:w="108" w:type="dxa"/>
          </w:tblCellMar>
        </w:tblPrEx>
        <w:trPr>
          <w:trHeight w:val="567" w:hRule="exact"/>
          <w:jc w:val="center"/>
        </w:trPr>
        <w:tc>
          <w:tcPr>
            <w:tcW w:w="4201" w:type="dxa"/>
            <w:noWrap w:val="0"/>
            <w:vAlign w:val="center"/>
          </w:tcPr>
          <w:p w14:paraId="014ABF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地址： </w:t>
            </w:r>
          </w:p>
        </w:tc>
        <w:tc>
          <w:tcPr>
            <w:tcW w:w="4202" w:type="dxa"/>
            <w:noWrap w:val="0"/>
            <w:vAlign w:val="center"/>
          </w:tcPr>
          <w:p w14:paraId="06DA9C9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地址：</w:t>
            </w:r>
          </w:p>
        </w:tc>
      </w:tr>
      <w:tr w14:paraId="3C244535">
        <w:tblPrEx>
          <w:tblCellMar>
            <w:top w:w="0" w:type="dxa"/>
            <w:left w:w="108" w:type="dxa"/>
            <w:bottom w:w="0" w:type="dxa"/>
            <w:right w:w="108" w:type="dxa"/>
          </w:tblCellMar>
        </w:tblPrEx>
        <w:trPr>
          <w:trHeight w:val="567" w:hRule="exact"/>
          <w:jc w:val="center"/>
        </w:trPr>
        <w:tc>
          <w:tcPr>
            <w:tcW w:w="4201" w:type="dxa"/>
            <w:noWrap w:val="0"/>
            <w:vAlign w:val="center"/>
          </w:tcPr>
          <w:p w14:paraId="63C62D2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法定代表人 </w:t>
            </w:r>
          </w:p>
        </w:tc>
        <w:tc>
          <w:tcPr>
            <w:tcW w:w="4202" w:type="dxa"/>
            <w:noWrap w:val="0"/>
            <w:vAlign w:val="center"/>
          </w:tcPr>
          <w:p w14:paraId="221102A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法定代表人</w:t>
            </w:r>
          </w:p>
        </w:tc>
      </w:tr>
      <w:tr w14:paraId="13A363CA">
        <w:tblPrEx>
          <w:tblCellMar>
            <w:top w:w="0" w:type="dxa"/>
            <w:left w:w="108" w:type="dxa"/>
            <w:bottom w:w="0" w:type="dxa"/>
            <w:right w:w="108" w:type="dxa"/>
          </w:tblCellMar>
        </w:tblPrEx>
        <w:trPr>
          <w:trHeight w:val="567" w:hRule="exact"/>
          <w:jc w:val="center"/>
        </w:trPr>
        <w:tc>
          <w:tcPr>
            <w:tcW w:w="4201" w:type="dxa"/>
            <w:noWrap w:val="0"/>
            <w:vAlign w:val="center"/>
          </w:tcPr>
          <w:p w14:paraId="2DF62DF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c>
          <w:tcPr>
            <w:tcW w:w="4202" w:type="dxa"/>
            <w:noWrap w:val="0"/>
            <w:vAlign w:val="center"/>
          </w:tcPr>
          <w:p w14:paraId="2590E6C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r>
      <w:tr w14:paraId="42756BBE">
        <w:tblPrEx>
          <w:tblCellMar>
            <w:top w:w="0" w:type="dxa"/>
            <w:left w:w="108" w:type="dxa"/>
            <w:bottom w:w="0" w:type="dxa"/>
            <w:right w:w="108" w:type="dxa"/>
          </w:tblCellMar>
        </w:tblPrEx>
        <w:trPr>
          <w:trHeight w:val="567" w:hRule="exact"/>
          <w:jc w:val="center"/>
        </w:trPr>
        <w:tc>
          <w:tcPr>
            <w:tcW w:w="4201" w:type="dxa"/>
            <w:noWrap w:val="0"/>
            <w:vAlign w:val="center"/>
          </w:tcPr>
          <w:p w14:paraId="433897A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c>
          <w:tcPr>
            <w:tcW w:w="4202" w:type="dxa"/>
            <w:noWrap w:val="0"/>
            <w:vAlign w:val="center"/>
          </w:tcPr>
          <w:p w14:paraId="4A9DCD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r>
      <w:tr w14:paraId="24F51C18">
        <w:tblPrEx>
          <w:tblCellMar>
            <w:top w:w="0" w:type="dxa"/>
            <w:left w:w="108" w:type="dxa"/>
            <w:bottom w:w="0" w:type="dxa"/>
            <w:right w:w="108" w:type="dxa"/>
          </w:tblCellMar>
        </w:tblPrEx>
        <w:trPr>
          <w:trHeight w:val="567" w:hRule="exact"/>
          <w:jc w:val="center"/>
        </w:trPr>
        <w:tc>
          <w:tcPr>
            <w:tcW w:w="4201" w:type="dxa"/>
            <w:noWrap w:val="0"/>
            <w:vAlign w:val="center"/>
          </w:tcPr>
          <w:p w14:paraId="7E41BE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c>
          <w:tcPr>
            <w:tcW w:w="4202" w:type="dxa"/>
            <w:noWrap w:val="0"/>
            <w:vAlign w:val="center"/>
          </w:tcPr>
          <w:p w14:paraId="216072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r>
      <w:tr w14:paraId="601F56D4">
        <w:tblPrEx>
          <w:tblCellMar>
            <w:top w:w="0" w:type="dxa"/>
            <w:left w:w="108" w:type="dxa"/>
            <w:bottom w:w="0" w:type="dxa"/>
            <w:right w:w="108" w:type="dxa"/>
          </w:tblCellMar>
        </w:tblPrEx>
        <w:trPr>
          <w:trHeight w:val="567" w:hRule="exact"/>
          <w:jc w:val="center"/>
        </w:trPr>
        <w:tc>
          <w:tcPr>
            <w:tcW w:w="4201" w:type="dxa"/>
            <w:noWrap w:val="0"/>
            <w:vAlign w:val="center"/>
          </w:tcPr>
          <w:p w14:paraId="60EF91C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c>
          <w:tcPr>
            <w:tcW w:w="4202" w:type="dxa"/>
            <w:noWrap w:val="0"/>
            <w:vAlign w:val="center"/>
          </w:tcPr>
          <w:p w14:paraId="69C98E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r>
    </w:tbl>
    <w:p w14:paraId="231E44F1"/>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0C815C1-F567-47CF-A1B7-61E4279968E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C1EABFDA-B1EC-4ADB-9198-B6A9EF761735}"/>
  </w:font>
  <w:font w:name="仿宋_GB2312">
    <w:panose1 w:val="02010609030101010101"/>
    <w:charset w:val="86"/>
    <w:family w:val="modern"/>
    <w:pitch w:val="default"/>
    <w:sig w:usb0="00000001" w:usb1="080E0000" w:usb2="00000000" w:usb3="00000000" w:csb0="00040000" w:csb1="00000000"/>
    <w:embedRegular r:id="rId3" w:fontKey="{0CBB7E15-7237-47CC-89CC-F7E39F9A600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92A37C4"/>
    <w:rsid w:val="198577DD"/>
    <w:rsid w:val="19966094"/>
    <w:rsid w:val="1A277D55"/>
    <w:rsid w:val="1CA80820"/>
    <w:rsid w:val="1D6E70FD"/>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4F63A8A"/>
    <w:rsid w:val="57DF2953"/>
    <w:rsid w:val="5C7E1FD1"/>
    <w:rsid w:val="5D3B49BA"/>
    <w:rsid w:val="60E414E6"/>
    <w:rsid w:val="61E5759F"/>
    <w:rsid w:val="64A137DB"/>
    <w:rsid w:val="696F3399"/>
    <w:rsid w:val="70DD6597"/>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4</Pages>
  <Words>1711</Words>
  <Characters>1723</Characters>
  <Lines>12</Lines>
  <Paragraphs>3</Paragraphs>
  <TotalTime>0</TotalTime>
  <ScaleCrop>false</ScaleCrop>
  <LinksUpToDate>false</LinksUpToDate>
  <CharactersWithSpaces>1802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2026-05-07T03:52:15Z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