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版本号：HGMHCG-2026-3220260820001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市地质灾害监测预警管理平台运维和技术服务费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HGMHCG-2026-32</w:t>
      </w:r>
      <w:r>
        <w:br/>
      </w:r>
      <w:r>
        <w:br/>
      </w:r>
      <w:r>
        <w:br/>
      </w:r>
    </w:p>
    <w:p>
      <w:pPr>
        <w:pStyle w:val="null3"/>
        <w:jc w:val="center"/>
        <w:outlineLvl w:val="2"/>
      </w:pPr>
      <w:r>
        <w:rPr>
          <w:rFonts w:ascii="仿宋_GB2312" w:hAnsi="仿宋_GB2312" w:cs="仿宋_GB2312" w:eastAsia="仿宋_GB2312"/>
          <w:sz w:val="28"/>
          <w:b/>
        </w:rPr>
        <w:t>铜川市地质环境监测站</w:t>
      </w:r>
    </w:p>
    <w:p>
      <w:pPr>
        <w:pStyle w:val="null3"/>
        <w:jc w:val="center"/>
        <w:outlineLvl w:val="2"/>
      </w:pPr>
      <w:r>
        <w:rPr>
          <w:rFonts w:ascii="仿宋_GB2312" w:hAnsi="仿宋_GB2312" w:cs="仿宋_GB2312" w:eastAsia="仿宋_GB2312"/>
          <w:sz w:val="28"/>
          <w:b/>
        </w:rPr>
        <w:t>陕西恒广茂禾项目管理有限公司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陕西恒广茂禾项目管理有限公司</w:t>
      </w:r>
      <w:r>
        <w:rPr>
          <w:rFonts w:ascii="仿宋_GB2312" w:hAnsi="仿宋_GB2312" w:cs="仿宋_GB2312" w:eastAsia="仿宋_GB2312"/>
        </w:rPr>
        <w:t>（以下简称“代理机构”）受</w:t>
      </w:r>
      <w:r>
        <w:rPr>
          <w:rFonts w:ascii="仿宋_GB2312" w:hAnsi="仿宋_GB2312" w:cs="仿宋_GB2312" w:eastAsia="仿宋_GB2312"/>
        </w:rPr>
        <w:t>铜川市地质环境监测站</w:t>
      </w:r>
      <w:r>
        <w:rPr>
          <w:rFonts w:ascii="仿宋_GB2312" w:hAnsi="仿宋_GB2312" w:cs="仿宋_GB2312" w:eastAsia="仿宋_GB2312"/>
        </w:rPr>
        <w:t>委托，拟对</w:t>
      </w:r>
      <w:r>
        <w:rPr>
          <w:rFonts w:ascii="仿宋_GB2312" w:hAnsi="仿宋_GB2312" w:cs="仿宋_GB2312" w:eastAsia="仿宋_GB2312"/>
        </w:rPr>
        <w:t>市地质灾害监测预警管理平台运维和技术服务费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HGMHCG-2026-32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市地质灾害监测预警管理平台运维和技术服务费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市地质灾害监测预警管理平台运维和技术服务费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采购包1（市地质灾害监测预警管理平台运维和技术服务费）：属于专门面向中小企业采购。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承担⺠事责任的能⼒，提供法⼈或者其他组织的营业执照等证明⽂件，⾃然⼈参与的提供其有效⾝份证明：具有独⽴承担⺠事责任的能⼒，提供法⼈或者其他组织的营业执照等证明⽂件，⾃然⼈参与的提供其有效⾝份证明。</w:t>
      </w:r>
    </w:p>
    <w:p>
      <w:pPr>
        <w:pStyle w:val="null3"/>
      </w:pPr>
      <w:r>
        <w:rPr>
          <w:rFonts w:ascii="仿宋_GB2312" w:hAnsi="仿宋_GB2312" w:cs="仿宋_GB2312" w:eastAsia="仿宋_GB2312"/>
        </w:rPr>
        <w:t>2、具有履⾏合同所必需的设备和专业技术能⼒（提供承诺函）：具有履⾏合同所必需的设备和专业技术能⼒（提供承诺函）。</w:t>
      </w:r>
    </w:p>
    <w:p>
      <w:pPr>
        <w:pStyle w:val="null3"/>
      </w:pPr>
      <w:r>
        <w:rPr>
          <w:rFonts w:ascii="仿宋_GB2312" w:hAnsi="仿宋_GB2312" w:cs="仿宋_GB2312" w:eastAsia="仿宋_GB2312"/>
        </w:rPr>
        <w:t>3、依法缴纳税收和社会保障资⾦相关材料（磋商截⽌⽇前六个⽉内任意⼀个⽉）：依法缴纳税收和社会保障资⾦相关材料（磋商截⽌⽇前六个⽉内任意⼀个⽉）。</w:t>
      </w:r>
    </w:p>
    <w:p>
      <w:pPr>
        <w:pStyle w:val="null3"/>
      </w:pPr>
      <w:r>
        <w:rPr>
          <w:rFonts w:ascii="仿宋_GB2312" w:hAnsi="仿宋_GB2312" w:cs="仿宋_GB2312" w:eastAsia="仿宋_GB2312"/>
        </w:rPr>
        <w:t>4、供应商需提供2025年度财务审计报告或提供⽂件递交截⽌⽇前三个⽉内从基本⼾银⾏开具的资信证明：供应商需提供2025年度财务审计报告或提供⽂件递交截⽌⽇前三个⽉内从基本⼾银⾏开具的资信证明。</w:t>
      </w:r>
    </w:p>
    <w:p>
      <w:pPr>
        <w:pStyle w:val="null3"/>
      </w:pPr>
      <w:r>
        <w:rPr>
          <w:rFonts w:ascii="仿宋_GB2312" w:hAnsi="仿宋_GB2312" w:cs="仿宋_GB2312" w:eastAsia="仿宋_GB2312"/>
        </w:rPr>
        <w:t>5、法定代表⼈直接参加磋商的，须出具法⼈⾝份证；授权代表参加磋商的，须出具授权书及授权代表⾝份证：法定代表⼈直接参加磋商的，须出具法⼈⾝份证；授权代表参加磋商的，须出具授权书及授权代表⾝份证。</w:t>
      </w:r>
    </w:p>
    <w:p>
      <w:pPr>
        <w:pStyle w:val="null3"/>
      </w:pPr>
      <w:r>
        <w:rPr>
          <w:rFonts w:ascii="仿宋_GB2312" w:hAnsi="仿宋_GB2312" w:cs="仿宋_GB2312" w:eastAsia="仿宋_GB2312"/>
        </w:rPr>
        <w:t>6、供应商出具本企业参加政府采购活动前三年内经营活动中没有重⼤违法记录的书⾯声明：供应商出具本企业参加政府采购活动前三年内经营活动中没有重⼤违法记录的书⾯声明。</w:t>
      </w:r>
    </w:p>
    <w:p>
      <w:pPr>
        <w:pStyle w:val="null3"/>
      </w:pPr>
      <w:r>
        <w:rPr>
          <w:rFonts w:ascii="仿宋_GB2312" w:hAnsi="仿宋_GB2312" w:cs="仿宋_GB2312" w:eastAsia="仿宋_GB2312"/>
        </w:rPr>
        <w:t>7、供应商不得为“信⽤中国”中列⼊失信被执⾏⼈和重⼤税收违法案件当事⼈名单的供应商，不得为“中国政府采购⽹”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铜川市地质环境监测站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铜川新区正阳路斯明街2号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0919-3183902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陕西恒广茂禾项目管理有限公司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陕西省铜川市新区长虹南路山水雅庭3幢1单元10901室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15353839221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办法》的通知（计价格〔2002〕1980号）、《国家发展和改⾰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铜川市地质环境监测站</w:t>
      </w:r>
      <w:r>
        <w:rPr>
          <w:rFonts w:ascii="仿宋_GB2312" w:hAnsi="仿宋_GB2312" w:cs="仿宋_GB2312" w:eastAsia="仿宋_GB2312"/>
        </w:rPr>
        <w:t>和</w:t>
      </w:r>
      <w:r>
        <w:rPr>
          <w:rFonts w:ascii="仿宋_GB2312" w:hAnsi="仿宋_GB2312" w:cs="仿宋_GB2312" w:eastAsia="仿宋_GB2312"/>
        </w:rPr>
        <w:t>陕西恒广茂禾项目管理有限公司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铜川市地质环境监测站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陕西恒广茂禾项目管理有限公司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铜川市地质环境监测站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陕西恒广茂禾项目管理有限公司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双⽅签订合同时具体约定。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w:t>
      </w:r>
    </w:p>
    <w:p>
      <w:pPr>
        <w:pStyle w:val="null3"/>
      </w:pPr>
      <w:r>
        <w:rPr>
          <w:rFonts w:ascii="仿宋_GB2312" w:hAnsi="仿宋_GB2312" w:cs="仿宋_GB2312" w:eastAsia="仿宋_GB2312"/>
        </w:rPr>
        <w:t>联系电话：15353839221</w:t>
      </w:r>
    </w:p>
    <w:p>
      <w:pPr>
        <w:pStyle w:val="null3"/>
      </w:pPr>
      <w:r>
        <w:rPr>
          <w:rFonts w:ascii="仿宋_GB2312" w:hAnsi="仿宋_GB2312" w:cs="仿宋_GB2312" w:eastAsia="仿宋_GB2312"/>
        </w:rPr>
        <w:t>地址：陕西省铜川市新区⻓虹南路⼭⽔雅庭6幢1单元301室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市地质灾害监测预警管理平台运维和技术服务费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市地质灾害监测预警管理平台运维和技术服务费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标的名称：市地质灾害监测预警管理平台运维和技术服务费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21"/>
                <w:color w:val="000000"/>
              </w:rPr>
              <w:t>⼀、项⽬概述</w:t>
            </w:r>
          </w:p>
          <w:p>
            <w:pPr>
              <w:pStyle w:val="null3"/>
              <w:ind w:firstLine="560"/>
              <w:jc w:val="left"/>
            </w:pPr>
            <w:r>
              <w:rPr>
                <w:rFonts w:ascii="仿宋_GB2312" w:hAnsi="仿宋_GB2312" w:cs="仿宋_GB2312" w:eastAsia="仿宋_GB2312"/>
                <w:sz w:val="21"/>
                <w:color w:val="000000"/>
              </w:rPr>
              <w:t>本项⽬针对铜川市地质灾害监测预警平台开展⽇常运⾏维护。</w:t>
            </w:r>
          </w:p>
          <w:p>
            <w:pPr>
              <w:pStyle w:val="null3"/>
              <w:ind w:firstLine="560"/>
              <w:jc w:val="left"/>
            </w:pPr>
            <w:r>
              <w:rPr>
                <w:rFonts w:ascii="仿宋_GB2312" w:hAnsi="仿宋_GB2312" w:cs="仿宋_GB2312" w:eastAsia="仿宋_GB2312"/>
                <w:sz w:val="21"/>
                <w:color w:val="000000"/>
              </w:rPr>
              <w:t>铜川市地质灾害监测预警平台系为推动全市地质灾害法治⼯作从</w:t>
            </w:r>
            <w:r>
              <w:rPr>
                <w:rFonts w:ascii="仿宋_GB2312" w:hAnsi="仿宋_GB2312" w:cs="仿宋_GB2312" w:eastAsia="仿宋_GB2312"/>
                <w:sz w:val="21"/>
                <w:color w:val="000000"/>
              </w:rPr>
              <w:t>“</w:t>
            </w:r>
            <w:r>
              <w:rPr>
                <w:rFonts w:ascii="仿宋_GB2312" w:hAnsi="仿宋_GB2312" w:cs="仿宋_GB2312" w:eastAsia="仿宋_GB2312"/>
                <w:sz w:val="21"/>
                <w:color w:val="000000"/>
              </w:rPr>
              <w:t>⼈防</w:t>
            </w:r>
            <w:r>
              <w:rPr>
                <w:rFonts w:ascii="仿宋_GB2312" w:hAnsi="仿宋_GB2312" w:cs="仿宋_GB2312" w:eastAsia="仿宋_GB2312"/>
                <w:sz w:val="21"/>
                <w:color w:val="000000"/>
              </w:rPr>
              <w:t>”</w:t>
            </w:r>
            <w:r>
              <w:rPr>
                <w:rFonts w:ascii="仿宋_GB2312" w:hAnsi="仿宋_GB2312" w:cs="仿宋_GB2312" w:eastAsia="仿宋_GB2312"/>
                <w:sz w:val="21"/>
                <w:color w:val="000000"/>
              </w:rPr>
              <w:t>向</w:t>
            </w:r>
            <w:r>
              <w:rPr>
                <w:rFonts w:ascii="仿宋_GB2312" w:hAnsi="仿宋_GB2312" w:cs="仿宋_GB2312" w:eastAsia="仿宋_GB2312"/>
                <w:sz w:val="21"/>
                <w:color w:val="000000"/>
              </w:rPr>
              <w:t>“</w:t>
            </w:r>
            <w:r>
              <w:rPr>
                <w:rFonts w:ascii="仿宋_GB2312" w:hAnsi="仿宋_GB2312" w:cs="仿宋_GB2312" w:eastAsia="仿宋_GB2312"/>
                <w:sz w:val="21"/>
                <w:color w:val="000000"/>
              </w:rPr>
              <w:t>⼈防</w:t>
            </w:r>
            <w:r>
              <w:rPr>
                <w:rFonts w:ascii="仿宋_GB2312" w:hAnsi="仿宋_GB2312" w:cs="仿宋_GB2312" w:eastAsia="仿宋_GB2312"/>
                <w:sz w:val="21"/>
                <w:color w:val="000000"/>
              </w:rPr>
              <w:t>”+“</w:t>
            </w:r>
            <w:r>
              <w:rPr>
                <w:rFonts w:ascii="仿宋_GB2312" w:hAnsi="仿宋_GB2312" w:cs="仿宋_GB2312" w:eastAsia="仿宋_GB2312"/>
                <w:sz w:val="21"/>
                <w:color w:val="000000"/>
              </w:rPr>
              <w:t>技防</w:t>
            </w:r>
            <w:r>
              <w:rPr>
                <w:rFonts w:ascii="仿宋_GB2312" w:hAnsi="仿宋_GB2312" w:cs="仿宋_GB2312" w:eastAsia="仿宋_GB2312"/>
                <w:sz w:val="21"/>
                <w:color w:val="000000"/>
              </w:rPr>
              <w:t>”</w:t>
            </w:r>
            <w:r>
              <w:rPr>
                <w:rFonts w:ascii="仿宋_GB2312" w:hAnsi="仿宋_GB2312" w:cs="仿宋_GB2312" w:eastAsia="仿宋_GB2312"/>
                <w:sz w:val="21"/>
                <w:color w:val="000000"/>
              </w:rPr>
              <w:t>转变⽽⾃主研发了地质灾害监测预警平台。包括⼀个综合应⽤体系，三个⽀撑中⼼、⼀套⽀撑平台、⼀套专业监测终端。</w:t>
            </w:r>
          </w:p>
          <w:p>
            <w:pPr>
              <w:pStyle w:val="null3"/>
              <w:ind w:firstLine="560"/>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⼀个综合应⽤体系。基于华为超聚合虚拟化平台（</w:t>
            </w:r>
            <w:r>
              <w:rPr>
                <w:rFonts w:ascii="仿宋_GB2312" w:hAnsi="仿宋_GB2312" w:cs="仿宋_GB2312" w:eastAsia="仿宋_GB2312"/>
                <w:sz w:val="21"/>
                <w:color w:val="000000"/>
              </w:rPr>
              <w:t>FusionCompute</w:t>
            </w:r>
            <w:r>
              <w:rPr>
                <w:rFonts w:ascii="仿宋_GB2312" w:hAnsi="仿宋_GB2312" w:cs="仿宋_GB2312" w:eastAsia="仿宋_GB2312"/>
                <w:sz w:val="21"/>
                <w:color w:val="000000"/>
              </w:rPr>
              <w:t>）部署建设并统⼀管理地质灾害防治⼀张图系统、地质灾害调查与评价系统、地质灾害⽹格化与群测群防系统、地质灾害监测预警系统、地质灾害预警指挥系统、地质灾害避让与治理系统和地质灾害防治宣传⻔⼾等七⼤应⽤系统。</w:t>
            </w:r>
          </w:p>
          <w:p>
            <w:pPr>
              <w:pStyle w:val="null3"/>
              <w:ind w:firstLine="560"/>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三个⽀撑中⼼。包括数据中⼼、云计算中⼼、监测中⼼，为平台业务流转提供⽀撑。</w:t>
            </w:r>
          </w:p>
          <w:p>
            <w:pPr>
              <w:pStyle w:val="null3"/>
              <w:ind w:firstLine="560"/>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⼀套⽀撑平台。主要有基础</w:t>
            </w:r>
            <w:r>
              <w:rPr>
                <w:rFonts w:ascii="仿宋_GB2312" w:hAnsi="仿宋_GB2312" w:cs="仿宋_GB2312" w:eastAsia="仿宋_GB2312"/>
                <w:sz w:val="21"/>
                <w:color w:val="000000"/>
              </w:rPr>
              <w:t>GIS</w:t>
            </w:r>
            <w:r>
              <w:rPr>
                <w:rFonts w:ascii="仿宋_GB2312" w:hAnsi="仿宋_GB2312" w:cs="仿宋_GB2312" w:eastAsia="仿宋_GB2312"/>
                <w:sz w:val="21"/>
                <w:color w:val="000000"/>
              </w:rPr>
              <w:t>平台和融合通讯平台，为地质灾害三维实景场景表达，监测预警信息图像化提供⽀撑平台。</w:t>
            </w:r>
          </w:p>
          <w:p>
            <w:pPr>
              <w:pStyle w:val="null3"/>
              <w:ind w:firstLine="560"/>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⼀套专业监测终端。在全市</w:t>
            </w:r>
            <w:r>
              <w:rPr>
                <w:rFonts w:ascii="仿宋_GB2312" w:hAnsi="仿宋_GB2312" w:cs="仿宋_GB2312" w:eastAsia="仿宋_GB2312"/>
                <w:sz w:val="21"/>
                <w:color w:val="000000"/>
              </w:rPr>
              <w:t>21</w:t>
            </w:r>
            <w:r>
              <w:rPr>
                <w:rFonts w:ascii="仿宋_GB2312" w:hAnsi="仿宋_GB2312" w:cs="仿宋_GB2312" w:eastAsia="仿宋_GB2312"/>
                <w:sz w:val="21"/>
                <w:color w:val="000000"/>
              </w:rPr>
              <w:t>个重点地质灾害隐患点建成了</w:t>
            </w:r>
            <w:r>
              <w:rPr>
                <w:rFonts w:ascii="仿宋_GB2312" w:hAnsi="仿宋_GB2312" w:cs="仿宋_GB2312" w:eastAsia="仿宋_GB2312"/>
                <w:sz w:val="21"/>
                <w:color w:val="000000"/>
              </w:rPr>
              <w:t>163</w:t>
            </w:r>
            <w:r>
              <w:rPr>
                <w:rFonts w:ascii="仿宋_GB2312" w:hAnsi="仿宋_GB2312" w:cs="仿宋_GB2312" w:eastAsia="仿宋_GB2312"/>
                <w:sz w:val="21"/>
                <w:color w:val="000000"/>
              </w:rPr>
              <w:t>台⼾外专业监测站（分为⾬量计、表⾯位移计、裂缝计、拉线位移计、倾⻆计、⼟壤含⽔率监测计、视频监控共七类），通过南⽅测绘定制开发的终端数据 采集软件，全天候监测所在区域地貌地物变化情况和⽓象因素，及时采集回传监测数据。</w:t>
            </w:r>
          </w:p>
          <w:p>
            <w:pPr>
              <w:pStyle w:val="null3"/>
              <w:ind w:firstLine="560"/>
              <w:jc w:val="left"/>
            </w:pPr>
            <w:r>
              <w:rPr>
                <w:rFonts w:ascii="仿宋_GB2312" w:hAnsi="仿宋_GB2312" w:cs="仿宋_GB2312" w:eastAsia="仿宋_GB2312"/>
                <w:sz w:val="21"/>
                <w:color w:val="000000"/>
              </w:rPr>
              <w:t>⼆、运营服务范围及要求</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、软件服务</w:t>
            </w:r>
          </w:p>
          <w:p>
            <w:pPr>
              <w:pStyle w:val="null3"/>
              <w:ind w:firstLine="560"/>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基础软件服务。包括本项⽬应⽤到的</w:t>
            </w:r>
            <w:r>
              <w:rPr>
                <w:rFonts w:ascii="仿宋_GB2312" w:hAnsi="仿宋_GB2312" w:cs="仿宋_GB2312" w:eastAsia="仿宋_GB2312"/>
                <w:sz w:val="21"/>
                <w:color w:val="000000"/>
              </w:rPr>
              <w:t>ORACLE,SQL Server</w:t>
            </w:r>
            <w:r>
              <w:rPr>
                <w:rFonts w:ascii="仿宋_GB2312" w:hAnsi="仿宋_GB2312" w:cs="仿宋_GB2312" w:eastAsia="仿宋_GB2312"/>
                <w:sz w:val="21"/>
                <w:color w:val="000000"/>
              </w:rPr>
              <w:t>、</w:t>
            </w:r>
            <w:r>
              <w:rPr>
                <w:rFonts w:ascii="仿宋_GB2312" w:hAnsi="仿宋_GB2312" w:cs="仿宋_GB2312" w:eastAsia="仿宋_GB2312"/>
                <w:sz w:val="21"/>
                <w:color w:val="000000"/>
              </w:rPr>
              <w:t>sql</w:t>
            </w:r>
            <w:r>
              <w:rPr>
                <w:rFonts w:ascii="仿宋_GB2312" w:hAnsi="仿宋_GB2312" w:cs="仿宋_GB2312" w:eastAsia="仿宋_GB2312"/>
                <w:sz w:val="21"/>
                <w:color w:val="000000"/>
              </w:rPr>
              <w:t>等主流的数据库管理软件，</w:t>
            </w:r>
            <w:r>
              <w:rPr>
                <w:rFonts w:ascii="仿宋_GB2312" w:hAnsi="仿宋_GB2312" w:cs="仿宋_GB2312" w:eastAsia="仿宋_GB2312"/>
                <w:sz w:val="21"/>
                <w:color w:val="000000"/>
              </w:rPr>
              <w:t>Windows</w:t>
            </w:r>
            <w:r>
              <w:rPr>
                <w:rFonts w:ascii="仿宋_GB2312" w:hAnsi="仿宋_GB2312" w:cs="仿宋_GB2312" w:eastAsia="仿宋_GB2312"/>
                <w:sz w:val="21"/>
                <w:color w:val="000000"/>
              </w:rPr>
              <w:t>、</w:t>
            </w:r>
            <w:r>
              <w:rPr>
                <w:rFonts w:ascii="仿宋_GB2312" w:hAnsi="仿宋_GB2312" w:cs="仿宋_GB2312" w:eastAsia="仿宋_GB2312"/>
                <w:sz w:val="21"/>
                <w:color w:val="000000"/>
              </w:rPr>
              <w:t>linux</w:t>
            </w:r>
            <w:r>
              <w:rPr>
                <w:rFonts w:ascii="仿宋_GB2312" w:hAnsi="仿宋_GB2312" w:cs="仿宋_GB2312" w:eastAsia="仿宋_GB2312"/>
                <w:sz w:val="21"/>
                <w:color w:val="000000"/>
              </w:rPr>
              <w:t>操作系统，</w:t>
            </w:r>
            <w:r>
              <w:rPr>
                <w:rFonts w:ascii="仿宋_GB2312" w:hAnsi="仿宋_GB2312" w:cs="仿宋_GB2312" w:eastAsia="仿宋_GB2312"/>
                <w:sz w:val="21"/>
                <w:color w:val="000000"/>
              </w:rPr>
              <w:t>Tomcat</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weblogic </w:t>
            </w:r>
            <w:r>
              <w:rPr>
                <w:rFonts w:ascii="仿宋_GB2312" w:hAnsi="仿宋_GB2312" w:cs="仿宋_GB2312" w:eastAsia="仿宋_GB2312"/>
                <w:sz w:val="21"/>
                <w:color w:val="000000"/>
              </w:rPr>
              <w:t>应⽤服务等第三⽅软件产品和云数据中⼼基础运⾏环境及设备的维护。</w:t>
            </w:r>
          </w:p>
          <w:p>
            <w:pPr>
              <w:pStyle w:val="null3"/>
              <w:ind w:firstLine="560"/>
              <w:jc w:val="left"/>
            </w:pPr>
            <w:r>
              <w:rPr>
                <w:rFonts w:ascii="仿宋_GB2312" w:hAnsi="仿宋_GB2312" w:cs="仿宋_GB2312" w:eastAsia="仿宋_GB2312"/>
                <w:sz w:val="21"/>
                <w:color w:val="000000"/>
              </w:rPr>
              <w:t xml:space="preserve">1.2 </w:t>
            </w:r>
            <w:r>
              <w:rPr>
                <w:rFonts w:ascii="仿宋_GB2312" w:hAnsi="仿宋_GB2312" w:cs="仿宋_GB2312" w:eastAsia="仿宋_GB2312"/>
                <w:sz w:val="21"/>
                <w:color w:val="000000"/>
              </w:rPr>
              <w:t>例⾏操作。按</w:t>
            </w:r>
            <w:r>
              <w:rPr>
                <w:rFonts w:ascii="仿宋_GB2312" w:hAnsi="仿宋_GB2312" w:cs="仿宋_GB2312" w:eastAsia="仿宋_GB2312"/>
                <w:sz w:val="21"/>
                <w:color w:val="000000"/>
              </w:rPr>
              <w:t>SLA</w:t>
            </w:r>
            <w:r>
              <w:rPr>
                <w:rFonts w:ascii="仿宋_GB2312" w:hAnsi="仿宋_GB2312" w:cs="仿宋_GB2312" w:eastAsia="仿宋_GB2312"/>
                <w:sz w:val="21"/>
                <w:color w:val="000000"/>
              </w:rPr>
              <w:t>中约定对操作系统、数据库、中间件进⾏巡检和运⾏情况分析，完成巡检报告。</w:t>
            </w:r>
          </w:p>
          <w:p>
            <w:pPr>
              <w:pStyle w:val="null3"/>
              <w:ind w:firstLine="560"/>
              <w:jc w:val="left"/>
            </w:pPr>
            <w:r>
              <w:rPr>
                <w:rFonts w:ascii="仿宋_GB2312" w:hAnsi="仿宋_GB2312" w:cs="仿宋_GB2312" w:eastAsia="仿宋_GB2312"/>
                <w:sz w:val="21"/>
                <w:color w:val="000000"/>
              </w:rPr>
              <w:t xml:space="preserve">1.3 </w:t>
            </w:r>
            <w:r>
              <w:rPr>
                <w:rFonts w:ascii="仿宋_GB2312" w:hAnsi="仿宋_GB2312" w:cs="仿宋_GB2312" w:eastAsia="仿宋_GB2312"/>
                <w:sz w:val="21"/>
                <w:color w:val="000000"/>
              </w:rPr>
              <w:t>响应⽀持。按照</w:t>
            </w:r>
            <w:r>
              <w:rPr>
                <w:rFonts w:ascii="仿宋_GB2312" w:hAnsi="仿宋_GB2312" w:cs="仿宋_GB2312" w:eastAsia="仿宋_GB2312"/>
                <w:sz w:val="21"/>
                <w:color w:val="000000"/>
              </w:rPr>
              <w:t>SLA</w:t>
            </w:r>
            <w:r>
              <w:rPr>
                <w:rFonts w:ascii="仿宋_GB2312" w:hAnsi="仿宋_GB2312" w:cs="仿宋_GB2312" w:eastAsia="仿宋_GB2312"/>
                <w:sz w:val="21"/>
                <w:color w:val="000000"/>
              </w:rPr>
              <w:t>中约定的响应时间，通过电话、远程、现场等⽅式处理⽤⼾设备的软件故障。</w:t>
            </w:r>
          </w:p>
          <w:p>
            <w:pPr>
              <w:pStyle w:val="null3"/>
              <w:ind w:firstLine="560"/>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优化服务。对系统软件性能优化提供建议及⽀持，实施系统性能优化服务。</w:t>
            </w:r>
          </w:p>
          <w:p>
            <w:pPr>
              <w:pStyle w:val="null3"/>
              <w:spacing w:before="105" w:after="105"/>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、应⽤系统及其集成服务</w:t>
            </w:r>
          </w:p>
          <w:p>
            <w:pPr>
              <w:pStyle w:val="null3"/>
              <w:spacing w:before="105" w:after="105"/>
              <w:ind w:firstLine="560"/>
              <w:jc w:val="left"/>
            </w:pPr>
            <w:r>
              <w:rPr>
                <w:rFonts w:ascii="仿宋_GB2312" w:hAnsi="仿宋_GB2312" w:cs="仿宋_GB2312" w:eastAsia="仿宋_GB2312"/>
                <w:sz w:val="21"/>
                <w:color w:val="000000"/>
              </w:rPr>
              <w:t>包括本平台建设的七个⼦系统相关软硬件及⼦系统间集成服务。</w:t>
            </w:r>
          </w:p>
          <w:p>
            <w:pPr>
              <w:pStyle w:val="null3"/>
              <w:ind w:firstLine="560"/>
              <w:jc w:val="left"/>
            </w:pPr>
            <w:r>
              <w:rPr>
                <w:rFonts w:ascii="仿宋_GB2312" w:hAnsi="仿宋_GB2312" w:cs="仿宋_GB2312" w:eastAsia="仿宋_GB2312"/>
                <w:sz w:val="21"/>
                <w:color w:val="000000"/>
              </w:rPr>
              <w:t xml:space="preserve">2.1 </w:t>
            </w:r>
            <w:r>
              <w:rPr>
                <w:rFonts w:ascii="仿宋_GB2312" w:hAnsi="仿宋_GB2312" w:cs="仿宋_GB2312" w:eastAsia="仿宋_GB2312"/>
                <w:sz w:val="21"/>
                <w:color w:val="000000"/>
              </w:rPr>
              <w:t xml:space="preserve">数据采集软件的调试维护，确保野外监测数据正常采集。2.2 </w:t>
            </w:r>
            <w:r>
              <w:rPr>
                <w:rFonts w:ascii="仿宋_GB2312" w:hAnsi="仿宋_GB2312" w:cs="仿宋_GB2312" w:eastAsia="仿宋_GB2312"/>
                <w:sz w:val="21"/>
                <w:color w:val="000000"/>
              </w:rPr>
              <w:t xml:space="preserve">对系统提供总集成技术⽀持服务，包含对当前系统涉及的各⽅⾯进⾏故障诊断、监控和巡检、应⽤级运维和调优、系统调整部署、升级规划和评估和相关单位服务调度。2.3 </w:t>
            </w:r>
            <w:r>
              <w:rPr>
                <w:rFonts w:ascii="仿宋_GB2312" w:hAnsi="仿宋_GB2312" w:cs="仿宋_GB2312" w:eastAsia="仿宋_GB2312"/>
                <w:sz w:val="21"/>
                <w:color w:val="000000"/>
              </w:rPr>
              <w:t xml:space="preserve">根据应⽤软件系统运⾏要求提供应⽤级集成调优、数据库中间件与应⽤软件协同配置调整、⽹络设备配置优化和部署优化、主机操作系统、双机集群、中间件等系统软件的部署、配置、调优⼯作。2.4 </w:t>
            </w:r>
            <w:r>
              <w:rPr>
                <w:rFonts w:ascii="仿宋_GB2312" w:hAnsi="仿宋_GB2312" w:cs="仿宋_GB2312" w:eastAsia="仿宋_GB2312"/>
                <w:sz w:val="21"/>
                <w:color w:val="000000"/>
              </w:rPr>
              <w:t>备份容灾的应⽤级维护服务和定期演练等。</w:t>
            </w:r>
          </w:p>
          <w:p>
            <w:pPr>
              <w:pStyle w:val="null3"/>
              <w:spacing w:before="105" w:after="105"/>
              <w:ind w:firstLine="5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、野外⾃动监测站及数据库维护服务</w:t>
            </w:r>
          </w:p>
          <w:p>
            <w:pPr>
              <w:pStyle w:val="null3"/>
              <w:ind w:firstLine="560"/>
              <w:jc w:val="left"/>
            </w:pPr>
            <w:r>
              <w:rPr>
                <w:rFonts w:ascii="仿宋_GB2312" w:hAnsi="仿宋_GB2312" w:cs="仿宋_GB2312" w:eastAsia="仿宋_GB2312"/>
                <w:sz w:val="21"/>
                <w:color w:val="000000"/>
              </w:rPr>
              <w:t xml:space="preserve">3.1 </w:t>
            </w:r>
            <w:r>
              <w:rPr>
                <w:rFonts w:ascii="仿宋_GB2312" w:hAnsi="仿宋_GB2312" w:cs="仿宋_GB2312" w:eastAsia="仿宋_GB2312"/>
                <w:sz w:val="21"/>
                <w:color w:val="000000"/>
              </w:rPr>
              <w:t>⾃动监测站维护服务。对已建成的</w:t>
            </w:r>
            <w:r>
              <w:rPr>
                <w:rFonts w:ascii="仿宋_GB2312" w:hAnsi="仿宋_GB2312" w:cs="仿宋_GB2312" w:eastAsia="仿宋_GB2312"/>
                <w:sz w:val="21"/>
                <w:color w:val="000000"/>
              </w:rPr>
              <w:t>163</w:t>
            </w:r>
            <w:r>
              <w:rPr>
                <w:rFonts w:ascii="仿宋_GB2312" w:hAnsi="仿宋_GB2312" w:cs="仿宋_GB2312" w:eastAsia="仿宋_GB2312"/>
                <w:sz w:val="21"/>
                <w:color w:val="000000"/>
              </w:rPr>
              <w:t>台监测设备开展⽇常硬件维护、监测数据采集和传输。</w:t>
            </w:r>
            <w:r>
              <w:rPr>
                <w:rFonts w:ascii="仿宋_GB2312" w:hAnsi="仿宋_GB2312" w:cs="仿宋_GB2312" w:eastAsia="仿宋_GB2312"/>
                <w:sz w:val="21"/>
                <w:color w:val="000000"/>
              </w:rPr>
              <w:t>3.2</w:t>
            </w:r>
            <w:r>
              <w:rPr>
                <w:rFonts w:ascii="仿宋_GB2312" w:hAnsi="仿宋_GB2312" w:cs="仿宋_GB2312" w:eastAsia="仿宋_GB2312"/>
                <w:sz w:val="21"/>
                <w:color w:val="000000"/>
              </w:rPr>
              <w:t>数据监测分析。对野外⾃动监测站采集并向平台反馈的所有数据开展适时监测，对异常数据进⾏分析研判并查找原因。</w:t>
            </w:r>
            <w:r>
              <w:rPr>
                <w:rFonts w:ascii="仿宋_GB2312" w:hAnsi="仿宋_GB2312" w:cs="仿宋_GB2312" w:eastAsia="仿宋_GB2312"/>
                <w:sz w:val="21"/>
                <w:color w:val="000000"/>
              </w:rPr>
              <w:t>3.3</w:t>
            </w:r>
            <w:r>
              <w:rPr>
                <w:rFonts w:ascii="仿宋_GB2312" w:hAnsi="仿宋_GB2312" w:cs="仿宋_GB2312" w:eastAsia="仿宋_GB2312"/>
                <w:sz w:val="21"/>
                <w:color w:val="000000"/>
              </w:rPr>
              <w:t>对全市地质灾害调查数据、勘查数据、地质专题数据、三维倾斜摄影模型、⾼分影像等地质灾害数据库开展⽇常管理维护。</w:t>
            </w:r>
          </w:p>
          <w:p>
            <w:pPr>
              <w:pStyle w:val="null3"/>
              <w:spacing w:before="105" w:after="105"/>
              <w:ind w:firstLine="56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、应急维护服务</w:t>
            </w:r>
          </w:p>
          <w:p>
            <w:pPr>
              <w:pStyle w:val="null3"/>
              <w:spacing w:before="105" w:after="105"/>
              <w:ind w:firstLine="560"/>
              <w:jc w:val="left"/>
            </w:pPr>
            <w:r>
              <w:rPr>
                <w:rFonts w:ascii="仿宋_GB2312" w:hAnsi="仿宋_GB2312" w:cs="仿宋_GB2312" w:eastAsia="仿宋_GB2312"/>
                <w:sz w:val="21"/>
                <w:color w:val="000000"/>
              </w:rPr>
              <w:t>在平台出现紧急重⼤故障时，第⼀时间做出应急响应，⽴即启动备份系统，同时将指派具有解决故障能⼒的软件⼯程师、数据库⼯程师以及硬件⽹络⼯程师组成的紧急服务⼩组解决问题。</w:t>
            </w:r>
          </w:p>
          <w:p>
            <w:pPr>
              <w:pStyle w:val="null3"/>
              <w:spacing w:before="105" w:after="105"/>
              <w:ind w:firstLine="560"/>
              <w:jc w:val="left"/>
            </w:pPr>
            <w:r>
              <w:rPr>
                <w:rFonts w:ascii="仿宋_GB2312" w:hAnsi="仿宋_GB2312" w:cs="仿宋_GB2312" w:eastAsia="仿宋_GB2312"/>
                <w:sz w:val="21"/>
                <w:color w:val="000000"/>
              </w:rPr>
              <w:t>三、运维单位要求</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在铜川应设⽴办事处，作为运维技术⽀持机构。</w:t>
            </w:r>
            <w:r>
              <w:rPr>
                <w:rFonts w:ascii="仿宋_GB2312" w:hAnsi="仿宋_GB2312" w:cs="仿宋_GB2312" w:eastAsia="仿宋_GB2312"/>
                <w:sz w:val="21"/>
                <w:color w:val="000000"/>
              </w:rPr>
              <w:t>2.</w:t>
            </w:r>
            <w:r>
              <w:rPr>
                <w:rFonts w:ascii="仿宋_GB2312" w:hAnsi="仿宋_GB2312" w:cs="仿宋_GB2312" w:eastAsia="仿宋_GB2312"/>
                <w:sz w:val="21"/>
                <w:color w:val="000000"/>
              </w:rPr>
              <w:t>配备⾄少</w:t>
            </w:r>
            <w:r>
              <w:rPr>
                <w:rFonts w:ascii="仿宋_GB2312" w:hAnsi="仿宋_GB2312" w:cs="仿宋_GB2312" w:eastAsia="仿宋_GB2312"/>
                <w:sz w:val="21"/>
                <w:color w:val="000000"/>
              </w:rPr>
              <w:t>2</w:t>
            </w:r>
            <w:r>
              <w:rPr>
                <w:rFonts w:ascii="仿宋_GB2312" w:hAnsi="仿宋_GB2312" w:cs="仿宋_GB2312" w:eastAsia="仿宋_GB2312"/>
                <w:sz w:val="21"/>
                <w:color w:val="000000"/>
              </w:rPr>
              <w:t>名专业技术⼈员（具备软件和信息技术、地质灾害防治专业知识）常驻，开展运维技术服务。</w:t>
            </w:r>
            <w:r>
              <w:rPr>
                <w:rFonts w:ascii="仿宋_GB2312" w:hAnsi="仿宋_GB2312" w:cs="仿宋_GB2312" w:eastAsia="仿宋_GB2312"/>
                <w:sz w:val="21"/>
                <w:color w:val="000000"/>
              </w:rPr>
              <w:t>3.</w:t>
            </w:r>
            <w:r>
              <w:rPr>
                <w:rFonts w:ascii="仿宋_GB2312" w:hAnsi="仿宋_GB2312" w:cs="仿宋_GB2312" w:eastAsia="仿宋_GB2312"/>
                <w:sz w:val="21"/>
                <w:color w:val="000000"/>
              </w:rPr>
              <w:t>配备专⽤巡检运维⻋辆和专⽤仪器维修⼯具。</w:t>
            </w:r>
          </w:p>
          <w:p>
            <w:pPr>
              <w:pStyle w:val="null3"/>
              <w:spacing w:before="105" w:after="105"/>
              <w:ind w:firstLine="560"/>
              <w:jc w:val="left"/>
            </w:pPr>
            <w:r>
              <w:rPr>
                <w:rFonts w:ascii="仿宋_GB2312" w:hAnsi="仿宋_GB2312" w:cs="仿宋_GB2312" w:eastAsia="仿宋_GB2312"/>
                <w:sz w:val="21"/>
                <w:color w:val="000000"/>
              </w:rPr>
              <w:t>四、⼀般运维⼯作要求</w:t>
            </w:r>
          </w:p>
          <w:p>
            <w:pPr>
              <w:pStyle w:val="null3"/>
              <w:spacing w:before="105" w:after="105"/>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⽇常服务</w:t>
            </w:r>
          </w:p>
          <w:p>
            <w:pPr>
              <w:pStyle w:val="null3"/>
              <w:ind w:firstLine="560"/>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每⽇检查服务器、⽹络设备、平台软件运⾏情况及软硬件运⾏环境，若发现问题当⽇处理，确保平台安全有序运⾏，填写运维⽇志；</w:t>
            </w:r>
            <w:r>
              <w:rPr>
                <w:rFonts w:ascii="仿宋_GB2312" w:hAnsi="仿宋_GB2312" w:cs="仿宋_GB2312" w:eastAsia="仿宋_GB2312"/>
                <w:sz w:val="21"/>
                <w:color w:val="000000"/>
              </w:rPr>
              <w:t>1.2</w:t>
            </w:r>
            <w:r>
              <w:rPr>
                <w:rFonts w:ascii="仿宋_GB2312" w:hAnsi="仿宋_GB2312" w:cs="仿宋_GB2312" w:eastAsia="仿宋_GB2312"/>
                <w:sz w:val="21"/>
                <w:color w:val="000000"/>
              </w:rPr>
              <w:t>管理平台的计算机操作系统和业务系统运⾏是否正常；</w:t>
            </w:r>
            <w:r>
              <w:rPr>
                <w:rFonts w:ascii="仿宋_GB2312" w:hAnsi="仿宋_GB2312" w:cs="仿宋_GB2312" w:eastAsia="仿宋_GB2312"/>
                <w:sz w:val="21"/>
                <w:color w:val="000000"/>
              </w:rPr>
              <w:t>1.3</w:t>
            </w:r>
            <w:r>
              <w:rPr>
                <w:rFonts w:ascii="仿宋_GB2312" w:hAnsi="仿宋_GB2312" w:cs="仿宋_GB2312" w:eastAsia="仿宋_GB2312"/>
                <w:sz w:val="21"/>
                <w:color w:val="000000"/>
              </w:rPr>
              <w:t>实时监测野外监测站在线情况、数据采集传输情况、及时发现并处理异常数据。</w:t>
            </w:r>
          </w:p>
          <w:p>
            <w:pPr>
              <w:pStyle w:val="null3"/>
              <w:spacing w:before="105" w:after="105"/>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周检查服务</w:t>
            </w:r>
          </w:p>
          <w:p>
            <w:pPr>
              <w:pStyle w:val="null3"/>
              <w:ind w:firstLine="560"/>
              <w:jc w:val="left"/>
            </w:pPr>
            <w:r>
              <w:rPr>
                <w:rFonts w:ascii="仿宋_GB2312" w:hAnsi="仿宋_GB2312" w:cs="仿宋_GB2312" w:eastAsia="仿宋_GB2312"/>
                <w:sz w:val="21"/>
                <w:color w:val="000000"/>
              </w:rPr>
              <w:t xml:space="preserve">2.1 </w:t>
            </w:r>
            <w:r>
              <w:rPr>
                <w:rFonts w:ascii="仿宋_GB2312" w:hAnsi="仿宋_GB2312" w:cs="仿宋_GB2312" w:eastAsia="仿宋_GB2312"/>
                <w:sz w:val="21"/>
                <w:color w:val="000000"/>
              </w:rPr>
              <w:t>检查本周⼊库数据的完整性、有效性；</w:t>
            </w:r>
            <w:r>
              <w:rPr>
                <w:rFonts w:ascii="仿宋_GB2312" w:hAnsi="仿宋_GB2312" w:cs="仿宋_GB2312" w:eastAsia="仿宋_GB2312"/>
                <w:sz w:val="21"/>
                <w:color w:val="000000"/>
              </w:rPr>
              <w:t xml:space="preserve">2.2 </w:t>
            </w:r>
            <w:r>
              <w:rPr>
                <w:rFonts w:ascii="仿宋_GB2312" w:hAnsi="仿宋_GB2312" w:cs="仿宋_GB2312" w:eastAsia="仿宋_GB2312"/>
                <w:sz w:val="21"/>
                <w:color w:val="000000"/>
              </w:rPr>
              <w:t>对信息化系统，管理平台数据库数据备份；</w:t>
            </w:r>
            <w:r>
              <w:rPr>
                <w:rFonts w:ascii="仿宋_GB2312" w:hAnsi="仿宋_GB2312" w:cs="仿宋_GB2312" w:eastAsia="仿宋_GB2312"/>
                <w:sz w:val="21"/>
                <w:color w:val="000000"/>
              </w:rPr>
              <w:t xml:space="preserve">2.3 </w:t>
            </w:r>
            <w:r>
              <w:rPr>
                <w:rFonts w:ascii="仿宋_GB2312" w:hAnsi="仿宋_GB2312" w:cs="仿宋_GB2312" w:eastAsia="仿宋_GB2312"/>
                <w:sz w:val="21"/>
                <w:color w:val="000000"/>
              </w:rPr>
              <w:t>对信息化系统，管理平台中⼼数据库⽇志压缩；</w:t>
            </w:r>
          </w:p>
          <w:p>
            <w:pPr>
              <w:pStyle w:val="null3"/>
              <w:spacing w:before="105" w:after="105"/>
              <w:ind w:firstLine="5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⽉检查服务</w:t>
            </w:r>
          </w:p>
          <w:p>
            <w:pPr>
              <w:pStyle w:val="null3"/>
              <w:ind w:firstLine="560"/>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在周检查服务的基础上，对平台运⾏情况和数据采集传输情况统计、分析和处理；</w:t>
            </w:r>
            <w:r>
              <w:rPr>
                <w:rFonts w:ascii="仿宋_GB2312" w:hAnsi="仿宋_GB2312" w:cs="仿宋_GB2312" w:eastAsia="仿宋_GB2312"/>
                <w:sz w:val="21"/>
                <w:color w:val="000000"/>
              </w:rPr>
              <w:t>3.3</w:t>
            </w:r>
            <w:r>
              <w:rPr>
                <w:rFonts w:ascii="仿宋_GB2312" w:hAnsi="仿宋_GB2312" w:cs="仿宋_GB2312" w:eastAsia="仿宋_GB2312"/>
                <w:sz w:val="21"/>
                <w:color w:val="000000"/>
              </w:rPr>
              <w:t>每⽉⾄少开展⼀次服务器运⾏状态维护，如：</w:t>
            </w:r>
            <w:r>
              <w:rPr>
                <w:rFonts w:ascii="仿宋_GB2312" w:hAnsi="仿宋_GB2312" w:cs="仿宋_GB2312" w:eastAsia="仿宋_GB2312"/>
                <w:sz w:val="21"/>
                <w:color w:val="000000"/>
              </w:rPr>
              <w:t>CPU</w:t>
            </w:r>
            <w:r>
              <w:rPr>
                <w:rFonts w:ascii="仿宋_GB2312" w:hAnsi="仿宋_GB2312" w:cs="仿宋_GB2312" w:eastAsia="仿宋_GB2312"/>
                <w:sz w:val="21"/>
                <w:color w:val="000000"/>
              </w:rPr>
              <w:t>、内存、磁盘空间、垃圾清理，系统病毒查杀，设备浮尘清理、连接性加固等；</w:t>
            </w:r>
            <w:r>
              <w:rPr>
                <w:rFonts w:ascii="仿宋_GB2312" w:hAnsi="仿宋_GB2312" w:cs="仿宋_GB2312" w:eastAsia="仿宋_GB2312"/>
                <w:sz w:val="21"/>
                <w:color w:val="000000"/>
              </w:rPr>
              <w:t xml:space="preserve">3.3 </w:t>
            </w:r>
            <w:r>
              <w:rPr>
                <w:rFonts w:ascii="仿宋_GB2312" w:hAnsi="仿宋_GB2312" w:cs="仿宋_GB2312" w:eastAsia="仿宋_GB2312"/>
                <w:sz w:val="21"/>
                <w:color w:val="000000"/>
              </w:rPr>
              <w:t>对野外⾃动监测站开展⼀次例⾏巡护，不少于总数的</w:t>
            </w:r>
            <w:r>
              <w:rPr>
                <w:rFonts w:ascii="仿宋_GB2312" w:hAnsi="仿宋_GB2312" w:cs="仿宋_GB2312" w:eastAsia="仿宋_GB2312"/>
                <w:sz w:val="21"/>
                <w:color w:val="000000"/>
              </w:rPr>
              <w:t>1/3(</w:t>
            </w:r>
            <w:r>
              <w:rPr>
                <w:rFonts w:ascii="仿宋_GB2312" w:hAnsi="仿宋_GB2312" w:cs="仿宋_GB2312" w:eastAsia="仿宋_GB2312"/>
                <w:sz w:val="21"/>
                <w:color w:val="000000"/>
              </w:rPr>
              <w:t>其中</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⽉，每⽉对所有监测站实现巡护全覆盖</w:t>
            </w:r>
            <w:r>
              <w:rPr>
                <w:rFonts w:ascii="仿宋_GB2312" w:hAnsi="仿宋_GB2312" w:cs="仿宋_GB2312" w:eastAsia="仿宋_GB2312"/>
                <w:sz w:val="21"/>
                <w:color w:val="000000"/>
              </w:rPr>
              <w:t>)</w:t>
            </w:r>
            <w:r>
              <w:rPr>
                <w:rFonts w:ascii="仿宋_GB2312" w:hAnsi="仿宋_GB2312" w:cs="仿宋_GB2312" w:eastAsia="仿宋_GB2312"/>
                <w:sz w:val="21"/>
                <w:color w:val="000000"/>
              </w:rPr>
              <w:t>次⽉</w:t>
            </w:r>
            <w:r>
              <w:rPr>
                <w:rFonts w:ascii="仿宋_GB2312" w:hAnsi="仿宋_GB2312" w:cs="仿宋_GB2312" w:eastAsia="仿宋_GB2312"/>
                <w:sz w:val="21"/>
                <w:color w:val="000000"/>
              </w:rPr>
              <w:t>5</w:t>
            </w:r>
            <w:r>
              <w:rPr>
                <w:rFonts w:ascii="仿宋_GB2312" w:hAnsi="仿宋_GB2312" w:cs="仿宋_GB2312" w:eastAsia="仿宋_GB2312"/>
                <w:sz w:val="21"/>
                <w:color w:val="000000"/>
              </w:rPr>
              <w:t>⽇前，对上⽉系统运维、数据处理和野外巡护情况形成⽉度检查报告，提交采购⼈。</w:t>
            </w:r>
          </w:p>
          <w:p>
            <w:pPr>
              <w:pStyle w:val="null3"/>
              <w:ind w:firstLine="56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季度巡检服务</w:t>
            </w:r>
            <w:r>
              <w:rPr>
                <w:rFonts w:ascii="仿宋_GB2312" w:hAnsi="仿宋_GB2312" w:cs="仿宋_GB2312" w:eastAsia="仿宋_GB2312"/>
                <w:sz w:val="21"/>
              </w:rPr>
              <w:t xml:space="preserve"> </w:t>
            </w:r>
          </w:p>
          <w:p>
            <w:pPr>
              <w:pStyle w:val="null3"/>
              <w:ind w:firstLine="560"/>
              <w:jc w:val="left"/>
            </w:pPr>
            <w:r>
              <w:rPr>
                <w:rFonts w:ascii="仿宋_GB2312" w:hAnsi="仿宋_GB2312" w:cs="仿宋_GB2312" w:eastAsia="仿宋_GB2312"/>
                <w:sz w:val="21"/>
                <w:color w:val="000000"/>
              </w:rPr>
              <w:t xml:space="preserve">4.1 </w:t>
            </w:r>
            <w:r>
              <w:rPr>
                <w:rFonts w:ascii="仿宋_GB2312" w:hAnsi="仿宋_GB2312" w:cs="仿宋_GB2312" w:eastAsia="仿宋_GB2312"/>
                <w:sz w:val="21"/>
                <w:color w:val="000000"/>
              </w:rPr>
              <w:t>在⽉度检查的基础上，全⾯检查平台软硬件运⾏环境，增强主动预防安全隐患的能⼒；</w:t>
            </w:r>
          </w:p>
          <w:p>
            <w:pPr>
              <w:pStyle w:val="null3"/>
              <w:ind w:firstLine="560"/>
              <w:jc w:val="left"/>
            </w:pPr>
            <w:r>
              <w:rPr>
                <w:rFonts w:ascii="仿宋_GB2312" w:hAnsi="仿宋_GB2312" w:cs="仿宋_GB2312" w:eastAsia="仿宋_GB2312"/>
                <w:sz w:val="21"/>
                <w:color w:val="000000"/>
              </w:rPr>
              <w:t>4.2</w:t>
            </w:r>
            <w:r>
              <w:rPr>
                <w:rFonts w:ascii="仿宋_GB2312" w:hAnsi="仿宋_GB2312" w:cs="仿宋_GB2312" w:eastAsia="仿宋_GB2312"/>
                <w:sz w:val="21"/>
                <w:color w:val="000000"/>
              </w:rPr>
              <w:t>检查管理平台的安全系统核⼼设备和附属设备运⾏状态；</w:t>
            </w:r>
          </w:p>
          <w:p>
            <w:pPr>
              <w:pStyle w:val="null3"/>
              <w:ind w:firstLine="560"/>
              <w:jc w:val="left"/>
            </w:pPr>
            <w:r>
              <w:rPr>
                <w:rFonts w:ascii="仿宋_GB2312" w:hAnsi="仿宋_GB2312" w:cs="仿宋_GB2312" w:eastAsia="仿宋_GB2312"/>
                <w:sz w:val="21"/>
                <w:color w:val="000000"/>
              </w:rPr>
              <w:t xml:space="preserve">4.3 </w:t>
            </w:r>
            <w:r>
              <w:rPr>
                <w:rFonts w:ascii="仿宋_GB2312" w:hAnsi="仿宋_GB2312" w:cs="仿宋_GB2312" w:eastAsia="仿宋_GB2312"/>
                <w:sz w:val="21"/>
                <w:color w:val="000000"/>
              </w:rPr>
              <w:t>管理平台数据库优化、数据备份和⽇志汇总；</w:t>
            </w:r>
          </w:p>
          <w:p>
            <w:pPr>
              <w:pStyle w:val="null3"/>
              <w:ind w:firstLine="560"/>
              <w:jc w:val="left"/>
            </w:pPr>
            <w:r>
              <w:rPr>
                <w:rFonts w:ascii="仿宋_GB2312" w:hAnsi="仿宋_GB2312" w:cs="仿宋_GB2312" w:eastAsia="仿宋_GB2312"/>
                <w:sz w:val="21"/>
                <w:color w:val="000000"/>
              </w:rPr>
              <w:t xml:space="preserve">4.4 </w:t>
            </w:r>
            <w:r>
              <w:rPr>
                <w:rFonts w:ascii="仿宋_GB2312" w:hAnsi="仿宋_GB2312" w:cs="仿宋_GB2312" w:eastAsia="仿宋_GB2312"/>
                <w:sz w:val="21"/>
                <w:color w:val="000000"/>
              </w:rPr>
              <w:t>每季度对野外⾃动监测站实现⼀轮巡护全覆盖</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⽉，每⽉对所有监测站实现巡护全覆盖</w:t>
            </w:r>
            <w:r>
              <w:rPr>
                <w:rFonts w:ascii="仿宋_GB2312" w:hAnsi="仿宋_GB2312" w:cs="仿宋_GB2312" w:eastAsia="仿宋_GB2312"/>
                <w:sz w:val="21"/>
                <w:color w:val="000000"/>
              </w:rPr>
              <w:t>)</w:t>
            </w:r>
            <w:r>
              <w:rPr>
                <w:rFonts w:ascii="仿宋_GB2312" w:hAnsi="仿宋_GB2312" w:cs="仿宋_GB2312" w:eastAsia="仿宋_GB2312"/>
                <w:sz w:val="21"/>
                <w:color w:val="000000"/>
              </w:rPr>
              <w:t>；每季度</w:t>
            </w:r>
            <w:r>
              <w:rPr>
                <w:rFonts w:ascii="仿宋_GB2312" w:hAnsi="仿宋_GB2312" w:cs="仿宋_GB2312" w:eastAsia="仿宋_GB2312"/>
                <w:sz w:val="21"/>
                <w:color w:val="000000"/>
              </w:rPr>
              <w:t>10</w:t>
            </w:r>
            <w:r>
              <w:rPr>
                <w:rFonts w:ascii="仿宋_GB2312" w:hAnsi="仿宋_GB2312" w:cs="仿宋_GB2312" w:eastAsia="仿宋_GB2312"/>
                <w:sz w:val="21"/>
                <w:color w:val="000000"/>
              </w:rPr>
              <w:t>⽇前，对上季度对上⽉系统运维、数据处理和野外巡护情况形成季度巡检报告书，提交采购⼈。</w:t>
            </w:r>
          </w:p>
          <w:p>
            <w:pPr>
              <w:pStyle w:val="null3"/>
              <w:spacing w:before="105" w:after="105"/>
              <w:ind w:firstLine="56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年度巡检服务</w:t>
            </w:r>
          </w:p>
          <w:p>
            <w:pPr>
              <w:pStyle w:val="null3"/>
              <w:spacing w:before="105" w:after="105"/>
              <w:ind w:firstLine="560"/>
              <w:jc w:val="left"/>
            </w:pPr>
            <w:r>
              <w:rPr>
                <w:rFonts w:ascii="仿宋_GB2312" w:hAnsi="仿宋_GB2312" w:cs="仿宋_GB2312" w:eastAsia="仿宋_GB2312"/>
                <w:sz w:val="21"/>
                <w:color w:val="000000"/>
              </w:rPr>
              <w:t>在季度巡检的基础上，增加系统分库和数据封存⼯作（按年存储⾄第三⽅介质），对全年运维⼯作进⾏开展“回头看”，进⾏系统总结，</w:t>
            </w:r>
            <w:r>
              <w:rPr>
                <w:rFonts w:ascii="仿宋_GB2312" w:hAnsi="仿宋_GB2312" w:cs="仿宋_GB2312" w:eastAsia="仿宋_GB2312"/>
                <w:sz w:val="21"/>
                <w:color w:val="000000"/>
              </w:rPr>
              <w:t>提出合理的建议和改进⽅案，形成年度运维服务报告，提交采购⼈。</w:t>
            </w:r>
            <w:r>
              <w:rPr>
                <w:rFonts w:ascii="仿宋_GB2312" w:hAnsi="仿宋_GB2312" w:cs="仿宋_GB2312" w:eastAsia="仿宋_GB2312"/>
                <w:sz w:val="21"/>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具有项⽬专业⼈员配置。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双⽅签订合同时具体约定。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满⾜国家及⾏业相关验收合格标准。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其他，服务完成（⽀付⽅式双⽅签订合同时具体约定），达到付款条件起30个工作日内，支付合同总金额的100.0%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合同执⾏中发⽣争议的，当事⼈双⽅应协解决。协商达不成⼀致时，可向同级⾏政仲裁机关申请仲裁。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双⽅签订合同时具体约定。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具有独⽴承担⺠事责任的能⼒，提供法⼈或者其他组织的营业执照等证明⽂件，⾃然⼈参与的提供其有效⾝份证明</w:t>
            </w:r>
          </w:p>
        </w:tc>
        <w:tc>
          <w:tcPr>
            <w:tcW w:type="dxa" w:w="3322"/>
          </w:tcPr>
          <w:p>
            <w:pPr>
              <w:pStyle w:val="null3"/>
            </w:pPr>
            <w:r>
              <w:rPr>
                <w:rFonts w:ascii="仿宋_GB2312" w:hAnsi="仿宋_GB2312" w:cs="仿宋_GB2312" w:eastAsia="仿宋_GB2312"/>
              </w:rPr>
              <w:t>具有独⽴承担⺠事责任的能⼒，提供法⼈或者其他组织的营业执照等证明⽂件，⾃然⼈参与的提供其有效⾝份证明。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具有履⾏合同所必需的设备和专业技术能⼒（提供承诺函）</w:t>
            </w:r>
          </w:p>
        </w:tc>
        <w:tc>
          <w:tcPr>
            <w:tcW w:type="dxa" w:w="3322"/>
          </w:tcPr>
          <w:p>
            <w:pPr>
              <w:pStyle w:val="null3"/>
            </w:pPr>
            <w:r>
              <w:rPr>
                <w:rFonts w:ascii="仿宋_GB2312" w:hAnsi="仿宋_GB2312" w:cs="仿宋_GB2312" w:eastAsia="仿宋_GB2312"/>
              </w:rPr>
              <w:t>具有履⾏合同所必需的设备和专业技术能⼒（提供承诺函）。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依法缴纳税收和社会保障资⾦相关材料（磋商截⽌⽇前六个⽉内任意⼀个⽉）</w:t>
            </w:r>
          </w:p>
        </w:tc>
        <w:tc>
          <w:tcPr>
            <w:tcW w:type="dxa" w:w="3322"/>
          </w:tcPr>
          <w:p>
            <w:pPr>
              <w:pStyle w:val="null3"/>
            </w:pPr>
            <w:r>
              <w:rPr>
                <w:rFonts w:ascii="仿宋_GB2312" w:hAnsi="仿宋_GB2312" w:cs="仿宋_GB2312" w:eastAsia="仿宋_GB2312"/>
              </w:rPr>
              <w:t>依法缴纳税收和社会保障资⾦相关材料（磋商截⽌⽇前六个⽉内任意⼀个⽉）。</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332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法定代表⼈直接参加磋商的，须出具法⼈⾝份证；授权代表参加磋商的，须出具授权书及授权代表⾝份证</w:t>
            </w:r>
          </w:p>
        </w:tc>
        <w:tc>
          <w:tcPr>
            <w:tcW w:type="dxa" w:w="3322"/>
          </w:tcPr>
          <w:p>
            <w:pPr>
              <w:pStyle w:val="null3"/>
            </w:pPr>
            <w:r>
              <w:rPr>
                <w:rFonts w:ascii="仿宋_GB2312" w:hAnsi="仿宋_GB2312" w:cs="仿宋_GB2312" w:eastAsia="仿宋_GB2312"/>
              </w:rPr>
              <w:t>法定代表⼈直接参加磋商的，须出具法⼈⾝份证；授权代表参加磋商的，须出具授权书及授权代表⾝份证。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供应商出具本企业参加政府采购活动前三年内经营活动中没有重⼤违法记录的书⾯声明</w:t>
            </w:r>
          </w:p>
        </w:tc>
        <w:tc>
          <w:tcPr>
            <w:tcW w:type="dxa" w:w="3322"/>
          </w:tcPr>
          <w:p>
            <w:pPr>
              <w:pStyle w:val="null3"/>
            </w:pPr>
            <w:r>
              <w:rPr>
                <w:rFonts w:ascii="仿宋_GB2312" w:hAnsi="仿宋_GB2312" w:cs="仿宋_GB2312" w:eastAsia="仿宋_GB2312"/>
              </w:rPr>
              <w:t>供应商出具本企业参加政府采购活动前三年内经营活动中没有重⼤违法记录的书⾯声明。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tc>
        <w:tc>
          <w:tcPr>
            <w:tcW w:type="dxa" w:w="3322"/>
          </w:tcPr>
          <w:p>
            <w:pPr>
              <w:pStyle w:val="null3"/>
            </w:pPr>
            <w:r>
              <w:rPr>
                <w:rFonts w:ascii="仿宋_GB2312" w:hAnsi="仿宋_GB2312" w:cs="仿宋_GB2312" w:eastAsia="仿宋_GB2312"/>
              </w:rPr>
              <w:t>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响应⽂件格式</w:t>
            </w:r>
          </w:p>
        </w:tc>
        <w:tc>
          <w:tcPr>
            <w:tcW w:type="dxa" w:w="3322"/>
          </w:tcPr>
          <w:p>
            <w:pPr>
              <w:pStyle w:val="null3"/>
            </w:pPr>
            <w:r>
              <w:rPr>
                <w:rFonts w:ascii="仿宋_GB2312" w:hAnsi="仿宋_GB2312" w:cs="仿宋_GB2312" w:eastAsia="仿宋_GB2312"/>
              </w:rPr>
              <w:t>符合“磋商响应⽂件格式”要求。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应急⽅案</w:t>
            </w:r>
          </w:p>
        </w:tc>
        <w:tc>
          <w:tcPr>
            <w:tcW w:type="dxa" w:w="2492"/>
          </w:tcPr>
          <w:p>
            <w:pPr>
              <w:pStyle w:val="null3"/>
            </w:pPr>
            <w:r>
              <w:rPr>
                <w:rFonts w:ascii="仿宋_GB2312" w:hAnsi="仿宋_GB2312" w:cs="仿宋_GB2312" w:eastAsia="仿宋_GB2312"/>
              </w:rPr>
              <w:t>供应商针对本项⽬实施过程中可能出现的突发事件提供应急⽅案（包括但不限于①应急事件分类；②应急机制；③应急响应时间；④应急⼈员；⑤应急保障措施等）。⽅案各部分内容全⾯详细、阐述条理清晰详尽、符合本项⽬采购需求，能有效保障本项⽬实施的计15分，每有⼀个缺项扣3分，每有⼀项内容不完整或有缺陷或与项⽬不匹配的，扣1分，扣完为⽌。说明:内容不完整或有缺陷或与项⽬不匹配是指:⾮专⻔针对本项⽬或不适⽤项⽬特性的情形、内容不完整或缺少关键节点、套⽤其他项⽬⽅案、内容前后⽭盾、出现常识性错误、存在不适⽤项⽬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重点问题的解决⽅案及合理化建议</w:t>
            </w:r>
          </w:p>
        </w:tc>
        <w:tc>
          <w:tcPr>
            <w:tcW w:type="dxa" w:w="2492"/>
          </w:tcPr>
          <w:p>
            <w:pPr>
              <w:pStyle w:val="null3"/>
            </w:pPr>
            <w:r>
              <w:rPr>
                <w:rFonts w:ascii="仿宋_GB2312" w:hAnsi="仿宋_GB2312" w:cs="仿宋_GB2312" w:eastAsia="仿宋_GB2312"/>
              </w:rPr>
              <w:t>评审内容：供应商应针对本项⽬提供完善的重点问题的解决⽅案及合理化建议。内容报告：①重点问题的解决⽅案②项⽬合理化建议；评审标准：各部分内容全⾯详细、阐述条理清晰详尽、符合本项⽬采购需求，能保障本项⽬实施得10分；评审内容每缺⼀项扣5分 ，评审内容有缺陷未完全响应评审标准的每有⼀项扣1分，扣完为⽌。(“缺陷”是指：内容描述过于简单没有关键点；条理不清晰；与项⽬内容不匹配、⾮专⻔针对本项⽬或不适⽤本项⽬特性；凭空编造，存在逻辑漏洞，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服务⽅案</w:t>
            </w:r>
          </w:p>
        </w:tc>
        <w:tc>
          <w:tcPr>
            <w:tcW w:type="dxa" w:w="2492"/>
          </w:tcPr>
          <w:p>
            <w:pPr>
              <w:pStyle w:val="null3"/>
            </w:pPr>
            <w:r>
              <w:rPr>
                <w:rFonts w:ascii="仿宋_GB2312" w:hAnsi="仿宋_GB2312" w:cs="仿宋_GB2312" w:eastAsia="仿宋_GB2312"/>
              </w:rPr>
              <w:t>评审内容：供应商针对本次项⽬提供具体详细可⾏的服务⽅案，内容包括：①整体规划②巡检⽅案③整体运营实施⽅案。评审标准：各部分内容全⾯详细、阐述条理清晰详尽、符合本项⽬采购需求，能保障本项⽬实施得15分；评审内容每缺⼀项扣5分，评审内容有缺陷未完全响应评审标准的每有⼀项缺陷扣1分，扣完为⽌。(“缺陷”是指：内容描述过于简单没有关键点；条理不清晰；与项⽬内容不匹配、⾮专⻔针对本项⽬或不适⽤本项⽬特性；凭空编造，存在逻辑漏洞，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w:t>
            </w:r>
          </w:p>
        </w:tc>
        <w:tc>
          <w:tcPr>
            <w:tcW w:type="dxa" w:w="2492"/>
          </w:tcPr>
          <w:p>
            <w:pPr>
              <w:pStyle w:val="null3"/>
            </w:pPr>
            <w:r>
              <w:rPr>
                <w:rFonts w:ascii="仿宋_GB2312" w:hAnsi="仿宋_GB2312" w:cs="仿宋_GB2312" w:eastAsia="仿宋_GB2312"/>
              </w:rPr>
              <w:t>①供应商能够保障远程及现场服务满⾜要求，现场派驻2名⼯程师提供服务，提供承诺函的得6分。②专业技术能⼒，持有相关专业中级及以上职称的的得6分，未提供不得分。③技术⼯程师为固定⼯作⼈员，负责与甲⽅联系和处理合作过程中的所有事宜，在合同履约期内不得随意更换。提供承诺函的得6分，未提供不得分；④对服务期内响应时限、服务团队的稳定性做出承诺。承诺内容完整的得6分，未承诺或承诺不全的不得分；⑤对专⽤巡检运维⻋辆和专⽤仪器维修⼯具配备情况作出承诺。承诺完整的得11分，未承诺或承诺不全的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提供2023年⽇⾄今（以合同签订时间为准）类似项⽬运维业绩，以合同复印件为准，每⼀份计2分，最多计10分。评审标准：业绩证明材料（以磋商响应⽂件中提供的合同复印件为准）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采⽤低价优先法计算，即满⾜磋商⽂件要求且投标价格最低的投标报价为评标基准价，按照下列公式计算：投标报价得分=（评标基准价/投标报价）×价格权值×100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 府 采 购 合 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