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版本号：【KRDL】K4-260713520260724002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雁塔校区北院教学主楼装修改造项目（一期）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【KRDL】K4-2607135</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雁塔校区北院教学主楼装修改造项目（一期）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【KRDL】K4-2607135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雁塔校区北院教学主楼装修改造项目（一期）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校区北院教学主楼装修改造项目（一期），施工内容包含教学主楼内三层和四层普通公共教室、阶梯教室，卫生间、走廊以及五层至七层的阶梯教室，改造内容涵盖室内墙面、地面、顶面装修、门窗修缮更换、水电线路改造、照明系统升级、通风优化、更换洁具、垃圾清运、成品保护及整体保洁等全套工程，具体以本项目竞争性磋商文件、工程量清单及施工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采购包1（雁塔校区北院教学主楼装修改造项目（一期））：属于专门面向中小企业采购。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3、税收缴纳证明：供应商提供自2025年7月至今已缴纳的至少一个月纳税证明或完税证明，依法免税的单位应提供相关证明材料；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4、财务状况证明：供应商提供2024年或2025年度经审计的完整财务审计报告或在开标日期前六个月内其基本开户银行出具的资信证明；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029-89581863、15229797656、15667067713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说明：供应商成交后凭成交通知书向采购人缴纳成交金额的5%作为履约保证金，工程验收后履约保证金转成质保金，待质保期满后无息退回。</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办公厅颁发的《关于招标代理服务收费有关问题的通知》（发改办价格[2003] 857号）的有关规定下浮22.5%。注：采购代理费及磋商保证金转账需备注项目名称+采购代理服务费/磋商保证金。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踏勘时间：2026-07-28 09:30:00</w:t>
            </w:r>
          </w:p>
          <w:p>
            <w:pPr>
              <w:pStyle w:val="null3"/>
              <w:ind w:firstLine="975"/>
            </w:pPr>
            <w:r>
              <w:rPr>
                <w:rFonts w:ascii="仿宋_GB2312" w:hAnsi="仿宋_GB2312" w:cs="仿宋_GB2312" w:eastAsia="仿宋_GB2312"/>
              </w:rPr>
              <w:t>踏勘地点：西安科技大学雁塔校区北院</w:t>
            </w:r>
          </w:p>
          <w:p>
            <w:pPr>
              <w:pStyle w:val="null3"/>
              <w:ind w:firstLine="975"/>
            </w:pPr>
            <w:r>
              <w:rPr>
                <w:rFonts w:ascii="仿宋_GB2312" w:hAnsi="仿宋_GB2312" w:cs="仿宋_GB2312" w:eastAsia="仿宋_GB2312"/>
              </w:rPr>
              <w:t>联系人：马老师</w:t>
            </w:r>
          </w:p>
          <w:p>
            <w:pPr>
              <w:pStyle w:val="null3"/>
              <w:ind w:firstLine="975"/>
            </w:pPr>
            <w:r>
              <w:rPr>
                <w:rFonts w:ascii="仿宋_GB2312" w:hAnsi="仿宋_GB2312" w:cs="仿宋_GB2312" w:eastAsia="仿宋_GB2312"/>
              </w:rPr>
              <w:t>联系电话号码：18629015649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采购人在中华人民共和国境内使用供应商提供工程或货物或服务时免受第三方提出的侵犯其专利权或其它知识产权的起诉。如果第三方提出侵权指控，成交供应商应承担由此而引起的一切法律责任和费用。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w:t>
      </w:r>
    </w:p>
    <w:p>
      <w:pPr>
        <w:pStyle w:val="null3"/>
      </w:pPr>
      <w:r>
        <w:rPr>
          <w:rFonts w:ascii="仿宋_GB2312" w:hAnsi="仿宋_GB2312" w:cs="仿宋_GB2312" w:eastAsia="仿宋_GB2312"/>
        </w:rPr>
        <w:t>联系电话：029-89581863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2,990,000.00</w:t>
      </w:r>
    </w:p>
    <w:p>
      <w:pPr>
        <w:pStyle w:val="null3"/>
      </w:pPr>
      <w:r>
        <w:rPr>
          <w:rFonts w:ascii="仿宋_GB2312" w:hAnsi="仿宋_GB2312" w:cs="仿宋_GB2312" w:eastAsia="仿宋_GB2312"/>
        </w:rPr>
        <w:t>采购包最高限价（元）: 2,990,000.00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雁塔校区北院教学主楼装修改造项目（一期）</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标的名称：雁塔校区北院教学主楼装修改造项目（一期）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FF"/>
              </w:rPr>
              <w:t>一、项目概况</w:t>
            </w:r>
          </w:p>
          <w:p>
            <w:pPr>
              <w:pStyle w:val="null3"/>
              <w:ind w:firstLine="480"/>
              <w:jc w:val="left"/>
            </w:pPr>
            <w:r>
              <w:rPr>
                <w:rFonts w:ascii="仿宋_GB2312" w:hAnsi="仿宋_GB2312" w:cs="仿宋_GB2312" w:eastAsia="仿宋_GB2312"/>
                <w:sz w:val="24"/>
                <w:color w:val="0000FF"/>
              </w:rPr>
              <w:t>雁塔校区北院教学主楼装修改造项目（一期）</w:t>
            </w:r>
            <w:r>
              <w:rPr>
                <w:rFonts w:ascii="仿宋_GB2312" w:hAnsi="仿宋_GB2312" w:cs="仿宋_GB2312" w:eastAsia="仿宋_GB2312"/>
                <w:sz w:val="24"/>
                <w:color w:val="0000FF"/>
              </w:rPr>
              <w:t>，工程内容包含教学主楼内三层和四层普通公共教室、阶梯教室，卫生间、走廊以及五层至七层的阶梯教室，改造内容涵盖室内墙面、地面、顶面装修、门窗修缮更换、水电线路改造、照明系统升级、通风优化、更换洁具、垃圾清运、成品保护及整体保洁等全套工程，</w:t>
            </w:r>
            <w:r>
              <w:rPr>
                <w:rFonts w:ascii="仿宋_GB2312" w:hAnsi="仿宋_GB2312" w:cs="仿宋_GB2312" w:eastAsia="仿宋_GB2312"/>
                <w:sz w:val="24"/>
                <w:color w:val="0000FF"/>
              </w:rPr>
              <w:t>具体以本项目竞争性磋商文件、工程量清单及</w:t>
            </w:r>
            <w:r>
              <w:rPr>
                <w:rFonts w:ascii="仿宋_GB2312" w:hAnsi="仿宋_GB2312" w:cs="仿宋_GB2312" w:eastAsia="仿宋_GB2312"/>
                <w:sz w:val="24"/>
                <w:color w:val="0000FF"/>
              </w:rPr>
              <w:t>施工图纸</w:t>
            </w:r>
            <w:r>
              <w:rPr>
                <w:rFonts w:ascii="仿宋_GB2312" w:hAnsi="仿宋_GB2312" w:cs="仿宋_GB2312" w:eastAsia="仿宋_GB2312"/>
                <w:sz w:val="24"/>
                <w:color w:val="0000FF"/>
              </w:rPr>
              <w:t>为准</w:t>
            </w:r>
            <w:r>
              <w:rPr>
                <w:rFonts w:ascii="仿宋_GB2312" w:hAnsi="仿宋_GB2312" w:cs="仿宋_GB2312" w:eastAsia="仿宋_GB2312"/>
                <w:sz w:val="24"/>
                <w:color w:val="0000FF"/>
              </w:rPr>
              <w:t>。</w:t>
            </w:r>
          </w:p>
          <w:p>
            <w:pPr>
              <w:pStyle w:val="null3"/>
              <w:ind w:firstLine="482"/>
              <w:jc w:val="left"/>
            </w:pPr>
            <w:r>
              <w:rPr>
                <w:rFonts w:ascii="仿宋_GB2312" w:hAnsi="仿宋_GB2312" w:cs="仿宋_GB2312" w:eastAsia="仿宋_GB2312"/>
                <w:sz w:val="24"/>
                <w:b/>
                <w:color w:val="0000FF"/>
              </w:rPr>
              <w:t>二、工程技术标准及要求</w:t>
            </w:r>
          </w:p>
          <w:p>
            <w:pPr>
              <w:pStyle w:val="null3"/>
              <w:numPr>
                <w:ilvl w:val="0"/>
                <w:numId w:val="1"/>
              </w:numPr>
              <w:jc w:val="both"/>
            </w:pPr>
            <w:r>
              <w:rPr>
                <w:rFonts w:ascii="仿宋_GB2312" w:hAnsi="仿宋_GB2312" w:cs="仿宋_GB2312" w:eastAsia="仿宋_GB2312"/>
                <w:sz w:val="24"/>
                <w:color w:val="0000FF"/>
              </w:rPr>
              <w:t>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numPr>
                <w:ilvl w:val="0"/>
                <w:numId w:val="1"/>
              </w:numPr>
              <w:jc w:val="both"/>
            </w:pPr>
            <w:r>
              <w:rPr>
                <w:rFonts w:ascii="仿宋_GB2312" w:hAnsi="仿宋_GB2312" w:cs="仿宋_GB2312" w:eastAsia="仿宋_GB2312"/>
                <w:sz w:val="24"/>
                <w:color w:val="0000FF"/>
              </w:rPr>
              <w:t>本工程其他技术标准及要求执行现行规范和采购人实际需求。</w:t>
            </w:r>
          </w:p>
          <w:p>
            <w:pPr>
              <w:pStyle w:val="null3"/>
              <w:numPr>
                <w:ilvl w:val="0"/>
                <w:numId w:val="1"/>
              </w:numPr>
              <w:jc w:val="both"/>
            </w:pPr>
            <w:r>
              <w:rPr>
                <w:rFonts w:ascii="仿宋_GB2312" w:hAnsi="仿宋_GB2312" w:cs="仿宋_GB2312" w:eastAsia="仿宋_GB2312"/>
                <w:sz w:val="24"/>
                <w:color w:val="0000FF"/>
              </w:rPr>
              <w:t>在施工过程中，如果国家或有关部门颁布了新的技术部分准或规范，则承包人应采用新的标准或规范进行施工。</w:t>
            </w:r>
          </w:p>
          <w:p>
            <w:pPr>
              <w:pStyle w:val="null3"/>
              <w:numPr>
                <w:ilvl w:val="0"/>
                <w:numId w:val="1"/>
              </w:numPr>
              <w:jc w:val="both"/>
            </w:pPr>
            <w:r>
              <w:rPr>
                <w:rFonts w:ascii="仿宋_GB2312" w:hAnsi="仿宋_GB2312" w:cs="仿宋_GB2312" w:eastAsia="仿宋_GB2312"/>
                <w:sz w:val="24"/>
                <w:color w:val="0000FF"/>
              </w:rPr>
              <w:t>采购人提供工程的施工方案和相关技术文件，是采购人现有的能被供应商利用的资料，采购人对供应商做出的任何推论、理解均不负责任。</w:t>
            </w:r>
          </w:p>
          <w:p>
            <w:pPr>
              <w:pStyle w:val="null3"/>
              <w:numPr>
                <w:ilvl w:val="0"/>
                <w:numId w:val="1"/>
              </w:numPr>
              <w:jc w:val="left"/>
            </w:pPr>
            <w:r>
              <w:rPr>
                <w:rFonts w:ascii="仿宋_GB2312" w:hAnsi="仿宋_GB2312" w:cs="仿宋_GB2312" w:eastAsia="仿宋_GB2312"/>
                <w:sz w:val="24"/>
                <w:color w:val="0000FF"/>
              </w:rPr>
              <w:t>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numPr>
                <w:ilvl w:val="0"/>
                <w:numId w:val="1"/>
              </w:numPr>
              <w:jc w:val="both"/>
            </w:pPr>
            <w:r>
              <w:rPr>
                <w:rFonts w:ascii="仿宋_GB2312" w:hAnsi="仿宋_GB2312" w:cs="仿宋_GB2312" w:eastAsia="仿宋_GB2312"/>
                <w:sz w:val="24"/>
                <w:color w:val="0000FF"/>
              </w:rPr>
              <w:t>供应商取得验收手续后，及时通知采购人验收，并按采购人的要求提交竣工验收申请报告及竣工资料，采购人应及时组织验收，并在验收后</w:t>
            </w:r>
            <w:r>
              <w:rPr>
                <w:rFonts w:ascii="仿宋_GB2312" w:hAnsi="仿宋_GB2312" w:cs="仿宋_GB2312" w:eastAsia="仿宋_GB2312"/>
                <w:sz w:val="24"/>
                <w:color w:val="0000FF"/>
              </w:rPr>
              <w:t>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numPr>
                <w:ilvl w:val="0"/>
                <w:numId w:val="1"/>
              </w:numPr>
              <w:jc w:val="both"/>
            </w:pPr>
            <w:r>
              <w:rPr>
                <w:rFonts w:ascii="仿宋_GB2312" w:hAnsi="仿宋_GB2312" w:cs="仿宋_GB2312" w:eastAsia="仿宋_GB2312"/>
                <w:sz w:val="24"/>
                <w:color w:val="0000FF"/>
              </w:rPr>
              <w:t>成交供应商未经采购人及有关部门同意，不得擅自变更本项目在竞争性磋商过程承诺中认定的采购范围、实施组织方案和项目经理（响应文件中应明确项目经理的姓名及联系方法，以备检查）</w:t>
            </w:r>
          </w:p>
          <w:p>
            <w:pPr>
              <w:pStyle w:val="null3"/>
              <w:numPr>
                <w:ilvl w:val="0"/>
                <w:numId w:val="1"/>
              </w:numPr>
              <w:jc w:val="both"/>
            </w:pPr>
            <w:r>
              <w:rPr>
                <w:rFonts w:ascii="仿宋_GB2312" w:hAnsi="仿宋_GB2312" w:cs="仿宋_GB2312" w:eastAsia="仿宋_GB2312"/>
                <w:sz w:val="24"/>
                <w:color w:val="0000FF"/>
              </w:rPr>
              <w:t>成交供应商必须自行施工，不得转包、分包。</w:t>
            </w:r>
          </w:p>
          <w:p>
            <w:pPr>
              <w:pStyle w:val="null3"/>
              <w:numPr>
                <w:ilvl w:val="0"/>
                <w:numId w:val="1"/>
              </w:numPr>
              <w:jc w:val="both"/>
            </w:pPr>
            <w:r>
              <w:rPr>
                <w:rFonts w:ascii="仿宋_GB2312" w:hAnsi="仿宋_GB2312" w:cs="仿宋_GB2312" w:eastAsia="仿宋_GB2312"/>
                <w:sz w:val="24"/>
                <w:color w:val="0000FF"/>
              </w:rPr>
              <w:t>成交供应商在施工过程中不得影响学校的日常生活、工作秩序。</w:t>
            </w:r>
          </w:p>
          <w:p>
            <w:pPr>
              <w:pStyle w:val="null3"/>
              <w:numPr>
                <w:ilvl w:val="0"/>
                <w:numId w:val="1"/>
              </w:numPr>
              <w:jc w:val="both"/>
            </w:pPr>
            <w:r>
              <w:rPr>
                <w:rFonts w:ascii="仿宋_GB2312" w:hAnsi="仿宋_GB2312" w:cs="仿宋_GB2312" w:eastAsia="仿宋_GB2312"/>
                <w:sz w:val="24"/>
                <w:color w:val="0000FF"/>
              </w:rPr>
              <w:t>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color w:val="0000FF"/>
              </w:rPr>
              <w:t>三、工程验收的主要依据、标准及要求</w:t>
            </w:r>
          </w:p>
          <w:tbl>
            <w:tblPr>
              <w:tblBorders>
                <w:top w:val="none" w:color="000000" w:sz="4"/>
                <w:left w:val="none" w:color="000000" w:sz="4"/>
                <w:bottom w:val="none" w:color="000000" w:sz="4"/>
                <w:right w:val="none" w:color="000000" w:sz="4"/>
                <w:insideH w:val="none"/>
                <w:insideV w:val="none"/>
              </w:tblBorders>
            </w:tblPr>
            <w:tblGrid>
              <w:gridCol w:w="210"/>
              <w:gridCol w:w="2338"/>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2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规范、规程、标准名称</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1</w:t>
                  </w:r>
                </w:p>
              </w:tc>
              <w:tc>
                <w:tcPr>
                  <w:tcW w:type="dxa" w:w="2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GB 50210-2018《建筑装饰装修工程质量验收标准》</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2</w:t>
                  </w:r>
                </w:p>
              </w:tc>
              <w:tc>
                <w:tcPr>
                  <w:tcW w:type="dxa" w:w="2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GB/T 7106-2019《建筑外窗气密、水密、抗风压性能分级及检测方法》</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3</w:t>
                  </w:r>
                </w:p>
              </w:tc>
              <w:tc>
                <w:tcPr>
                  <w:tcW w:type="dxa" w:w="2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GB 50210-2017《建筑节能工程施工质量验收标准》（断桥窗节能专项验收）</w:t>
                  </w:r>
                </w:p>
              </w:tc>
            </w:tr>
          </w:tbl>
          <w:p>
            <w:pPr>
              <w:pStyle w:val="null3"/>
              <w:ind w:firstLine="482"/>
              <w:jc w:val="both"/>
            </w:pPr>
            <w:r>
              <w:rPr>
                <w:rFonts w:ascii="仿宋_GB2312" w:hAnsi="仿宋_GB2312" w:cs="仿宋_GB2312" w:eastAsia="仿宋_GB2312"/>
                <w:sz w:val="24"/>
                <w:b/>
                <w:color w:val="0000FF"/>
              </w:rPr>
              <w:t>四、工程量清单及施工图纸</w:t>
            </w:r>
          </w:p>
          <w:p>
            <w:pPr>
              <w:pStyle w:val="null3"/>
              <w:ind w:firstLine="482"/>
              <w:jc w:val="both"/>
            </w:pPr>
            <w:r>
              <w:rPr>
                <w:rFonts w:ascii="仿宋_GB2312" w:hAnsi="仿宋_GB2312" w:cs="仿宋_GB2312" w:eastAsia="仿宋_GB2312"/>
                <w:sz w:val="24"/>
                <w:b/>
                <w:color w:val="0000FF"/>
              </w:rPr>
              <w:t>（一）工程量清单：</w:t>
            </w:r>
            <w:r>
              <w:rPr>
                <w:rFonts w:ascii="仿宋_GB2312" w:hAnsi="仿宋_GB2312" w:cs="仿宋_GB2312" w:eastAsia="仿宋_GB2312"/>
                <w:sz w:val="24"/>
                <w:color w:val="0000FF"/>
              </w:rPr>
              <w:t>详见附件。</w:t>
            </w:r>
          </w:p>
          <w:p>
            <w:pPr>
              <w:pStyle w:val="null3"/>
              <w:ind w:firstLine="482"/>
              <w:jc w:val="both"/>
            </w:pPr>
            <w:r>
              <w:rPr>
                <w:rFonts w:ascii="仿宋_GB2312" w:hAnsi="仿宋_GB2312" w:cs="仿宋_GB2312" w:eastAsia="仿宋_GB2312"/>
                <w:sz w:val="24"/>
                <w:b/>
                <w:color w:val="0000FF"/>
              </w:rPr>
              <w:t>（二）施工图纸：</w:t>
            </w:r>
            <w:r>
              <w:rPr>
                <w:rFonts w:ascii="仿宋_GB2312" w:hAnsi="仿宋_GB2312" w:cs="仿宋_GB2312" w:eastAsia="仿宋_GB2312"/>
                <w:sz w:val="24"/>
                <w:color w:val="0000FF"/>
              </w:rPr>
              <w:t>详见附件。</w:t>
            </w:r>
          </w:p>
          <w:p>
            <w:pPr>
              <w:pStyle w:val="null3"/>
              <w:ind w:left="480"/>
              <w:jc w:val="both"/>
            </w:pPr>
            <w:r>
              <w:rPr>
                <w:rFonts w:ascii="仿宋_GB2312" w:hAnsi="仿宋_GB2312" w:cs="仿宋_GB2312" w:eastAsia="仿宋_GB2312"/>
                <w:sz w:val="24"/>
                <w:b/>
                <w:color w:val="0000FF"/>
              </w:rPr>
              <w:t>四、</w:t>
            </w:r>
            <w:r>
              <w:rPr>
                <w:rFonts w:ascii="仿宋_GB2312" w:hAnsi="仿宋_GB2312" w:cs="仿宋_GB2312" w:eastAsia="仿宋_GB2312"/>
                <w:sz w:val="24"/>
                <w:b/>
                <w:color w:val="0000FF"/>
              </w:rPr>
              <w:t>商务要求</w:t>
            </w:r>
            <w:r>
              <w:br/>
            </w:r>
            <w:r>
              <w:rPr>
                <w:rFonts w:ascii="仿宋_GB2312" w:hAnsi="仿宋_GB2312" w:cs="仿宋_GB2312" w:eastAsia="仿宋_GB2312"/>
                <w:sz w:val="24"/>
                <w:b/>
                <w:color w:val="0000FF"/>
              </w:rPr>
              <w:t>（一）工期：</w:t>
            </w:r>
            <w:r>
              <w:rPr>
                <w:rFonts w:ascii="仿宋_GB2312" w:hAnsi="仿宋_GB2312" w:cs="仿宋_GB2312" w:eastAsia="仿宋_GB2312"/>
                <w:sz w:val="24"/>
                <w:color w:val="0000FF"/>
              </w:rPr>
              <w:t>总工期</w:t>
            </w:r>
            <w:r>
              <w:rPr>
                <w:rFonts w:ascii="仿宋_GB2312" w:hAnsi="仿宋_GB2312" w:cs="仿宋_GB2312" w:eastAsia="仿宋_GB2312"/>
                <w:sz w:val="24"/>
                <w:color w:val="0000FF"/>
              </w:rPr>
              <w:t>25日历天，具体开工日期以双方商定为准。</w:t>
            </w:r>
          </w:p>
          <w:p>
            <w:pPr>
              <w:pStyle w:val="null3"/>
              <w:ind w:firstLine="482"/>
              <w:jc w:val="both"/>
            </w:pPr>
            <w:r>
              <w:rPr>
                <w:rFonts w:ascii="仿宋_GB2312" w:hAnsi="仿宋_GB2312" w:cs="仿宋_GB2312" w:eastAsia="仿宋_GB2312"/>
                <w:sz w:val="24"/>
                <w:b/>
                <w:color w:val="0000FF"/>
              </w:rPr>
              <w:t>（二）工程地点</w:t>
            </w:r>
            <w:r>
              <w:rPr>
                <w:rFonts w:ascii="仿宋_GB2312" w:hAnsi="仿宋_GB2312" w:cs="仿宋_GB2312" w:eastAsia="仿宋_GB2312"/>
                <w:sz w:val="24"/>
                <w:color w:val="0000FF"/>
              </w:rPr>
              <w:t>：西安科技大学</w:t>
            </w:r>
            <w:r>
              <w:rPr>
                <w:rFonts w:ascii="仿宋_GB2312" w:hAnsi="仿宋_GB2312" w:cs="仿宋_GB2312" w:eastAsia="仿宋_GB2312"/>
                <w:sz w:val="24"/>
                <w:color w:val="0000FF"/>
              </w:rPr>
              <w:t>雁塔校区北院教学主楼</w:t>
            </w:r>
            <w:r>
              <w:rPr>
                <w:rFonts w:ascii="仿宋_GB2312" w:hAnsi="仿宋_GB2312" w:cs="仿宋_GB2312" w:eastAsia="仿宋_GB2312"/>
                <w:sz w:val="24"/>
                <w:color w:val="0000FF"/>
              </w:rPr>
              <w:t>。</w:t>
            </w:r>
          </w:p>
          <w:p>
            <w:pPr>
              <w:pStyle w:val="null3"/>
              <w:ind w:firstLine="482"/>
              <w:jc w:val="both"/>
            </w:pPr>
            <w:r>
              <w:rPr>
                <w:rFonts w:ascii="仿宋_GB2312" w:hAnsi="仿宋_GB2312" w:cs="仿宋_GB2312" w:eastAsia="仿宋_GB2312"/>
                <w:sz w:val="24"/>
                <w:b/>
                <w:color w:val="0000FF"/>
              </w:rPr>
              <w:t>（三）质量要求</w:t>
            </w:r>
            <w:r>
              <w:rPr>
                <w:rFonts w:ascii="仿宋_GB2312" w:hAnsi="仿宋_GB2312" w:cs="仿宋_GB2312" w:eastAsia="仿宋_GB2312"/>
                <w:sz w:val="24"/>
                <w:color w:val="0000FF"/>
              </w:rPr>
              <w:t>：满足现行《建筑与市政工程施工质量控制通用规范》的要求，质量验收合格。</w:t>
            </w:r>
          </w:p>
          <w:p>
            <w:pPr>
              <w:pStyle w:val="null3"/>
              <w:ind w:firstLine="482"/>
              <w:jc w:val="both"/>
            </w:pPr>
            <w:r>
              <w:rPr>
                <w:rFonts w:ascii="仿宋_GB2312" w:hAnsi="仿宋_GB2312" w:cs="仿宋_GB2312" w:eastAsia="仿宋_GB2312"/>
                <w:sz w:val="24"/>
                <w:b/>
                <w:color w:val="0000FF"/>
              </w:rPr>
              <w:t>（四）付款方式：</w:t>
            </w:r>
            <w:r>
              <w:rPr>
                <w:rFonts w:ascii="仿宋_GB2312" w:hAnsi="仿宋_GB2312" w:cs="仿宋_GB2312" w:eastAsia="仿宋_GB2312"/>
                <w:sz w:val="24"/>
                <w:color w:val="0000FF"/>
              </w:rPr>
              <w:t>签订合同前向采购人缴纳</w:t>
            </w:r>
            <w:r>
              <w:rPr>
                <w:rFonts w:ascii="仿宋_GB2312" w:hAnsi="仿宋_GB2312" w:cs="仿宋_GB2312" w:eastAsia="仿宋_GB2312"/>
                <w:sz w:val="24"/>
                <w:color w:val="0000FF"/>
              </w:rPr>
              <w:t>5</w:t>
            </w:r>
            <w:r>
              <w:rPr>
                <w:rFonts w:ascii="仿宋_GB2312" w:hAnsi="仿宋_GB2312" w:cs="仿宋_GB2312" w:eastAsia="仿宋_GB2312"/>
                <w:sz w:val="24"/>
                <w:color w:val="0000FF"/>
              </w:rPr>
              <w:t>%的履约保证金，合同签订后采购人支付40%合同金额的预付款。工程完工经学校验收合格后支付20%工程款，经工程审计，支付至审定价的100%。工程验收后履约保证金转成质保金，待质保期满后无息退回。</w:t>
            </w:r>
          </w:p>
          <w:p>
            <w:pPr>
              <w:pStyle w:val="null3"/>
              <w:ind w:firstLine="482"/>
              <w:jc w:val="both"/>
            </w:pPr>
            <w:r>
              <w:rPr>
                <w:rFonts w:ascii="仿宋_GB2312" w:hAnsi="仿宋_GB2312" w:cs="仿宋_GB2312" w:eastAsia="仿宋_GB2312"/>
                <w:sz w:val="24"/>
                <w:b/>
                <w:color w:val="0000FF"/>
              </w:rPr>
              <w:t>（五）质量保证期：</w:t>
            </w:r>
            <w:r>
              <w:rPr>
                <w:rFonts w:ascii="仿宋_GB2312" w:hAnsi="仿宋_GB2312" w:cs="仿宋_GB2312" w:eastAsia="仿宋_GB2312"/>
                <w:sz w:val="24"/>
                <w:color w:val="0000FF"/>
              </w:rPr>
              <w:t>本项目竣工验收合格通过之日起装修</w:t>
            </w:r>
            <w:r>
              <w:rPr>
                <w:rFonts w:ascii="仿宋_GB2312" w:hAnsi="仿宋_GB2312" w:cs="仿宋_GB2312" w:eastAsia="仿宋_GB2312"/>
                <w:sz w:val="24"/>
                <w:color w:val="0000FF"/>
              </w:rPr>
              <w:t>3年，防水5年，供应商可在此基础上根据企业自身情况自主承诺予以延长。</w:t>
            </w:r>
          </w:p>
          <w:p>
            <w:pPr>
              <w:pStyle w:val="null3"/>
              <w:ind w:firstLine="480"/>
              <w:jc w:val="both"/>
            </w:pPr>
            <w:r>
              <w:rPr>
                <w:rFonts w:ascii="仿宋_GB2312" w:hAnsi="仿宋_GB2312" w:cs="仿宋_GB2312" w:eastAsia="仿宋_GB2312"/>
                <w:sz w:val="24"/>
                <w:color w:val="0000FF"/>
              </w:rPr>
              <w:t>属于保修范围和内容的项目，供应商应在接到维修通知后，</w:t>
            </w:r>
            <w:r>
              <w:rPr>
                <w:rFonts w:ascii="仿宋_GB2312" w:hAnsi="仿宋_GB2312" w:cs="仿宋_GB2312" w:eastAsia="仿宋_GB2312"/>
                <w:sz w:val="24"/>
                <w:color w:val="0000FF"/>
              </w:rPr>
              <w:t>3天内派人维修。发生紧急抢修事故（如上水管跑水、爆裂，供电设施漏、断电等），供应商应在接到事故通知后1小时内到达事故现场并于2小时内完成应急维修。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质量标准：满足现行《建筑与市政工程施工质量控制通用规范》的要求，质量验收合格。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3.所有材料必须使用合格产品，使用前应当由采购人认质确认后方可投入使用。工程施工完毕后需对施工场地进行保洁，保洁标准达到采购人要求。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1.响应保证金注意事项： （1）响应保证金须从供应商户名支付，如从个人户名或非供应商户名支付，将被拒绝，视为自动放弃投标权利（该个人是供应商的情形除外）；响应保证金缴纳时间：开标时间之前；以保函形式交纳响应保证金的，将保函扫描成清晰的PDF文件上传至政府采购电子化交易平台，同时发送至邮箱2698462816@qq.com（邮件命名：项目名称+项目编号）；供应商应在响应文件中附保函复印件。保函必须由具有开具投标保函资格的单位开具；若供应商违约，开具保函单位承担连带责任；（2）响应保证金的提交金额、时间不满足磋商文件要求的，投标无效。（3）供应商须在投标截止时间前将保函或者保证金缴纳支付凭证上传至政府采购电子化交易平台。 2.结算时，依据采购人审定的工程量，按实际发生量据实结算，工程价款结算时依据最终价款和一次报价的下浮比例执行。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供应商提供自2025年7月至今已缴纳的至少一个月纳税证明或完税证明，依法免税的单位应提供相关证明材料；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资格审查.docx 已标价工程量清单 中小企业声明函 企业业绩.docx 技术服务合同条款及其他商务要求应答表 响应文件封面 施工组织设计方案.docx 主要材料清单.docx 项目部团队人员情况表.docx 残疾人福利性单位声明函 法定代表人证明书及授权书.docx 报价函 标的清单 响应函 监狱企业的证明文件 拟派项目经理学历、职称及业绩.docx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已标价工程量清单扉页是否加盖有注册或登记在工程造价咨询企业的造价人员签字并盖执业印章(委托第三方造价咨询企业需提供相关证明材料);</w:t>
            </w:r>
          </w:p>
        </w:tc>
        <w:tc>
          <w:tcPr>
            <w:tcW w:type="dxa" w:w="3322"/>
          </w:tcPr>
          <w:p>
            <w:pPr>
              <w:pStyle w:val="null3"/>
            </w:pPr>
            <w:r>
              <w:rPr>
                <w:rFonts w:ascii="仿宋_GB2312" w:hAnsi="仿宋_GB2312" w:cs="仿宋_GB2312" w:eastAsia="仿宋_GB2312"/>
              </w:rPr>
              <w:t>已标价工程量清单扉页已加盖有注册或登记在工程造价咨询企业的造价人员签字并盖执业印章(委托第三方造价咨询企业需提供相关证明材料)；</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供应商提供自2023年1月1日至本项目响应文件递交截止时间前已承接的类似业绩证明材料，每提供1项的得2.5分，最多得5分。未提供的不得分。 评审依据：类似业绩证明材料指建筑装修装饰工程的业绩证明材料，或其他工程施工中包含建筑装修装饰工程施工内容的业绩证明材料，提供施工合同证明材料复印件，时间以合同体现时间为准。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拟派项目经理学历、职称及业绩1</w:t>
            </w:r>
          </w:p>
        </w:tc>
        <w:tc>
          <w:tcPr>
            <w:tcW w:type="dxa" w:w="2492"/>
          </w:tcPr>
          <w:p>
            <w:pPr>
              <w:pStyle w:val="null3"/>
            </w:pPr>
            <w:r>
              <w:rPr>
                <w:rFonts w:ascii="仿宋_GB2312" w:hAnsi="仿宋_GB2312" w:cs="仿宋_GB2312" w:eastAsia="仿宋_GB2312"/>
              </w:rPr>
              <w:t>1.拟派项目经理具备中级（含）以上职称证书的得4分，初级职称的得2分，其他情况不得分。 评审依据：评审时以供应商提供拟派项目经理最高职称证书的扫描件或复印件为准，提供多个职称证明材料的，以最高职称材料为准，未提供的不得分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拟派项目经理学历、职称及业绩2</w:t>
            </w:r>
          </w:p>
        </w:tc>
        <w:tc>
          <w:tcPr>
            <w:tcW w:type="dxa" w:w="2492"/>
          </w:tcPr>
          <w:p>
            <w:pPr>
              <w:pStyle w:val="null3"/>
            </w:pPr>
            <w:r>
              <w:rPr>
                <w:rFonts w:ascii="仿宋_GB2312" w:hAnsi="仿宋_GB2312" w:cs="仿宋_GB2312" w:eastAsia="仿宋_GB2312"/>
              </w:rPr>
              <w:t>2.拟派项目经理具备本科（含）以上学历的得2分，大专学历的得1分，其他情况不得分。 评审依据：以供应商提供拟派项目经理学历证书的扫描件或复印件为准，提供多个学历或学位证书的，以最高学历为准，未提供的不得分。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拟派项目经理学历、职称及业绩3</w:t>
            </w:r>
          </w:p>
        </w:tc>
        <w:tc>
          <w:tcPr>
            <w:tcW w:type="dxa" w:w="2492"/>
          </w:tcPr>
          <w:p>
            <w:pPr>
              <w:pStyle w:val="null3"/>
            </w:pPr>
            <w:r>
              <w:rPr>
                <w:rFonts w:ascii="仿宋_GB2312" w:hAnsi="仿宋_GB2312" w:cs="仿宋_GB2312" w:eastAsia="仿宋_GB2312"/>
              </w:rPr>
              <w:t>3.供应商提供拟派项目经理自2023年1月1日以来至今已完成的包含维修改造工程内容的类似项目的业绩证明材料（在该项目中担任项目经理一职）提供1项的得2分，本项最多得4分，未提供的不得分。 评审依据：类似业绩证明材料指建筑装修装饰工程的业绩证明材料，或其他工程施工中包含建筑装修装饰工程施工内容的业绩证明材料，以合同及竣工验收资料为准。业绩时间以合同所体现的时间为准。缺少资料或未按照上述要求提供的，均按照0分计入。所提供合同或竣工验收资料复印件或扫描件中必须体现拟派项目经理在该项目中担任项目经理一职，否则不予赋分。企业业绩和拟派项目经理业绩可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主要材料清单</w:t>
            </w:r>
          </w:p>
        </w:tc>
        <w:tc>
          <w:tcPr>
            <w:tcW w:type="dxa" w:w="2492"/>
          </w:tcPr>
          <w:p>
            <w:pPr>
              <w:pStyle w:val="null3"/>
            </w:pPr>
            <w:r>
              <w:rPr>
                <w:rFonts w:ascii="仿宋_GB2312" w:hAnsi="仿宋_GB2312" w:cs="仿宋_GB2312" w:eastAsia="仿宋_GB2312"/>
              </w:rPr>
              <w:t>根据供应商提供针对本项目拟投入施工主要材料（具体详见主要材料清单）清单品目进行评审： 供应商提供拟投入施工主要材料清单，清单品目完整，品牌、型号、规格、尺寸、产地等齐全的得5分； 供应商提供拟投入施工主要材料清单，清单品目完整，品牌、型号、规格、尺寸、产地等要素基本齐全，个别有缺失的得4分。 供应商提供拟投入施工主要材料清单，清单品目基本完整，品牌、型号、规格、尺寸、产地等有部分缺失的得3分； 供应商提供拟投入施工主要材料清单，清单品目不完整，品牌、型号、规格、尺寸、产地等缺失较多的得2分； 供应商提供拟投入施工主要材料清单，清单品目不完整，品牌、型号、规格、尺寸、产地等缺失严重的得1分；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主要材料清单.docx</w:t>
            </w:r>
          </w:p>
        </w:tc>
      </w:tr>
      <w:tr>
        <w:tc>
          <w:tcPr>
            <w:tcW w:type="dxa" w:w="831"/>
            <w:vMerge/>
          </w:tcPr>
          <w:p/>
        </w:tc>
        <w:tc>
          <w:tcPr>
            <w:tcW w:type="dxa" w:w="1661"/>
          </w:tcPr>
          <w:p>
            <w:pPr>
              <w:pStyle w:val="null3"/>
            </w:pPr>
            <w:r>
              <w:rPr>
                <w:rFonts w:ascii="仿宋_GB2312" w:hAnsi="仿宋_GB2312" w:cs="仿宋_GB2312" w:eastAsia="仿宋_GB2312"/>
              </w:rPr>
              <w:t>施工组织设计方案1</w:t>
            </w:r>
          </w:p>
        </w:tc>
        <w:tc>
          <w:tcPr>
            <w:tcW w:type="dxa" w:w="2492"/>
          </w:tcPr>
          <w:p>
            <w:pPr>
              <w:pStyle w:val="null3"/>
            </w:pPr>
            <w:r>
              <w:rPr>
                <w:rFonts w:ascii="仿宋_GB2312" w:hAnsi="仿宋_GB2312" w:cs="仿宋_GB2312" w:eastAsia="仿宋_GB2312"/>
              </w:rPr>
              <w:t>1.供应商提供的施工总体规划部署及施工方案需包含①项目施工总体思路；②施工实施阶段划分；③关键工序技术把控措施，共3项内容，每项满分3分，总分9分。 其中，每项以具体内容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2.供应商提供的质量管控体系方案需包含①质量目标及管控措施；②全流程质量检验、整改机制；③质量通病预防措施，共3项内容，每项满分3分，总分9分。 其中，每项以具体内容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3.供应商提供的进度管控与应急方案需包含①进度管控节点设置、动态调整；②工期延误风险预判及应对措施；③季节性施工（雨期）适配措施，共3项内容，每项满分3分，总分9分。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4.供应商提供的安全文明施工方案需包含①安全生产管理制度、责任分工；②安全风险防控、应急处置方案、文明施工、环保措施（扬尘、噪音管控等），共2项内容，每项满分3分，总分6分。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5.供应商提供的资源配置保障方案需包含①施工队伍、管理人员及经验；②施工机械设备、材料供应及人力、设备调度方案，共3项内容，每项满分3分，总分6分。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p>
            <w:pPr>
              <w:pStyle w:val="null3"/>
            </w:pPr>
            <w:r>
              <w:rPr>
                <w:rFonts w:ascii="仿宋_GB2312" w:hAnsi="仿宋_GB2312" w:cs="仿宋_GB2312" w:eastAsia="仿宋_GB2312"/>
              </w:rPr>
              <w:t>项目部团队人员情况表.docx</w:t>
            </w:r>
          </w:p>
        </w:tc>
      </w:tr>
      <w:tr>
        <w:tc>
          <w:tcPr>
            <w:tcW w:type="dxa" w:w="831"/>
            <w:vMerge/>
          </w:tcPr>
          <w:p/>
        </w:tc>
        <w:tc>
          <w:tcPr>
            <w:tcW w:type="dxa" w:w="1661"/>
          </w:tcPr>
          <w:p>
            <w:pPr>
              <w:pStyle w:val="null3"/>
            </w:pPr>
            <w:r>
              <w:rPr>
                <w:rFonts w:ascii="仿宋_GB2312" w:hAnsi="仿宋_GB2312" w:cs="仿宋_GB2312" w:eastAsia="仿宋_GB2312"/>
              </w:rPr>
              <w:t>施工组织设计方案6</w:t>
            </w:r>
          </w:p>
        </w:tc>
        <w:tc>
          <w:tcPr>
            <w:tcW w:type="dxa" w:w="2492"/>
          </w:tcPr>
          <w:p>
            <w:pPr>
              <w:pStyle w:val="null3"/>
            </w:pPr>
            <w:r>
              <w:rPr>
                <w:rFonts w:ascii="仿宋_GB2312" w:hAnsi="仿宋_GB2312" w:cs="仿宋_GB2312" w:eastAsia="仿宋_GB2312"/>
              </w:rPr>
              <w:t>供应商提供的售后及服务方案，包含①质保服务方案及承诺；②与学校相关部门的配合协调承诺及人员安全保障承诺及优化建议等，共2项内容，每项满分3分，总分6分。 其中，每项以具体内容与与本项目及技术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详见附件：拟派项目经理学历、职称及业绩.docx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详见附件：施工组织设计方案.docx</w:t>
      </w:r>
    </w:p>
    <w:p>
      <w:pPr>
        <w:pStyle w:val="null3"/>
        <w:ind w:firstLine="960"/>
      </w:pPr>
      <w:r>
        <w:rPr>
          <w:rFonts w:ascii="仿宋_GB2312" w:hAnsi="仿宋_GB2312" w:cs="仿宋_GB2312" w:eastAsia="仿宋_GB2312"/>
        </w:rPr>
        <w:t>详见附件：项目部团队人员情况表.docx</w:t>
      </w:r>
    </w:p>
    <w:p>
      <w:pPr>
        <w:pStyle w:val="null3"/>
        <w:ind w:firstLine="960"/>
      </w:pPr>
      <w:r>
        <w:rPr>
          <w:rFonts w:ascii="仿宋_GB2312" w:hAnsi="仿宋_GB2312" w:cs="仿宋_GB2312" w:eastAsia="仿宋_GB2312"/>
        </w:rPr>
        <w:t>详见附件：主要材料清单.docx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