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版本号：0617—2621FZ1136.1B120260528001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网络资产安全治理服务项目(二次)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0617—2621FZ1136.1B1</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网络资产安全治理服务项目(二次)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0617—2621FZ1136.1B1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网络资产安全治理服务项目(二次)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全校信息资产动态安全治理服务、全校API治理及安全防护服务、驻场运维，1项。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西安科技大学经办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张婉迪、宋鹏飞、张喆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029-85239900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说明：供应商凭成交通知书向采购人缴纳成交金额的 5 %作为履约保证金，待合同履约完毕后无息退还；逾期退还履约保证金，产生的资金占用费双方协商。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机构参照国家计委关于印发《招标代理服务收费管理暂行办法》的通知（计价格〔2002〕1980号）、《国家发展和改革委员会办公厅关于招标代理服务收费有关问题的通知》（发改办价格〔2003〕857号）规定的标准下浮22.5%向中标（成交）供应商收取代理服务费；2.缴费时间：确定中标（成交）供应商后3日内，由中标（成交）供应商向采购代理机构一次付清代理服务费； 3.银行信息: 户名：西北（陕西）国际招标有限公司；开户银行：交通银行西安长安大学支行；账号：611301151018010003843。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全校信息资产动态安全治理服务、全校API治理及安全防护服务、驻场运维，1项。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网络资产安全治理服务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标的名称：网络资产安全治理服务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一、项目背景。</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 xml:space="preserve"> 随着学校信息化建设的推进，我校网络基础设施规模持续扩大，各类业务系统、教学平台、科研数据库、对外服务门户大量上线，我校规模庞大的信息资产已成为承载师生数据、科研成果和重要知识资产的关键信息基础设施载体。但快速增长的网络基础设施为我校在信息资产和API管理方面带来以下挑战： 1、资产底数不清：网络中存在部分未登记、未管理的“影子资产”，传统静态化资产梳理模式已经无法满足我校现有的资产管理要求，同时我校缺乏针对现有组织架构的资产归属梳理。 2、API接口失管：随着各类业务系统与第三方平台对接，我校现有的API接口数量快速增加，但缺乏有效的管理与安全防护机制。 针对以上问题，我校拟采购为期三年的覆盖资产动态安全治理、API治理及安全防护的资产安全运维服务和一年专业安全运维人员驻场服务。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二、服务要求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（一）全校信息资产动态安全治理服务要求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1、信息资产全生命周期治理服务。提供网络资产自动发现与持续监控服务，覆盖IPv4/IPv6双栈环境。驻场运维人员需通过主动资产扫描与被动流量分析等方式为学校建立包含资产指纹信息的动态资产电子台账。 驻场运维人员需协助学校逐一明确未知资产归属，并将其关联至对应组织架构，将始终无法明确归属的资产进行统计并汇总上报给学校网信部门。同时需将学校现有的端口映射关系表入至资产治理平台。 本项工作为资产动态安全治理服务的重要数据底座，其他漏洞风险、可用性、合规性监测等工作成果数据均需汇总至该动态资产台账，实现全校资产“一张表”治理。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2、信息资产安全风险检测与评估服务。针对建立的动态资产台账中的信息资产提供定期的漏洞风险检测服务，检测方式除基本的漏洞版本匹配检测外，还需通过原理性验证方式进行检测。漏洞检测成果需自动化导入现有的动态资产台账并关联对应资产，同时应建立漏洞变化时间轴，为学校现有漏洞管理工作起到有效地指导作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3、信息资产变更监测服务。使用人工或自动化手段监测资产变更情况，包括端口开放、服务变更、属性修改等，能够在动态资产台账中以时间轴形式对资产各项变更情况进行记录，便于在安全事件溯源等场景下快速检索资产的变更记录，同时能够对异常变更资产进行自动标记和告警。 本服务监测数据更新频次应支持每天更新，但若采用扫描器等主动发包的检测工具进行监测，则本项服务必须在22:00至次日6:00的业务谷低时进行，避免对正常业务产生影响。</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4、信息资产合规及可用性监测服务。建立一套快速的风险资产识别服务体系，提供端口服务合规监测服务。可针对性识别禁用端口和服务的违规开放情况，快速定位不合规资产。 服务期内持续开展IP和Web资产在线状态监测服务，在业务出现故障或其他原因导致离线等故障时，能够在影响面扩大前快速发现离线的IP和Web资产，确保业务连续性。</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以上服务成果需自动合并至动态资产台账并能够通过该台账进行统一管理。</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（二）全校API治理及安全防护服务要求</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1、API资产梳理与清单管理。通过人工或自动化手段，检测并梳理校内所有对外及内部API接口，形成API资产清单；协助学校对发现的API进行分类，同时识别API存在的安全风险、隐私数据、识别未授权API、僵尸API、影子API等； 注：该服务若服务商采用自动化方式进行，不得使用主动发包方式对API进行扫描。</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2、API访问控制与鉴权管理。服务商应对学校API进行脆弱性检查，包括但不限于：通过技术手段对校内全量API请求进行身份认证校验检查，识别无鉴权或弱鉴权接口，通过技术手段为校内API资产设定基于IP、用户、角色、时间段等多维度访问控制策略，对API调用频率进行限制，防止爆破和遍历攻击。</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3、API威胁检测与防护。服务商应通过人工或技术手段对校内API资产面临的安全威胁进行实时检测与拦截，其中资产安全威胁至少应覆盖：敏感信息、API攻击、API业务风险、API权限风险、机器人等。 服务商应针对异常调用行为进行监测，若出现异常调用行为需第一时间进行告警；同时进行人工或自动化敏感数据识别，对响应中包含的手机号、身份证号、车牌号等敏感字段进行标注和告警。</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4.日志审计与分析服务。服务商应通过技术手段对所有API请求进行完整记录（包含响应码、请求头、请求体、响应头、响应体）并提供分析服务，服务商在服务期内应根据学校要求，随时提供指定时间段的日志分析服务，分析维度至少应包含风险分析、隐私信息分析、未鉴权分析、文件下载分析。若风险分析结果包含攻击事件，则同时需要提供风险主体视角下的攻击事件溯源分析服务。</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三、服务工具要求</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（一）信息资产动态检测工具</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1、2U机架式软硬一体设备（非服务器+软件架构）；1个VGA接口；≥2个USB口；≥2个千兆电口、≥2个万兆光口；≥2个扩展插槽，可扩展千兆电口或千兆/万兆光口；≥128G内存；≥2TB 硬盘；CPU应满足设备性能需求；交流冗余电源。</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2、▲支持通过被动流量识别发现资产，可识别流量≥10Gbps；可管理IP数量≥10000个；服务期内由设备厂家负责对应的硬件质保及特征库升级服务。</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3、▲支持对资产进行多维度管理，至少应包括IP资产维度、Web资产维度、服务（IP+PORT）资产维度、业务系统资产维度。</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4、支持资产详情信息的展示，能够展现资产基础信息（至少应包含资产名称、IP地址、所属单位、负责人、操作系统类型、操作系统类别、操作系统名称、设备类型、设备类别、设备名称、设备厂商等）、端口信息（至少应包含端口、服务、协议、中间件、开发组件等）、漏洞信息（漏洞名称、风险级别、漏洞存在位置、最近发现时间、标签等）、弱口令信息（IP、端口、服务、用户名、密码）、资产日志。</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5、支持国产化操作系统资产统计和数据展示，支持数据导出；支持操作系统类型分布、操作系统类别TOP10、操作系统名称TOP10、操作系统厂商TOP10、单位TOP10统计。</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支持资产变更监测，支持自定义选择需要监测变更字段，包括端口、服务、协议、MAC、名称、地理位置、设备信息、操作系统信息、支撑服务信息及自定义属性等，支持对资产重大变更及频繁变更资产的监测。</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7、▲支持资产端口服务开放监测、IP资产在线状态监测、Web资产在线状态监测，支持监测规则自定义配置。</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8、支持漏洞分析，以漏洞为视角，统计同一漏洞涉及的资产情况；漏洞详情支持查看影响资产清单，支持数据导出。</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9、▲系统应内置漏洞库，系统收录的漏洞库总数≥30万条，漏洞详情应包括但不限于漏洞编号、漏洞描述、漏洞类型、解决办法等，系统应内置POC库，系统收录的POC总数≥7000条；</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（二）API治理及安全防护服务工具</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1、2U机架式软硬一体设备（非服务器+软件架构）；1个CONSOLE口，≥2个USB口；≥2个千兆电口，≥2个万兆光口；≥3个扩展槽；≥64G内存；硬盘≥8T，为保障数据读写效率，硬盘需采用SSD和HDD的混合存储方案，其中SSD应≥4T；CPU应满足设备性能需求；冗余电源。</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2、▲网络层处理能力≥5Gbps；应用层处理能力≥2Gbps；请求处理能力≥15,000QPS；最大并发连接数≥1,800,000。</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3、支持透明代理、反向代理和旁路镜像多种部署方式，有效分析识别与防护API资产流量。</w:t>
            </w:r>
          </w:p>
        </w:tc>
      </w:tr>
      <w:tr>
        <w:tc>
          <w:tcPr>
            <w:tcW w:type="dxa" w:w="2769"/>
          </w:tcPr>
          <w:p>
            <w:pPr>
              <w:pStyle w:val="null3"/>
            </w:pPr>
            <w:r>
              <w:rPr>
                <w:rFonts w:ascii="仿宋_GB2312" w:hAnsi="仿宋_GB2312" w:cs="仿宋_GB2312" w:eastAsia="仿宋_GB2312"/>
              </w:rPr>
              <w:t>30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4、▲支持在旁路镜像模式且可设置多组阻断口，对检测到的攻击进行旁路阻断，并可指定对端设备MAC地址，支持自定义源IP获取防护，可配置从Cdn-Src-Ip、X-Forwarded-For、X-Real-IP、三层头中获取源IP。</w:t>
            </w:r>
          </w:p>
        </w:tc>
      </w:tr>
      <w:tr>
        <w:tc>
          <w:tcPr>
            <w:tcW w:type="dxa" w:w="2769"/>
          </w:tcPr>
          <w:p>
            <w:pPr>
              <w:pStyle w:val="null3"/>
            </w:pPr>
            <w:r>
              <w:rPr>
                <w:rFonts w:ascii="仿宋_GB2312" w:hAnsi="仿宋_GB2312" w:cs="仿宋_GB2312" w:eastAsia="仿宋_GB2312"/>
              </w:rPr>
              <w:t>31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支持API资产学习，能够学习标准API、后台管理类API、下载类API等API类型，API资产识别数量不少于30万；针对不同的API类型，支持提供独立的启用/禁用开关。支持自定义僵尸资产时间进行识别匹配，支持自动删除僵尸资产。</w:t>
            </w:r>
          </w:p>
        </w:tc>
      </w:tr>
      <w:tr>
        <w:tc>
          <w:tcPr>
            <w:tcW w:type="dxa" w:w="2769"/>
          </w:tcPr>
          <w:p>
            <w:pPr>
              <w:pStyle w:val="null3"/>
            </w:pPr>
            <w:r>
              <w:rPr>
                <w:rFonts w:ascii="仿宋_GB2312" w:hAnsi="仿宋_GB2312" w:cs="仿宋_GB2312" w:eastAsia="仿宋_GB2312"/>
              </w:rPr>
              <w:t>32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6、▲支持识别隐私信息并进行分级，包括但不限于一到五级数据；支持对隐私信息进行分类，包括但不限于证件类、邮箱地址类、银行卡类、电话号码类、公司类、个人财产信息类、IT信息类、证件类等。</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7、支持API未鉴权防护，通过提取用户鉴权与认证数据，针对未鉴权行为进行检测分析。</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8、支持记录完整的数据流信息便于溯源审计，包括响应码、请求头、请求体、响应头、响应体；支持规范地展示JSON结构的日志数据。</w:t>
            </w:r>
          </w:p>
        </w:tc>
      </w:tr>
      <w:tr>
        <w:tc>
          <w:tcPr>
            <w:tcW w:type="dxa" w:w="2769"/>
          </w:tcPr>
          <w:p>
            <w:pPr>
              <w:pStyle w:val="null3"/>
            </w:pPr>
            <w:r>
              <w:rPr>
                <w:rFonts w:ascii="仿宋_GB2312" w:hAnsi="仿宋_GB2312" w:cs="仿宋_GB2312" w:eastAsia="仿宋_GB2312"/>
              </w:rPr>
              <w:t>35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9、▲支持对日志进行二次智能分析，分析维度至少应包含API风险分析、API隐私信息分析、API未鉴权分析、API文件下载分析等。</w:t>
            </w:r>
          </w:p>
        </w:tc>
      </w:tr>
      <w:tr>
        <w:tc>
          <w:tcPr>
            <w:tcW w:type="dxa" w:w="2769"/>
          </w:tcPr>
          <w:p>
            <w:pPr>
              <w:pStyle w:val="null3"/>
            </w:pPr>
            <w:r>
              <w:rPr>
                <w:rFonts w:ascii="仿宋_GB2312" w:hAnsi="仿宋_GB2312" w:cs="仿宋_GB2312" w:eastAsia="仿宋_GB2312"/>
              </w:rPr>
              <w:t>36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10、▲内置多种API异常行为模型，至少应包含IP单日访问隐私数据突增、IP拉取大量隐私数据、API单日隐私数据突增、API泄露大量隐私数据、IP单日访问频率突增、IP访问次数异常、API单日访问频率突增、API访问次数异常、IP高频访问失败等风险模型。</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11、支持API业务逻辑层面的深度防护监测，至少应包括命令执行防护、敏感文件读取防护、程序Debug信息泄漏防护、数据库执行错误防护、恶意文件上传防护等。支持API自动合并，支持识别请求路径中时间参数、目录ID、邮箱、随机HASH等动态变量，自动合并相似API。</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四、驻场运维人员要求</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1、服务商应提供至少2名专业的安全服务驻场人员，驻场人员应具备网络安全专业知识，同时具备CISP及CISAW认证，具备完成此项工作的能力。驻场人员需为服务商缴纳社保的正式员工，入场前需通过学校面试并对相关资质进行审核和存档。</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2、驻场期1年，驻场人员在驻场期间发生的任何费用均由中标单位承担，驻场期间采购人提供必要的办公条件，如工位、网络、开发环境等，驻场期间中标单位驻场人员工商安全责任问题、驻场人员造成甲方或第三方损失均由中标单位承担等，驻场人员需要遵守甲方工作纪律。</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五、其他要求</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1、服务商提供的工具需具备网络关键设备和网络安全专用产品安全认证证书或通过安全检测。</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2、响应【服务工具要求】指标时须提供佐证材料，否则视为负偏离，佐证材料包括但不限于：系统截图或技术说明书或产品彩页或第三方报告等。</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3、服务期结束后所有服务工具（硬件设备、软件等）所有权无偿归学校所有，不得额外增加费用。</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六、商务要求</w:t>
            </w:r>
          </w:p>
        </w:tc>
      </w:tr>
      <w:tr>
        <w:tc>
          <w:tcPr>
            <w:tcW w:type="dxa" w:w="2769"/>
          </w:tcPr>
          <w:p>
            <w:pPr>
              <w:pStyle w:val="null3"/>
            </w:pPr>
            <w:r>
              <w:rPr>
                <w:rFonts w:ascii="仿宋_GB2312" w:hAnsi="仿宋_GB2312" w:cs="仿宋_GB2312" w:eastAsia="仿宋_GB2312"/>
              </w:rPr>
              <w:t>46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1、服务地点：西安科技大学临潼校区骊山校园。</w:t>
            </w:r>
          </w:p>
        </w:tc>
      </w:tr>
      <w:tr>
        <w:tc>
          <w:tcPr>
            <w:tcW w:type="dxa" w:w="2769"/>
          </w:tcPr>
          <w:p>
            <w:pPr>
              <w:pStyle w:val="null3"/>
            </w:pPr>
            <w:r>
              <w:rPr>
                <w:rFonts w:ascii="仿宋_GB2312" w:hAnsi="仿宋_GB2312" w:cs="仿宋_GB2312" w:eastAsia="仿宋_GB2312"/>
              </w:rPr>
              <w:t>47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2、质保期：服务工具质保期及维保期三年，驻场资产安全运维服务期一年。</w:t>
            </w:r>
          </w:p>
        </w:tc>
      </w:tr>
      <w:tr>
        <w:tc>
          <w:tcPr>
            <w:tcW w:type="dxa" w:w="2769"/>
          </w:tcPr>
          <w:p>
            <w:pPr>
              <w:pStyle w:val="null3"/>
            </w:pPr>
            <w:r>
              <w:rPr>
                <w:rFonts w:ascii="仿宋_GB2312" w:hAnsi="仿宋_GB2312" w:cs="仿宋_GB2312" w:eastAsia="仿宋_GB2312"/>
              </w:rPr>
              <w:t>48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3、费用结算方式：签订合同前乙方向甲方缴纳 5 %合同金额的履约保证金，合同签订后，项目服务内容实施完成并经甲方最终验收合格后 45 日内，乙方开具全额增值税专用发票后，甲方一次性付清合同款；若项目验收不合格，则学校不向乙方支付合同款项。 注：供应商凭成交通知书向采购人缴纳成交金额的 5 %作为履约保证金，待项目验收完毕后无息退还；逾期退还履约保证金，产生的资金占用费双方协商。</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4、中标单位签订合同时应同时签订保密协议，在服务期间产生的所有数据的知识产权归甲方所有。</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5、验收标准和方法 验收标准：（1）服务工具按照投标文件要求部署到位，服务内容和质量满足学校各项要求；（2）驻场人员需通过甲方的面试。 验收方法：由甲方组织集中验收，中标单位进行汇报。</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6、违约责任与解决争议的方法 （1）违约责任：按民法典约定。 （2）解决争议的方法：向甲方所在地人民法院提起诉讼。</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重要说明：未标注符号的条款也同时为允许负偏离的参数需求，若未响应或者不满足，将在综合评审中予以扣分处理。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详见磋商文件第三章 磋商项目技术、服务、商务及其他要求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质保期：服务工具质保期及维保期三年，驻场资产安全运维服务期一年。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西安科技大学临潼校区骊山校园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验收标准：（1）服务工具按照投标文件要求部署到位，服务内容和质量满足学校各项要求。（2）驻场人员需通过甲方的面试。 验收方法：由甲方组织集中验收，中标单位进行汇报。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签订合同前乙方向甲方缴纳 5 %合同金额的履约保证金，合同签订后，项目服务内容实施完成并经甲方最终验收合格后</w:t>
      </w:r>
      <w:r>
        <w:rPr>
          <w:rFonts w:ascii="仿宋_GB2312" w:hAnsi="仿宋_GB2312" w:cs="仿宋_GB2312" w:eastAsia="仿宋_GB2312"/>
        </w:rPr>
        <w:t xml:space="preserve"> ，达到付款条件起 </w:t>
      </w:r>
      <w:r>
        <w:rPr>
          <w:rFonts w:ascii="仿宋_GB2312" w:hAnsi="仿宋_GB2312" w:cs="仿宋_GB2312" w:eastAsia="仿宋_GB2312"/>
        </w:rPr>
        <w:t>45</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（1）违约责任：按民法典约定。 （2）解决争议的方法：向甲方所在地人民法院提起诉讼。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1、付款方式：因系统设置原因，本章3.3.5支付约定描述不全之处，以本章3.2.2服务要求六、商务要求3.费用结算方式为准。 2、残疾人福利性单位及监狱企业视同为小型、微型企业。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且具有注册会计师行业统一监管平台出具赋码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 （三）具有履行合同所必需的设备和专业技术能力。提供声明文件。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响应文件的完整性、有效性、响应性审查</w:t>
            </w:r>
          </w:p>
        </w:tc>
        <w:tc>
          <w:tcPr>
            <w:tcW w:type="dxa" w:w="3322"/>
          </w:tcPr>
          <w:p>
            <w:pPr>
              <w:pStyle w:val="null3"/>
            </w:pPr>
            <w:r>
              <w:rPr>
                <w:rFonts w:ascii="仿宋_GB2312" w:hAnsi="仿宋_GB2312" w:cs="仿宋_GB2312" w:eastAsia="仿宋_GB2312"/>
              </w:rPr>
              <w:t>1.响应文件的完整性、有效性、响应性审查 响应文件是否按照磋商文件要求的格式编写。 2.响应文件的签署、加盖印章是否有效；提供的各种证明文件、数据、资料是否有效。 3.磋商（响应）报价是否超过采购预算、最高限价； 磋商报价有效期是否符合招标文件的要求。 4.响应文件内容是否符合国家法律法规。5.标注“★”的商务要求为实质性要求，供应商必须响应并满足要求，负偏离否决其响应。</w:t>
            </w:r>
          </w:p>
        </w:tc>
        <w:tc>
          <w:tcPr>
            <w:tcW w:type="dxa" w:w="1661"/>
          </w:tcPr>
          <w:p>
            <w:pPr>
              <w:pStyle w:val="null3"/>
            </w:pPr>
            <w:r>
              <w:rPr>
                <w:rFonts w:ascii="仿宋_GB2312" w:hAnsi="仿宋_GB2312" w:cs="仿宋_GB2312" w:eastAsia="仿宋_GB2312"/>
              </w:rPr>
              <w:t>响应文件封面 分项报价表.docx 服务内容及服务邀请应答表 商务应答表 标的清单 报价表 供应商应提交的相关资格证明文件.docx 供应商业绩.docx 响应函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全部响应（演示项服务内容除外）得27分。未标注“▲”符号的条款不满足，扣2分，标注“▲”符号（演示项服务内容除外）的条款不满足，扣3分。 备注：（1）响应【服务工具要求】指标时须提供佐证材料，否则视为负偏离，佐证材料包括但不限于：系统截图或技术说明书或产品彩页或第三方报告等，供应商应在响应文件中给出明确的证明材料索引，未提供有效证明材料或证明材料中内容与所填报指标不一致的或缺项、漏项的，将视为此条不满足，视同负偏离处理。（供应商自行承担因证明材料不全而被视为服务指标偏离的风险）。（2）演示项服务内容将不在此处重复评审计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供应商应对以下内容进行演示，演示的功能与内容技术指标和性能完全满足磋商文件要求每项的得3分（共6项），共计18分。未演示或单项演示功能不全的单项不得分。 （1）支持对资产进行多维度管理，至少应包括IP资产维度、Web资产维度、服务（IP+PORT）资产维度、业务系统资产维度。 （2）支持资产端口服务开放监测、IP资产在线状态监测、Web资产在线状态监测，支持监测规则自定义配置。 （3）系统应内置漏洞库，系统收录的漏洞库总数≥30万条，漏洞详情应包括但不限于漏洞编号、漏洞描述、漏洞类型、解决办法等，系统应内置POC库，系统收录的POC总数≥7000条； （4）支持API资产学习，能够学习标准API、后台管理类API、下载类API等API类型，API资产识别数量不少于30万；针对不同的API类型，支持提供独立的启用/禁用开关。支持自定义僵尸资产时间进行识别匹配，支持自动删除僵尸资产。 （5）支持识别隐私信息并进行分级，包括但不限于一到五级数据；支持对隐私信息进行分类，包括但不限于证件类、邮箱地址类、银行卡类、电话号码类、公司类、个人财产信息类、IT信息类、证件类等。 （6）内置多种API异常行为模型，至少应包含IP单日访问隐私数据突增、IP拉取大量隐私数据、API单日隐私数据突增、API泄露大量隐私数据、IP单日访问频率突增、IP访问次数异常、API单日访问频率突增、API访问次数异常、IP高频访问失败等风险模型。 备注：供应商应在磋商响应文件递交截止时间前到达西安市南二环西段58号成长大厦10楼大厅，按照磋商文件要求进行现场展示及讲解陈述，演示方式必须为实机演示（供应商必须提前将演示设备实机运输至磋商会议现场并进行现场上电调试），不接受采用云端演示环境、demo、PPT、截图等代替所投产品进行演示，且不接受任何形式的远程演示，供应商从设备调试完毕起，讲解陈述时间不得超过15分钟，供应商自行负责演示所必须的电脑、显示器、网线或其他外设，否则相关不利风险由供应商自行承担。</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根据供应商针对本项目提供的服务方案（全校信息资产动态安全治理服务，全校API治理及安全防护服务）进行评审： 方案内容不存在瑕疵，得10分，内容每存在1处瑕疵，扣0.1-1分，未提供方案得0分。 注：本项内容中所称的“瑕疵”指以下任意一种情形： ①内容不满足项目要求； ②内容表述不完整或缺少关键分析点； ③内容科学合理性或针对性或实用性不强； ④内容表述前后矛盾、无连贯性、内容存在逻辑漏洞、常识性错误； ⑤内容并不适用本项目特性或非专门针对本项目制定； ⑥内容与本项目关联度不高或不适用于本项目或不利于本项目的实施。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针对本项目有详细可行总体实施方案（包括供货、安装、调试及进度计划组织保障措施等），由磋商小组根据方案及措施进行评审： 方案内容不存在瑕疵，得10分，内容每存在1处瑕疵，扣0.1-1分，未提供方案得0分。 注：本项内容中所称的“瑕疵”指以下任意一种情形： ①内容不满足项目要求； ②内容表述不完整或缺少关键分析点； ③内容科学合理性或针对性或实用性不强； ④内容表述前后矛盾、无连贯性、内容存在逻辑漏洞、常识性错误； ⑤内容并不适用本项目特性或非专门针对本项目制定； ⑥内容与本项目关联度不高或不适用于本项目或不利于本项目的实施。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项目负责人具备软考信息系统项目管理师（高级）证书满足得4分，不满足不得分。 备注：提供证书扫描件，且项目负责人应为投标人单位员工，否则本项不得分。要求提供项目负责人近1个月（由于社保部门原因最近一个月的社保证明无法提供的可往前顺延一个月）的社保证明作为本单位员工的证明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团队组织架构</w:t>
            </w:r>
          </w:p>
        </w:tc>
        <w:tc>
          <w:tcPr>
            <w:tcW w:type="dxa" w:w="2492"/>
          </w:tcPr>
          <w:p>
            <w:pPr>
              <w:pStyle w:val="null3"/>
            </w:pPr>
            <w:r>
              <w:rPr>
                <w:rFonts w:ascii="仿宋_GB2312" w:hAnsi="仿宋_GB2312" w:cs="仿宋_GB2312" w:eastAsia="仿宋_GB2312"/>
              </w:rPr>
              <w:t>团队组织架构： 一、评审内容 针对本项目特点有明确的组织架构，内容包含①组织机构运行配备方案②专业服务团队的职能分工方案（同时提供团队名单）。 二、评审标准 1.完整性：方案须全面，对评审内容中的各项要求有详细描述； 2.可实施性：切合本项目实际情况，实施步骤清晰、合理； 3.针对性：方案能够紧扣项目实际情况，内容科学合理。 三、赋分标准（满分6分） ①组织机构运行配备方案：每完全满足一个评审标准得1分，不满足不得分，满分3分； ②专业服务团队的职能分工方案:每完全满足一个评审标准得1分，不满足不得分，满分3分。 备注：应列明项目团队成员名单，且项目团队成员应为投标人单位员工，否则本项不得分。要求提供团队成员的近1个月（由于社保部门原因最近一个月的社保证 明无法提供的可往前顺延一个月）的社保证明作为本单位员工的证明依据。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根据供应商的售后服务方案（包括但不限于服务团队、服务流程、服务标准、响应时间、质保期满后的承诺等）进行评审： 方案内容不存在瑕疵，得10分，内容每存在1处瑕疵，扣0.1-1分，未提供方案得0分。 注：本项内容中所称的“瑕疵”指以下任意一种情形： ①内容不满足项目要求； ②内容表述不完整或缺少关键分析点； ③内容科学合理性或针对性或实用性不强； ④内容表述前后矛盾、无连贯性、内容存在逻辑漏洞、常识性错误； ⑤内容并不适用本项目特性或非专门针对本项目制定； ⑥内容与本项目关联度不高或不适用于本项目或不利于本项目的实施。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提供供应商2022年7月1日起至今（以合同签订日期为准）的类似项目业绩合同扫描件，每提供一份有效业绩得1分，满分5分。备注：提供合同扫描件。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价格分统一采用低价优先法计算，即满足磋商文件要求且最低的响应报价（最后报价）为基准价，其价格分为满分（10分）。其他供应商的价格分统一按照下列公式计算： 响应报价得分=(基准价／响应报价（最后报价）)×10分。 注：1、计算分数时四舍五入取小数点后两位；2、落实政府采购政策：详见采购文件。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详见附件：供应商业绩.docx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