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版本号：SDZC2026-07420260629001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蓝田县耕地保护和国土绿化空间专项规划实施方案编制工作采购项目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SDZC2026-074</w:t>
      </w:r>
      <w:r>
        <w:br/>
      </w:r>
      <w:r>
        <w:br/>
      </w:r>
      <w:r>
        <w:br/>
      </w:r>
    </w:p>
    <w:p>
      <w:pPr>
        <w:pStyle w:val="null3"/>
        <w:jc w:val="center"/>
        <w:outlineLvl w:val="2"/>
      </w:pPr>
      <w:r>
        <w:rPr>
          <w:rFonts w:ascii="仿宋_GB2312" w:hAnsi="仿宋_GB2312" w:cs="仿宋_GB2312" w:eastAsia="仿宋_GB2312"/>
          <w:sz w:val="28"/>
          <w:b/>
        </w:rPr>
        <w:t>蓝田县自然资源和规划局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蓝田县自然资源和规划局</w:t>
      </w:r>
      <w:r>
        <w:rPr>
          <w:rFonts w:ascii="仿宋_GB2312" w:hAnsi="仿宋_GB2312" w:cs="仿宋_GB2312" w:eastAsia="仿宋_GB2312"/>
        </w:rPr>
        <w:t>委托，拟对</w:t>
      </w:r>
      <w:r>
        <w:rPr>
          <w:rFonts w:ascii="仿宋_GB2312" w:hAnsi="仿宋_GB2312" w:cs="仿宋_GB2312" w:eastAsia="仿宋_GB2312"/>
        </w:rPr>
        <w:t>蓝田县耕地保护和国土绿化空间专项规划实施方案编制工作采购项目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蓝田县耕地保护和国土绿化空间专项规划实施方案编制工作采购项目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蓝田县耕地保护和国土绿化空间专项规划实施方案编制工作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采购包1（蓝田县耕地保护和国土绿化空间专项规划实施方案编制工作采购项目）：属于专门面向中小企业采购。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p>
      <w:pPr>
        <w:pStyle w:val="null3"/>
      </w:pPr>
      <w:r>
        <w:rPr>
          <w:rFonts w:ascii="仿宋_GB2312" w:hAnsi="仿宋_GB2312" w:cs="仿宋_GB2312" w:eastAsia="仿宋_GB2312"/>
        </w:rPr>
        <w:t>3、税收缴纳证明：税收缴纳证明：提供截止至2025年7⽉⾄今任意一个月的缴纳凭据（增值税、企业所得税至少提供一种，依法免税的投标人应提供相关文件证明）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4、社会保障资金缴纳证明：社会保障资金缴纳证明：提供2025年12⽉⾄今任意⼀个⽉的社保缴纳凭据或社保机构开具的社会保险参保缴纳情况证明；（依法不需要缴纳社会保障资⾦的投标⼈应提供相关证明）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 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8、资质证书：供应商须具备土地规划乙级（含乙级）以上资质或城乡规划乙级（含乙级）以上资质证书；</w:t>
      </w:r>
    </w:p>
    <w:p>
      <w:pPr>
        <w:pStyle w:val="null3"/>
      </w:pPr>
      <w:r>
        <w:rPr>
          <w:rFonts w:ascii="仿宋_GB2312" w:hAnsi="仿宋_GB2312" w:cs="仿宋_GB2312" w:eastAsia="仿宋_GB2312"/>
        </w:rPr>
        <w:t>9、信用截图：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 号文规定，此项由采购人在磋商响应截止日当 天在“信用中国” 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 定，此项由采购人在磋商响应截止日当天在“ 国家企业信用信息公示系统” 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蓝田县蓝新路7号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13720730333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采购包1：859,300.00元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原《国家计委关于印发&lt;招标代理服务收费管理暂行办法&gt;的通知》(计价格〔2002〕1980号)、《国家发展改革委关于降低部分建设项目收费标准规范收费行为等有关问题的通知》(发改价格〔2011〕534号)规定执行。 1.开户行名称：陕西上德招标有限公司 2.开 户 行：西安银行股份有限公司文景路支行 3.帐 号：7070 1151 0000 0135 22 4.西安银行文景路行号：313791000509 财务部联系方式： 029-86673953、029-86518381、029-89299829、029-89293231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蓝田县自然资源和规划局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符合国家的标准和有关规定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蓝田县耕地保护和国土绿化空间专项规划实施方案编制工作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859,300.00</w:t>
      </w:r>
    </w:p>
    <w:p>
      <w:pPr>
        <w:pStyle w:val="null3"/>
      </w:pPr>
      <w:r>
        <w:rPr>
          <w:rFonts w:ascii="仿宋_GB2312" w:hAnsi="仿宋_GB2312" w:cs="仿宋_GB2312" w:eastAsia="仿宋_GB2312"/>
        </w:rPr>
        <w:t>采购包最高限价（元）: 859,300.00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蓝田县耕地保护和国土绿化空间专项规划实施方案编制工作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859,300.00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标的名称：蓝田县耕地保护和国土绿化空间专项规划实施方案编制工作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根据《自然资源部办公厅 国家林业和草原局办公室关于印发&lt;耕地保护和国土绿化空间专项规划编制工作方案&gt;的函》（自然资办函〔2026〕124号）、《陕西省自然资源厅 陕西省林业局关于开展耕地保护和国土绿化空间专项规划编制有关工作的通知》（陕自然资耕发〔2026〕364号）要求，为扎实推进蓝田县“耕地数量、质量、生态三位一体保护”试点工作，现需开展蓝田县耕地保护和国土绿化空间专项规划实施方案编制工作，化解耕地和林地、草地空间矛盾冲突，优化农用地布局，实现规划引领下更高质量的“耕地数量、质量、生态三位一体”保护。以2024年度国土变更调查和林草湿荒普查成果为基础，结合2025年一上报部、“三区三线”划定成果等数据，谋划到2035年的耕地保护和国土绿化空间布局，统筹划定耕地空间、耕地补充空间（二者共同构成耕地保护空间）以及林草空间、林草补充空间（二者共同构成国土绿化空间），明确耕地、林地、草地管理边界，纳入“一张图”监督实施。</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服务内容主要包括明确空间划定目标、确定耕地和林草空间、核实确认补充空间、编制规划实施方案，成果检查及报送等五项内容。</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1.熟悉部、省、市关于耕地保护和国土绿化相关的政策要求；</w:t>
            </w:r>
          </w:p>
          <w:p>
            <w:pPr>
              <w:pStyle w:val="null3"/>
            </w:pPr>
            <w:r>
              <w:rPr>
                <w:rFonts w:ascii="仿宋_GB2312" w:hAnsi="仿宋_GB2312" w:cs="仿宋_GB2312" w:eastAsia="仿宋_GB2312"/>
              </w:rPr>
              <w:t>2.熟悉蓝田县耕地、林草分布情况，有一定的国土空间规划、国土调查、林草湿荒调查监测等相关工作基础；</w:t>
            </w:r>
          </w:p>
          <w:p>
            <w:pPr>
              <w:pStyle w:val="null3"/>
            </w:pPr>
            <w:r>
              <w:rPr>
                <w:rFonts w:ascii="仿宋_GB2312" w:hAnsi="仿宋_GB2312" w:cs="仿宋_GB2312" w:eastAsia="仿宋_GB2312"/>
              </w:rPr>
              <w:t>3.熟练运用数据库建设、审核、质检等相关专业软件。</w:t>
            </w:r>
          </w:p>
          <w:p>
            <w:pPr>
              <w:pStyle w:val="null3"/>
            </w:pPr>
            <w:r>
              <w:rPr>
                <w:rFonts w:ascii="仿宋_GB2312" w:hAnsi="仿宋_GB2312" w:cs="仿宋_GB2312" w:eastAsia="仿宋_GB2312"/>
              </w:rPr>
              <w:t>四、服务标准</w:t>
            </w:r>
          </w:p>
          <w:p>
            <w:pPr>
              <w:pStyle w:val="null3"/>
            </w:pPr>
            <w:r>
              <w:rPr>
                <w:rFonts w:ascii="仿宋_GB2312" w:hAnsi="仿宋_GB2312" w:cs="仿宋_GB2312" w:eastAsia="仿宋_GB2312"/>
              </w:rPr>
              <w:t>提交成果符合《陕西省自然资源厅 陕西省林业局关于开展耕地保护和国土绿化空间专项规划编制有关工作的通知》（陕自然资耕发〔2026〕364号）、《陕西省自然资源厅 陕西省林业局关于耕地与林草地空间优化的指导意见（暂行）》（陕自然资发〔2026〕121号）文件中对耕地保护和国土绿化空间专项规划工作实施的相关服务标准，确保技术服务成果的科学性、合理性、准确性。</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成交单位应按照工作计划，提交项目成果，并通过省、市级审查。</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1、成果完整性：耕地保护和国土绿化空间专项规划实施方案编制工作成果应当完整、详细、清晰，包括数据库、统计表、实施方案等内容，同时要确保成果的准确性、合理性和可行性；</w:t>
            </w:r>
          </w:p>
          <w:p>
            <w:pPr>
              <w:pStyle w:val="null3"/>
            </w:pPr>
            <w:r>
              <w:rPr>
                <w:rFonts w:ascii="仿宋_GB2312" w:hAnsi="仿宋_GB2312" w:cs="仿宋_GB2312" w:eastAsia="仿宋_GB2312"/>
              </w:rPr>
              <w:t>2、成果质量要求：耕地保护和国土绿化空间专项规划实施方案编制工作成果应当符合国家和地方的有关法律法规和相关政策要求，同时要遵循科学、合理、可行的原则，确保成果通过省、市级审查；</w:t>
            </w:r>
          </w:p>
          <w:p>
            <w:pPr>
              <w:pStyle w:val="null3"/>
            </w:pPr>
            <w:r>
              <w:rPr>
                <w:rFonts w:ascii="仿宋_GB2312" w:hAnsi="仿宋_GB2312" w:cs="仿宋_GB2312" w:eastAsia="仿宋_GB2312"/>
              </w:rPr>
              <w:t>3、交付方式要求：耕地保护和国土绿化空间专项规划实施方案编制工作成果应当以纸质和电子版两种形式进行交付，同时要确保交付方式的规范和合法，避免出现不必要的纠纷和争议；</w:t>
            </w:r>
          </w:p>
          <w:p>
            <w:pPr>
              <w:pStyle w:val="null3"/>
            </w:pPr>
            <w:r>
              <w:rPr>
                <w:rFonts w:ascii="仿宋_GB2312" w:hAnsi="仿宋_GB2312" w:cs="仿宋_GB2312" w:eastAsia="仿宋_GB2312"/>
              </w:rPr>
              <w:t>4、耕地保护和国土绿化空间专项规划实施方案编制工作成果交付的要求需要确保成果的完整性、准确性和合理性，同时要遵循国家和地方的法律法规和政策要求，以规范、合法的方式进行交付和应用。</w:t>
            </w:r>
          </w:p>
          <w:p>
            <w:pPr>
              <w:pStyle w:val="null3"/>
            </w:pPr>
            <w:r>
              <w:rPr>
                <w:rFonts w:ascii="仿宋_GB2312" w:hAnsi="仿宋_GB2312" w:cs="仿宋_GB2312" w:eastAsia="仿宋_GB2312"/>
              </w:rPr>
              <w:t>注：以上内容为实质性要求，不得负偏离。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项目团队知识构架要全面，团队人员需具有相关工作技术能力，需研究提出蓝田县耕地保护和国土绿化空间专项规划实施方案编制工作的技术规则及要求，在规定时间内完成蓝田县耕地保护和国土绿化空间专项规划实施方案编制等各项成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提交成果符合《陕西省自然资源厅 陕西省林业局关于开展耕地保护和国土绿化空间专项规划编制有关工作的通知》（陕自然资耕发〔2026〕364号）、《陕西省自然资源厅 陕西省林业局关于耕地与林草地空间优化的指导意见（暂行）》（陕自然资发〔2026〕121号）文件中对耕地保护和国土绿化空间专项规划工作实施的相关服务标准，确保技术服务成果的科学性、合理性、准确性。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自合同签订之日起至成果通过省、市级审查止。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蓝田县境内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提交成果符合《陕西省自然资源厅 陕西省林业局关于开展耕地保护和国土绿化空间专项规划编制有关工作的通知》（陕自然资耕发〔2026〕364号）、《陕西省自然资源厅 陕西省林业局关于耕地与林草地空间优化的指导意见（暂行）》（陕自然资发〔2026〕121号）文件中对耕地保护和国土绿化空间专项规划工作实施的相关服务标准，确保技术服务成果的科学性、合理性、准确性。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进度款，成果通过省级审查后，达到付款条件起30个工作日内，支付合同总金额的60.0%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 3.未按合同要求提供服务质量不能满足采购要求的，甲方会同相关单位，有权终止合同和对成交单位违约进行追究。 4.供应商须确保磋商响应文件中提供的资质、证书等证明材料，须在合同签订及履行期间持续有效，否则采购人有权终止合同并要求赔偿。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领取成交通知书时，提供一正（红色章子）两副胶装纸质版磋商响应文件。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时间⾄开标时间不⾜⼀年的可提供成⽴后任意时段的资产负债表）或其基本开⼾银⾏出具的资信证明或政府采购信⽤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税收缴纳证明：提供截止至2025年7⽉⾄今任意一个月的缴纳凭据（增值税、企业所得税至少提供一种，依法免税的投标人应提供相关文件证明）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社会保障资金缴纳证明：提供2025年12⽉⾄今任意⼀个⽉的社保缴纳凭据或社保机构开具的社会保险参保缴纳情况证明；（依法不需要缴纳社会保障资⾦的投标⼈应提供相关证明）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 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供应商须具备土地规划乙级（含乙级）以上资质或城乡规划乙级（含乙级）以上资质证书；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 号文规定，此项由采购人在磋商响应截止日当 天在“信用中国” 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 定，此项由采购人在磋商响应截止日当天在“ 国家企业信用信息公示系统” 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被授权人承诺书.docx 中小企业声明函 分项报价.docx 商务条款响应偏离表.docx 服务条款响应偏离表.docx 法定代表人授权书.docx 响应文件封面 《拒绝政府采购领域商业贿赂承诺书》.docx 残疾人福利性单位声明函 供应商参与政府采购活动的承诺函.docx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对磋商文件商务要求、服务要求作出明确响应</w:t>
            </w:r>
          </w:p>
        </w:tc>
        <w:tc>
          <w:tcPr>
            <w:tcW w:type="dxa" w:w="3322"/>
          </w:tcPr>
          <w:p>
            <w:pPr>
              <w:pStyle w:val="null3"/>
            </w:pPr>
            <w:r>
              <w:rPr>
                <w:rFonts w:ascii="仿宋_GB2312" w:hAnsi="仿宋_GB2312" w:cs="仿宋_GB2312" w:eastAsia="仿宋_GB2312"/>
              </w:rPr>
              <w:t>对磋商文件商务要求作出明确响应；对磋商文件服务要求作出明确响应，对不得偏离的要求作了实质性响应</w:t>
            </w:r>
          </w:p>
        </w:tc>
        <w:tc>
          <w:tcPr>
            <w:tcW w:type="dxa" w:w="1661"/>
          </w:tcPr>
          <w:p>
            <w:pPr>
              <w:pStyle w:val="null3"/>
            </w:pPr>
            <w:r>
              <w:rPr>
                <w:rFonts w:ascii="仿宋_GB2312" w:hAnsi="仿宋_GB2312" w:cs="仿宋_GB2312" w:eastAsia="仿宋_GB2312"/>
              </w:rPr>
              <w:t>商务条款响应偏离表.docx 服务条款响应偏离表.docx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磋商响应文件无采购人不能接受的附加条件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若出现评审得分相同的，则依次比较报价得分，项目负责人得分，拟投入本项目的技术人员得分，以得分高的排序在先。</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中级职称的计2分；高级职称的计4分；同时具有高级职称及有效期内《中华人民共和国注册城乡规划师职业资格证书》的计10分，以资格证或职称证书及2026年3月至今任意一个月在本单位的社保资金缴纳凭证为准，未提供或提供不全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拟投入本项目的技术人员1</w:t>
            </w:r>
          </w:p>
        </w:tc>
        <w:tc>
          <w:tcPr>
            <w:tcW w:type="dxa" w:w="2492"/>
          </w:tcPr>
          <w:p>
            <w:pPr>
              <w:pStyle w:val="null3"/>
            </w:pPr>
            <w:r>
              <w:rPr>
                <w:rFonts w:ascii="仿宋_GB2312" w:hAnsi="仿宋_GB2312" w:cs="仿宋_GB2312" w:eastAsia="仿宋_GB2312"/>
              </w:rPr>
              <w:t>项目组其他技术人员（除项目负责人以外），具有高级职称的一名计5分；中级职称的一名计2分，满分10分（以职称证书及2026年3月至今任意一个月在本单位的社保资金缴纳凭证为准，未提供或提供不全的不计分）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拟投入本项目的技术人员.docx</w:t>
            </w:r>
          </w:p>
        </w:tc>
      </w:tr>
      <w:tr>
        <w:tc>
          <w:tcPr>
            <w:tcW w:type="dxa" w:w="831"/>
            <w:vMerge/>
          </w:tcPr>
          <w:p/>
        </w:tc>
        <w:tc>
          <w:tcPr>
            <w:tcW w:type="dxa" w:w="1661"/>
          </w:tcPr>
          <w:p>
            <w:pPr>
              <w:pStyle w:val="null3"/>
            </w:pPr>
            <w:r>
              <w:rPr>
                <w:rFonts w:ascii="仿宋_GB2312" w:hAnsi="仿宋_GB2312" w:cs="仿宋_GB2312" w:eastAsia="仿宋_GB2312"/>
              </w:rPr>
              <w:t>拟投入本项目的技术人员2</w:t>
            </w:r>
          </w:p>
        </w:tc>
        <w:tc>
          <w:tcPr>
            <w:tcW w:type="dxa" w:w="2492"/>
          </w:tcPr>
          <w:p>
            <w:pPr>
              <w:pStyle w:val="null3"/>
            </w:pPr>
            <w:r>
              <w:rPr>
                <w:rFonts w:ascii="仿宋_GB2312" w:hAnsi="仿宋_GB2312" w:cs="仿宋_GB2312" w:eastAsia="仿宋_GB2312"/>
              </w:rPr>
              <w:t>项目组其他人员具有土地类、规划类、林业类、测绘类、地理信息类专业的，专业齐全的计15分，缺一类扣3分，扣完为止。（提供证明材料）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拟投入本项目的技术人员.docx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供应商具有质量管理体系认证证书、环境管理体系认证证书、职业健康安全管理体系证书，每提供一份计2分，满分6分。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以合同形式提供供应商2022年1月（以合同签订日期为准）至今同类项目业绩，一份计2分，共10分。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项目实施方案1</w:t>
            </w:r>
          </w:p>
        </w:tc>
        <w:tc>
          <w:tcPr>
            <w:tcW w:type="dxa" w:w="2492"/>
          </w:tcPr>
          <w:p>
            <w:pPr>
              <w:pStyle w:val="null3"/>
            </w:pPr>
            <w:r>
              <w:rPr>
                <w:rFonts w:ascii="仿宋_GB2312" w:hAnsi="仿宋_GB2312" w:cs="仿宋_GB2312" w:eastAsia="仿宋_GB2312"/>
              </w:rPr>
              <w:t>包括但不限于：编制依据；编制原则；工作目标与任务；工作范围； 评审标准：内容全面详细、阐述条理清晰、具有针对性、合理可行得4分。每缺一项扣1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项目实施方案2</w:t>
            </w:r>
          </w:p>
        </w:tc>
        <w:tc>
          <w:tcPr>
            <w:tcW w:type="dxa" w:w="2492"/>
          </w:tcPr>
          <w:p>
            <w:pPr>
              <w:pStyle w:val="null3"/>
            </w:pPr>
            <w:r>
              <w:rPr>
                <w:rFonts w:ascii="仿宋_GB2312" w:hAnsi="仿宋_GB2312" w:cs="仿宋_GB2312" w:eastAsia="仿宋_GB2312"/>
              </w:rPr>
              <w:t>包括但不限于：整体实施流程；整改与报送方案；分区布局方案；分区管控、动态调整落地实施机制；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包括但不限于：人员保障；技术保障；质量与时效保障；风险防控；协调保障； 评审标准：内容全面详细、阐述条理清晰、具有针对性、合理可行得10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包括但不限于：整体进度计划安排、分阶段实施进度安排；明确各阶段时限； 评审标准：内容全面详细、阐述条理清晰、具有针对性、合理可行得2分。每缺一项扣1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包括但不限于：完善的档案管理制度、数据安全保密措施；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包括但不限于：组织管理质量保障；成果交付质量保障；人员能力质量保障；技术与数据质量保障；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包括但不限于：成果修改及售后质保承诺；廉洁履约及违约责任承诺；售后响应时限及范围； 评审标准：内容全面详细、阐述条理清晰、具有针对性、合理可行得3分。每缺一项扣1分，每有一处内容存在缺陷，扣0.5分，扣完为止，未提供相关内容本项不计分。备注：缺陷是指内容不合理、内容仅有粗略表述不具体、内容表述前后不一致、内容存在明显错误、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详见附件：被授权人承诺书.docx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详见附件：进度计划.docx</w:t>
      </w:r>
    </w:p>
    <w:p>
      <w:pPr>
        <w:pStyle w:val="null3"/>
        <w:ind w:firstLine="960"/>
      </w:pPr>
      <w:r>
        <w:rPr>
          <w:rFonts w:ascii="仿宋_GB2312" w:hAnsi="仿宋_GB2312" w:cs="仿宋_GB2312" w:eastAsia="仿宋_GB2312"/>
        </w:rPr>
        <w:t>详见附件：拟投入本项目的技术人员.docx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