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版本号：HCKPZY-ZB-202603420260430001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机电产品国际招投标项目核查服务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HCKPZY-ZB-2026034</w:t>
      </w:r>
      <w:r>
        <w:br/>
      </w:r>
      <w:r>
        <w:br/>
      </w:r>
      <w:r>
        <w:br/>
      </w:r>
    </w:p>
    <w:p>
      <w:pPr>
        <w:pStyle w:val="null3"/>
        <w:jc w:val="center"/>
        <w:outlineLvl w:val="2"/>
      </w:pPr>
      <w:r>
        <w:rPr>
          <w:rFonts w:ascii="仿宋_GB2312" w:hAnsi="仿宋_GB2312" w:cs="仿宋_GB2312" w:eastAsia="仿宋_GB2312"/>
          <w:sz w:val="28"/>
          <w:b/>
        </w:rPr>
        <w:t>陕西省商务厅机关</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机电产品国际招投标项目核查服务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HCKPZY-ZB-2026034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机电产品国际招投标项目核查服务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采购内容为我省机电产品国际招投标行业整治项目核查服务，本项目为非专门面向中小企业采购。要求成交供应商开展全链条独立核查，包含两方面：一是存量项目复查与新项目滚动核查，对纳入底册的存量项目开展全面复查，对新立项项目同步纳入滚动核查，确保核查全覆盖、无遗漏；二是重大设备采购及外资合作项目穿透式核查，深入项目全流程，从招标公告、投标文件、评标记录到合同履行，逐环节穿透分析，深挖虚假招标、围标串标等问题；三是对指定地市招投标整治工作进行包联督导，抽查项目档案、核查问题台账、督促指导落实整改，并形成督导报告。</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响应磋商并参加磋商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供应商为自然人的提供身份证。供应商需在项目电子化交易系统中按要求上传相应证明文件并进行电子签章。</w:t>
      </w:r>
    </w:p>
    <w:p>
      <w:pPr>
        <w:pStyle w:val="null3"/>
      </w:pPr>
      <w:r>
        <w:rPr>
          <w:rFonts w:ascii="仿宋_GB2312" w:hAnsi="仿宋_GB2312" w:cs="仿宋_GB2312" w:eastAsia="仿宋_GB2312"/>
        </w:rPr>
        <w:t>2、授权委托书：供应商授权合法的人员参加磋商全过程，其中法定代表人/负责人直接磋商，须提交法定代表人/负责人身份证明书和身份证复印件。法定代表人/负责人授权代表参加磋商的，须出具法定代表人/负责人授权书及授权代表身份证复印件。磋商文件中凡是需要法定代表人盖章之处，非法人单位的负责人均参照执行。供应商需在项目电子化交易系统中按要求上传相应证明文件并进行电子签章。</w:t>
      </w:r>
    </w:p>
    <w:p>
      <w:pPr>
        <w:pStyle w:val="null3"/>
      </w:pPr>
      <w:r>
        <w:rPr>
          <w:rFonts w:ascii="仿宋_GB2312" w:hAnsi="仿宋_GB2312" w:cs="仿宋_GB2312" w:eastAsia="仿宋_GB2312"/>
        </w:rPr>
        <w:t>3、财务状况报告：提供2024年或2025年度经审计的完整财务报告（包含审计报告和审计报告中所涉及的财务报表和报表附注），或提供截至磋商响应文件提交截止日一年内银行出具的资信证明，或提供财政部门认可的政府采购专业担保机构出具的磋商担保函，或供应商注册时间截至磋商响应文件提交截止日不足一年的，也可提供在工商管理部门备案的公司章程（以上四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4月1日至响应文件递交截止日已缴存的任意一个月的社会保障资金缴存单据或社保机构开具的社会保险参保缴费情况证明，应体现险种和缴纳所属日期。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w:t>
      </w:r>
    </w:p>
    <w:p>
      <w:pPr>
        <w:pStyle w:val="null3"/>
      </w:pPr>
      <w:r>
        <w:rPr>
          <w:rFonts w:ascii="仿宋_GB2312" w:hAnsi="仿宋_GB2312" w:cs="仿宋_GB2312" w:eastAsia="仿宋_GB2312"/>
        </w:rPr>
        <w:t>5、税收缴纳证明：提供2025年4月1日至响应文件递交截止日已缴存的任意一个月的的纳税证明或完税证明（时间以税款所属日期为准），纳税证明或完税证明上应有代收机构或税务机关的公章，依法免税的单位应提供相关证明材料（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6、信用记录声明：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以代理机构现场查询结果为准）</w:t>
      </w:r>
    </w:p>
    <w:p>
      <w:pPr>
        <w:pStyle w:val="null3"/>
      </w:pPr>
      <w:r>
        <w:rPr>
          <w:rFonts w:ascii="仿宋_GB2312" w:hAnsi="仿宋_GB2312" w:cs="仿宋_GB2312" w:eastAsia="仿宋_GB2312"/>
        </w:rPr>
        <w:t>7、书面声明：提供具有履行合同所必需的设备和专业技术能力的书面声明。供应商需在项目电子化交易系统中按要求上传相应证明文件并进行电子签章。</w:t>
      </w:r>
    </w:p>
    <w:p>
      <w:pPr>
        <w:pStyle w:val="null3"/>
      </w:pPr>
      <w:r>
        <w:rPr>
          <w:rFonts w:ascii="仿宋_GB2312" w:hAnsi="仿宋_GB2312" w:cs="仿宋_GB2312" w:eastAsia="仿宋_GB2312"/>
        </w:rPr>
        <w:t>8、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9、关联关系：单位负责人为同一人或存在直接控股、管理关系的不同单位，不得参加同一合同项下的政府采购活动。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63913910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陕西省西安市碑林区西安市碑林区南二环西段58号成长大厦16楼1622</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张驰 李娜 吴忠宝 郭雄龙 张聪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029-85205306 /13772400720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中标（成交）金额，依据《国家发展改革委关于进一步放开建设项目专业服务价格的通知》（发改价格〔2015〕299号），并参考《招标代理服务收费管理暂行办法》（计价格［2002］1980号）规定的标准计算，计取。单个项目代理费不足5000元按5000元计取，在领取中标通知书时，向代理机构一次性全额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符合国家及行业现行质量标准要求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联系电话：029-85205306 /13772400720</w:t>
      </w:r>
    </w:p>
    <w:p>
      <w:pPr>
        <w:pStyle w:val="null3"/>
      </w:pPr>
      <w:r>
        <w:rPr>
          <w:rFonts w:ascii="仿宋_GB2312" w:hAnsi="仿宋_GB2312" w:cs="仿宋_GB2312" w:eastAsia="仿宋_GB2312"/>
        </w:rPr>
        <w:t>地址：陕西省西安市南二环西段 58 号成长大厦 16 楼</w:t>
      </w:r>
    </w:p>
    <w:p>
      <w:pPr>
        <w:pStyle w:val="null3"/>
      </w:pPr>
      <w:r>
        <w:rPr>
          <w:rFonts w:ascii="仿宋_GB2312" w:hAnsi="仿宋_GB2312" w:cs="仿宋_GB2312" w:eastAsia="仿宋_GB2312"/>
        </w:rPr>
        <w:t>邮编：710072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内容为我省机电产品国际招投标行业整治项目核查服务，本项目为非专门面向中小企业采购。要求成交供应商开展全链条独立核查，包含两方面：一是存量项目复查与新项目滚动核查，对纳入底册的存量项目开展全面复查，对新立项项目同步纳入滚动核查，确保核查全覆盖、无遗漏；二是重大设备采购及外资合作项目穿透式核查，深入项目全流程，从招标公告、投标文件、评标记录到合同履行，逐环节穿透分析，深挖虚假招标、围标串标等问题；三是对指定地市招投标整治工作进行包联督导，抽查项目档案、核查问题台账、督促指导落实整改，并形成督导报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机电产品国际招投标项目核查服务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标的名称：机电产品国际招投标项目核查服务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r>
              <w:br/>
            </w:r>
            <w:r>
              <w:rPr>
                <w:rFonts w:ascii="仿宋_GB2312" w:hAnsi="仿宋_GB2312" w:cs="仿宋_GB2312" w:eastAsia="仿宋_GB2312"/>
              </w:rPr>
              <w:t xml:space="preserve"> 本次采购内容为我省机电产品国际招投标行业整治项目核查服务，本项目为非专门面向中小企业采购。要求成交供应商开展全链条独立核查，包含两方面：一是存量项目复查与新项目滚动核查，对纳入底册的存量项目开展全面复查，对新立项项目同步纳入滚动核查，确保核查全覆盖、无遗漏；二是重大设备采购及外资合作项目穿透式核查，深入项目全流程，从招标公告、投标文件、评标记录到合同履行，逐环节穿透分析，深挖虚假招标、围标串标等问题；三是对指定地市招投标整治工作进行包联督导，抽查项目档案、核查问题台账、督促指导落实整改，并形成督导报告。</w:t>
            </w:r>
            <w:r>
              <w:br/>
            </w:r>
            <w:r>
              <w:rPr>
                <w:rFonts w:ascii="仿宋_GB2312" w:hAnsi="仿宋_GB2312" w:cs="仿宋_GB2312" w:eastAsia="仿宋_GB2312"/>
              </w:rPr>
              <w:t xml:space="preserve"> 二、服务内容</w:t>
            </w:r>
            <w:r>
              <w:br/>
            </w:r>
            <w:r>
              <w:rPr>
                <w:rFonts w:ascii="仿宋_GB2312" w:hAnsi="仿宋_GB2312" w:cs="仿宋_GB2312" w:eastAsia="仿宋_GB2312"/>
              </w:rPr>
              <w:t xml:space="preserve"> 1.底册项目处理：包含5920个纳入整治底册项目梳理、台账整理，并进行项目档案查阅与信息摘录、项目台账录入与数据整理及初步问题判断与标记；2.抽查项目复查：包含448个抽查项目全链条、全方位审查，以及相关资料梳理汇总，并进行复查材料收集与整理；3.新立项目滚动核查：负责所有项目反馈信息的收集、核验、汇总，并按时报送；4.问题线索整理：对核查发现的问题线索进行归类汇总，附初步研判意见，按要求移交。</w:t>
            </w:r>
            <w:r>
              <w:br/>
            </w:r>
            <w:r>
              <w:rPr>
                <w:rFonts w:ascii="仿宋_GB2312" w:hAnsi="仿宋_GB2312" w:cs="仿宋_GB2312" w:eastAsia="仿宋_GB2312"/>
              </w:rPr>
              <w:t xml:space="preserve"> 三、服务要求</w:t>
            </w:r>
            <w:r>
              <w:br/>
            </w:r>
            <w:r>
              <w:rPr>
                <w:rFonts w:ascii="仿宋_GB2312" w:hAnsi="仿宋_GB2312" w:cs="仿宋_GB2312" w:eastAsia="仿宋_GB2312"/>
              </w:rPr>
              <w:t xml:space="preserve"> 1.任务执行：成交供应商需按时、按质、按量高质量完成采购人委托的各项任务；</w:t>
            </w:r>
            <w:r>
              <w:br/>
            </w:r>
            <w:r>
              <w:rPr>
                <w:rFonts w:ascii="仿宋_GB2312" w:hAnsi="仿宋_GB2312" w:cs="仿宋_GB2312" w:eastAsia="仿宋_GB2312"/>
              </w:rPr>
              <w:t xml:space="preserve"> 2.沟通汇报：与采购人保持紧密联系，所有工作方案及相关建议、总结等均应以书面或电子邮件形式向采购人汇报；</w:t>
            </w:r>
            <w:r>
              <w:br/>
            </w:r>
            <w:r>
              <w:rPr>
                <w:rFonts w:ascii="仿宋_GB2312" w:hAnsi="仿宋_GB2312" w:cs="仿宋_GB2312" w:eastAsia="仿宋_GB2312"/>
              </w:rPr>
              <w:t xml:space="preserve"> 3.工作人员组成：配备2名省级在库专家；配备2名以上具有中级职称的专职工作人员；所有工作人员要具备专业知识和技能、良好的道德素养；</w:t>
            </w:r>
            <w:r>
              <w:br/>
            </w:r>
            <w:r>
              <w:rPr>
                <w:rFonts w:ascii="仿宋_GB2312" w:hAnsi="仿宋_GB2312" w:cs="仿宋_GB2312" w:eastAsia="仿宋_GB2312"/>
              </w:rPr>
              <w:t xml:space="preserve"> 4.经验要求：成交供应商需具相关工作经验，曾参与过省级政府类项目核查；</w:t>
            </w:r>
            <w:r>
              <w:br/>
            </w:r>
            <w:r>
              <w:rPr>
                <w:rFonts w:ascii="仿宋_GB2312" w:hAnsi="仿宋_GB2312" w:cs="仿宋_GB2312" w:eastAsia="仿宋_GB2312"/>
              </w:rPr>
              <w:t xml:space="preserve"> 5.实地核查：服务期内，成交供应商需按采购人要求，及时完成省内外实地核查，相关费用由成交供应商自行承担；</w:t>
            </w:r>
            <w:r>
              <w:br/>
            </w:r>
            <w:r>
              <w:rPr>
                <w:rFonts w:ascii="仿宋_GB2312" w:hAnsi="仿宋_GB2312" w:cs="仿宋_GB2312" w:eastAsia="仿宋_GB2312"/>
              </w:rPr>
              <w:t xml:space="preserve"> 6.资料分析：包括对项目检查、实地调查及其他相关数据、资料进行归档整理、核查比对、审核认定、综合分析判断，定期编制核查报告，并报采购人审定。</w:t>
            </w:r>
            <w:r>
              <w:br/>
            </w:r>
            <w:r>
              <w:rPr>
                <w:rFonts w:ascii="仿宋_GB2312" w:hAnsi="仿宋_GB2312" w:cs="仿宋_GB2312" w:eastAsia="仿宋_GB2312"/>
              </w:rPr>
              <w:t xml:space="preserve"> 四、商务要求</w:t>
            </w:r>
            <w:r>
              <w:br/>
            </w:r>
            <w:r>
              <w:rPr>
                <w:rFonts w:ascii="仿宋_GB2312" w:hAnsi="仿宋_GB2312" w:cs="仿宋_GB2312" w:eastAsia="仿宋_GB2312"/>
              </w:rPr>
              <w:t xml:space="preserve"> （一）服务期限</w:t>
            </w:r>
            <w:r>
              <w:br/>
            </w:r>
            <w:r>
              <w:rPr>
                <w:rFonts w:ascii="仿宋_GB2312" w:hAnsi="仿宋_GB2312" w:cs="仿宋_GB2312" w:eastAsia="仿宋_GB2312"/>
              </w:rPr>
              <w:t xml:space="preserve"> 服务时间合同签订日起至2026年12月31日止。</w:t>
            </w:r>
            <w:r>
              <w:br/>
            </w:r>
            <w:r>
              <w:rPr>
                <w:rFonts w:ascii="仿宋_GB2312" w:hAnsi="仿宋_GB2312" w:cs="仿宋_GB2312" w:eastAsia="仿宋_GB2312"/>
              </w:rPr>
              <w:t xml:space="preserve"> （二）款项结算</w:t>
            </w:r>
            <w:r>
              <w:br/>
            </w:r>
            <w:r>
              <w:rPr>
                <w:rFonts w:ascii="仿宋_GB2312" w:hAnsi="仿宋_GB2312" w:cs="仿宋_GB2312" w:eastAsia="仿宋_GB2312"/>
              </w:rPr>
              <w:t xml:space="preserve"> 合同签订后支付合同总价的70%，服务经验收合格后，支付剩余30%的合同款项。</w:t>
            </w:r>
            <w:r>
              <w:br/>
            </w:r>
            <w:r>
              <w:rPr>
                <w:rFonts w:ascii="仿宋_GB2312" w:hAnsi="仿宋_GB2312" w:cs="仿宋_GB2312" w:eastAsia="仿宋_GB2312"/>
              </w:rPr>
              <w:t xml:space="preserve"> 五、其他</w:t>
            </w:r>
            <w:r>
              <w:br/>
            </w:r>
            <w:r>
              <w:rPr>
                <w:rFonts w:ascii="仿宋_GB2312" w:hAnsi="仿宋_GB2312" w:cs="仿宋_GB2312" w:eastAsia="仿宋_GB2312"/>
              </w:rPr>
              <w:t xml:space="preserve"> （一）进度要求</w:t>
            </w:r>
            <w:r>
              <w:br/>
            </w:r>
            <w:r>
              <w:rPr>
                <w:rFonts w:ascii="仿宋_GB2312" w:hAnsi="仿宋_GB2312" w:cs="仿宋_GB2312" w:eastAsia="仿宋_GB2312"/>
              </w:rPr>
              <w:t xml:space="preserve"> 按照甲方要求执行。</w:t>
            </w:r>
            <w:r>
              <w:br/>
            </w:r>
            <w:r>
              <w:rPr>
                <w:rFonts w:ascii="仿宋_GB2312" w:hAnsi="仿宋_GB2312" w:cs="仿宋_GB2312" w:eastAsia="仿宋_GB2312"/>
              </w:rPr>
              <w:t xml:space="preserve"> （二）提交成果</w:t>
            </w:r>
            <w:r>
              <w:br/>
            </w:r>
            <w:r>
              <w:rPr>
                <w:rFonts w:ascii="仿宋_GB2312" w:hAnsi="仿宋_GB2312" w:cs="仿宋_GB2312" w:eastAsia="仿宋_GB2312"/>
              </w:rPr>
              <w:t xml:space="preserve"> 工作完成后，需形成专业、有支撑力的核查报告，该报告需能服务于后续线索处置工作，全套成果资料须按采购人指定时限内提交。</w:t>
            </w:r>
            <w:r>
              <w:br/>
            </w:r>
            <w:r>
              <w:rPr>
                <w:rFonts w:ascii="仿宋_GB2312" w:hAnsi="仿宋_GB2312" w:cs="仿宋_GB2312" w:eastAsia="仿宋_GB2312"/>
              </w:rPr>
              <w:t xml:space="preserve"> （三）质量要收标准或规范</w:t>
            </w:r>
            <w:r>
              <w:br/>
            </w:r>
            <w:r>
              <w:rPr>
                <w:rFonts w:ascii="仿宋_GB2312" w:hAnsi="仿宋_GB2312" w:cs="仿宋_GB2312" w:eastAsia="仿宋_GB2312"/>
              </w:rPr>
              <w:t xml:space="preserve"> 按照合同执行。</w:t>
            </w:r>
            <w:r>
              <w:br/>
            </w:r>
            <w:r>
              <w:rPr>
                <w:rFonts w:ascii="仿宋_GB2312" w:hAnsi="仿宋_GB2312" w:cs="仿宋_GB2312" w:eastAsia="仿宋_GB2312"/>
              </w:rPr>
              <w:t xml:space="preserve"> （四）违约责任</w:t>
            </w:r>
            <w:r>
              <w:br/>
            </w:r>
            <w:r>
              <w:rPr>
                <w:rFonts w:ascii="仿宋_GB2312" w:hAnsi="仿宋_GB2312" w:cs="仿宋_GB2312" w:eastAsia="仿宋_GB2312"/>
              </w:rPr>
              <w:t xml:space="preserve"> 按照合同执行。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服务时间合同签订日起至2026年12月31日止。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符合国家及行业现行验收标准要求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服务经验收合格后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3.4其他要求 1、中标供应商在领取中标通知书前向代理机构提供纸质版磋商响应文件（磋商响应文件必须与在陕西省政府采购综合管理平台的项目电子化交易系统中递交的电子响应文件内容一致），磋商响应文件为正本一份，副本二份，电子U盘二个（U盘内容包括Word版本、签字盖章扫描后的PDF版本响应文件）。纸质响应文件均须A4纸打印，分别各自装订成册并编制目录和页码。 3、本项目所属行业为：其他未列明行业。 4、供应商的投标报价是供应商响应项目要求的全部工作内容的价格体现，包括但不限于供应商完成本项目的人工费、服务费、管理费、验收费、资料费、采购代理服务费、利润和税费；在提供服务的过程中的任何遗漏，均由成交供应商免费提供，采购人将不再支付任何费用。 5、如磋商文件中融资相关内容与新政策要求有出入，按照最新要求执行。 6、因本项目采购内容为服务，故不涉及采购产品认证证书等。故磋商文件中所要求有关采购产品认证证书以及产品品牌等描述及要求无需提供和响应。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响应磋商并参加磋商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供应商为自然人的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授权合法的人员参加磋商全过程，其中法定代表人/负责人直接磋商，须提交法定代表人/负责人身份证明书和身份证复印件。法定代表人/负责人授权代表参加磋商的，须出具法定代表人/负责人授权书及授权代表身份证复印件。磋商文件中凡是需要法定代表人盖章之处，非法人单位的负责人均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完整财务报告（包含审计报告和审计报告中所涉及的财务报表和报表附注），或提供截至磋商响应文件提交截止日一年内银行出具的资信证明，或提供财政部门认可的政府采购专业担保机构出具的磋商担保函，或供应商注册时间截至磋商响应文件提交截止日不足一年的，也可提供在工商管理部门备案的公司章程（以上四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1日至响应文件递交截止日已缴存的任意一个月的社会保障资金缴存单据或社保机构开具的社会保险参保缴费情况证明，应体现险种和缴纳所属日期。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1日至响应文件递交截止日已缴存的任意一个月的的纳税证明或完税证明（时间以税款所属日期为准），纳税证明或完税证明上应有代收机构或税务机关的公章，依法免税的单位应提供相关证明材料（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信用记录声明</w:t>
            </w:r>
          </w:p>
        </w:tc>
        <w:tc>
          <w:tcPr>
            <w:tcW w:type="dxa" w:w="3322"/>
          </w:tcPr>
          <w:p>
            <w:pPr>
              <w:pStyle w:val="null3"/>
            </w:pPr>
            <w:r>
              <w:rPr>
                <w:rFonts w:ascii="仿宋_GB2312" w:hAnsi="仿宋_GB2312" w:cs="仿宋_GB2312" w:eastAsia="仿宋_GB2312"/>
              </w:rPr>
              <w:t>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以代理机构现场查询结果为准）</w:t>
            </w:r>
          </w:p>
        </w:tc>
        <w:tc>
          <w:tcPr>
            <w:tcW w:type="dxa" w:w="1661"/>
          </w:tcPr>
          <w:p>
            <w:pPr>
              <w:pStyle w:val="null3"/>
            </w:pPr>
            <w:r>
              <w:rPr>
                <w:rFonts w:ascii="仿宋_GB2312" w:hAnsi="仿宋_GB2312" w:cs="仿宋_GB2312" w:eastAsia="仿宋_GB2312"/>
              </w:rPr>
              <w:t>特殊资格证明文件.docx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提供具有履行合同所必需的设备和专业技术能力的书面声明。供应商需在项目电子化交易系统中按要求上传相应证明文件并进行电子签章。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特殊资格证明文件.docx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4.磋商小组基于专业判断，认为供应商报价过低，有可能影响产品质量或者不能诚信履约的其他情形。 采购人可以结合具体项目实际情况，提高上述第1项至第3项中启动异常低价投标（响应）审查的数值标准，但是最高不得超过65%。 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采购人、采购代理机构应当为磋商小组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异常低价投标（响应）审查的启动原因、审查意见和审查结果应当在评审报告中记录，并随供应商提供的相关书面说明及证明材料，以及磋商小组有关互联网浏览、查询历史一并归档。 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磋商响应文件签字盖章要求</w:t>
            </w:r>
          </w:p>
        </w:tc>
        <w:tc>
          <w:tcPr>
            <w:tcW w:type="dxa" w:w="3322"/>
          </w:tcPr>
          <w:p>
            <w:pPr>
              <w:pStyle w:val="null3"/>
            </w:pPr>
            <w:r>
              <w:rPr>
                <w:rFonts w:ascii="仿宋_GB2312" w:hAnsi="仿宋_GB2312" w:cs="仿宋_GB2312" w:eastAsia="仿宋_GB2312"/>
              </w:rPr>
              <w:t>供应商应按磋商文件要求对磋商响应文件进行电子签章。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报价超过磋商文件中规定的最高限价的</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提交磋商响应文件的截止之日起不少于90天</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满足磋商文件中要求的服务期限</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对磋商响应文件响应程度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不存在法律、法规和磋商文件规定的其他无效投标情形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检查实施方案</w:t>
            </w:r>
          </w:p>
        </w:tc>
        <w:tc>
          <w:tcPr>
            <w:tcW w:type="dxa" w:w="2492"/>
          </w:tcPr>
          <w:p>
            <w:pPr>
              <w:pStyle w:val="null3"/>
            </w:pPr>
            <w:r>
              <w:rPr>
                <w:rFonts w:ascii="仿宋_GB2312" w:hAnsi="仿宋_GB2312" w:cs="仿宋_GB2312" w:eastAsia="仿宋_GB2312"/>
              </w:rPr>
              <w:t>"根据投标供应商对本项目的分析理解，及所在地区条件的认识，方案中包括但不限于： ① 方案完整性（方案完全覆盖存量复查、滚动核查、穿透式核查及包联督导四项任务）； ②进度保障（针对5920个底册项目和448个抽查项目制定了详细的月度/季度计划，且明确承诺在2026年12月31日前完成所有工作）； ③沟通汇报（ 建立了周报/月报制度及突发问题即时响应机制）； ④对本项目重难点分析以及解决方案。 方案分析理解各部分内容全面详细、阐述条理清晰详尽、符合本项目采购需求得20分；项目分析理解内容每缺一项扣5分，扣完为止；项目分析理解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需要补充的内容.docx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核查技术路线方案</w:t>
            </w:r>
          </w:p>
        </w:tc>
        <w:tc>
          <w:tcPr>
            <w:tcW w:type="dxa" w:w="2492"/>
          </w:tcPr>
          <w:p>
            <w:pPr>
              <w:pStyle w:val="null3"/>
            </w:pPr>
            <w:r>
              <w:rPr>
                <w:rFonts w:ascii="仿宋_GB2312" w:hAnsi="仿宋_GB2312" w:cs="仿宋_GB2312" w:eastAsia="仿宋_GB2312"/>
              </w:rPr>
              <w:t>"根据投标供应商对本项目的分析理解，及所在地区条件的认识，方案中包括但不限于： ①主要框架 ②存量与抽查处理（针对5920个底册项目提出高效的数据清洗与台账整理方案，且针对448个抽查项目承诺“全链条、全方位”审查）； ③穿透式核查深度（ 阐述“深挖虚假招标、围标串标”的具体手段（如文件雷同性分析、关联关系排查））； ④问题线索整理（提供标准化的问题线索归类模板及移交清单，且承诺附带初步研判意见）； 方案各部分内容全面详细、阐述条理清晰详尽、符合本项目采购需求得20分；方案内容每缺一项扣5分，扣完为止；方案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需要补充的内容.docx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成果报告质量</w:t>
            </w:r>
          </w:p>
        </w:tc>
        <w:tc>
          <w:tcPr>
            <w:tcW w:type="dxa" w:w="2492"/>
          </w:tcPr>
          <w:p>
            <w:pPr>
              <w:pStyle w:val="null3"/>
            </w:pPr>
            <w:r>
              <w:rPr>
                <w:rFonts w:ascii="仿宋_GB2312" w:hAnsi="仿宋_GB2312" w:cs="仿宋_GB2312" w:eastAsia="仿宋_GB2312"/>
              </w:rPr>
              <w:t>"根据投标供应商针对本项目提供的成果报告质量等内容进行评审，方案中包括但不限于： ①报告规范性（提交的核查报告包含数据分析、问题认定、整改建议三要素，且格式符合采购人指定要求）； ②档案管理（针对项目档案查阅、信息摘录建立了电子化归档系统，确保资料可追溯）。 方案各部分内容全面详细、阐述条理清晰详尽、符合本项目采购需求得10分；方案内容每缺一项扣5分，扣完为止；方案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需要补充的内容.docx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根据投标供应商提供的针对本项目的质量保证措施进行评审，方案中包括但不限于：①质量管理方案及制度；②质量保证措施及承诺；③质量校核流程；④处罚承诺。方案各部分内容全面详细、阐述条理清晰详尽、符合本项目采购需求得8分；方案内容每缺一项扣2分，扣完为止；方案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需要补充的内容.docx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投标人需结合项目的实际制定符合本项目的人员配备及管理方案，方案中包括但不限于：①人员配置；②人员管理制度；③项目人员职责；④项目人员经验。方案各部分内容全面详细、阐述条理清晰详尽、符合本项目采购需求得8分；方案内容每缺一项扣2分，扣完为止；方案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需要补充的内容.docx</w:t>
            </w:r>
          </w:p>
        </w:tc>
      </w:tr>
      <w:tr>
        <w:tc>
          <w:tcPr>
            <w:tcW w:type="dxa" w:w="831"/>
            <w:vMerge/>
          </w:tcPr>
          <w:p/>
        </w:tc>
        <w:tc>
          <w:tcPr>
            <w:tcW w:type="dxa" w:w="1661"/>
          </w:tcPr>
          <w:p>
            <w:pPr>
              <w:pStyle w:val="null3"/>
            </w:pPr>
            <w:r>
              <w:rPr>
                <w:rFonts w:ascii="仿宋_GB2312" w:hAnsi="仿宋_GB2312" w:cs="仿宋_GB2312" w:eastAsia="仿宋_GB2312"/>
              </w:rPr>
              <w:t>项目主要人员</w:t>
            </w:r>
          </w:p>
        </w:tc>
        <w:tc>
          <w:tcPr>
            <w:tcW w:type="dxa" w:w="2492"/>
          </w:tcPr>
          <w:p>
            <w:pPr>
              <w:pStyle w:val="null3"/>
            </w:pPr>
            <w:r>
              <w:rPr>
                <w:rFonts w:ascii="仿宋_GB2312" w:hAnsi="仿宋_GB2312" w:cs="仿宋_GB2312" w:eastAsia="仿宋_GB2312"/>
              </w:rPr>
              <w:t>（1）项目负责人具有正高级工程师职称，得2分；具有高级工程师职称，得1分；具有中级工程师职称，得0.5分；（需提供证书复印件及近3个月项目负责人社保缴纳证明）不提供不得分。 （2）项目团队中配备2名及以上省级在库专家（需提供入库证明），2名及以上具有中级职称专职人员，得3分；配备1名省级在库专家，2名及以上具有中级职称专职人员，得2分；未配备省级在库专家，但配备2名及以上具有中级职称专职人员，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需要补充的内容.docx</w:t>
            </w:r>
          </w:p>
        </w:tc>
      </w:tr>
      <w:tr>
        <w:tc>
          <w:tcPr>
            <w:tcW w:type="dxa" w:w="831"/>
            <w:vMerge/>
          </w:tcPr>
          <w:p/>
        </w:tc>
        <w:tc>
          <w:tcPr>
            <w:tcW w:type="dxa" w:w="1661"/>
          </w:tcPr>
          <w:p>
            <w:pPr>
              <w:pStyle w:val="null3"/>
            </w:pPr>
            <w:r>
              <w:rPr>
                <w:rFonts w:ascii="仿宋_GB2312" w:hAnsi="仿宋_GB2312" w:cs="仿宋_GB2312" w:eastAsia="仿宋_GB2312"/>
              </w:rPr>
              <w:t>供应商合理化建议及承诺</w:t>
            </w:r>
          </w:p>
        </w:tc>
        <w:tc>
          <w:tcPr>
            <w:tcW w:type="dxa" w:w="2492"/>
          </w:tcPr>
          <w:p>
            <w:pPr>
              <w:pStyle w:val="null3"/>
            </w:pPr>
            <w:r>
              <w:rPr>
                <w:rFonts w:ascii="仿宋_GB2312" w:hAnsi="仿宋_GB2312" w:cs="仿宋_GB2312" w:eastAsia="仿宋_GB2312"/>
              </w:rPr>
              <w:t>投标人需结合项目的实际制定符合本项目的供应商合理化建议及承诺，方案中包括但不限于：①编制工作中可能遇到的问题进行预计、识别并清晰地加以阐述和分析，提出合理化建议；②承诺成果能够通过各主管部门组织的技术审查和论证。方案各部分内容全面详细、阐述条理清晰详尽、符合本项目采购需求得5分；方案内容每缺一项扣2.5分，扣完为止；方案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需要补充的内容.docx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根据投标供应商的保密方案，包括但不限于：①保密承诺；②保密岗位责任。方案各部分内容全面详细、阐述条理清晰详尽、符合本项目采购需求得4分；方案内容每缺一项扣2分，扣完为止；方案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需要补充的内容.docx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"供应商具有2022年6月1日至今（以合同签订时间为准）的类似项目业绩。每提供一项得2.5分，满分10分。 注：响应文件中提供合同复印件加盖供应商公章。（需提供合同复印件，包含双方盖章、服务内容页）"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需要补充的内容.docx</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磋商价格最低的磋商报价为磋商基准价，其价格分为满分。其他供应商的价格分按照下列公式计算：磋商报价得分＝（磋商基准价/磋商报价）×10。小数点后保留2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详见附件：特殊资格证明文件.docx</w:t>
      </w:r>
    </w:p>
    <w:p>
      <w:pPr>
        <w:pStyle w:val="null3"/>
        <w:ind w:firstLine="960"/>
      </w:pPr>
      <w:r>
        <w:rPr>
          <w:rFonts w:ascii="仿宋_GB2312" w:hAnsi="仿宋_GB2312" w:cs="仿宋_GB2312" w:eastAsia="仿宋_GB2312"/>
        </w:rPr>
        <w:t>详见附件：需要补充的内容.docx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详见附件：核查服务合同.docx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