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版本号：KY2026-3-066.20260529001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激光器波长与相位噪声综合测试系统、动态分布式光纤传感解调仪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KY2026-3-066.</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激光器波长与相位噪声综合测试系统、动态分布式光纤传感解调仪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激光器波长与相位噪声综合测试系统、动态分布式光纤传感解调仪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激光器波长与相位噪声综合测试系统、动态分布式光纤传感解调仪，详见招标文件。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采购包1（激光器波长与相位噪声综合测试系统、动态分布式光纤传感解调仪）：属于专门面向中小企业采购。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8、中小企业声明函：提供中小企业声明函（本项目为专门面向中小微企业采购项目）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贾彤菲、王琦、戈迪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银行账号：86113010750181502001247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代理服务费收费标准：1、项目中标价小于50万元以内的委托代理项目，代理服务费定额3000元(人民币) 2、项目中标价大于50万元(含)小于1000万元的项目，服务费率收取为委托项目人民币成交价的0.69%。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联系人：贾彤菲、王琦、戈迪</w:t>
      </w:r>
    </w:p>
    <w:p>
      <w:pPr>
        <w:pStyle w:val="null3"/>
      </w:pPr>
      <w:r>
        <w:rPr>
          <w:rFonts w:ascii="仿宋_GB2312" w:hAnsi="仿宋_GB2312" w:cs="仿宋_GB2312" w:eastAsia="仿宋_GB2312"/>
        </w:rPr>
        <w:t>联系电话：029-81206622-833</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激光器波长与相位噪声综合测试系统、动态分布式光纤传感解调仪，详见招标文件。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1,540,000.00</w:t>
      </w:r>
    </w:p>
    <w:p>
      <w:pPr>
        <w:pStyle w:val="null3"/>
      </w:pPr>
      <w:r>
        <w:rPr>
          <w:rFonts w:ascii="仿宋_GB2312" w:hAnsi="仿宋_GB2312" w:cs="仿宋_GB2312" w:eastAsia="仿宋_GB2312"/>
        </w:rPr>
        <w:t>采购包最高限价（元）: 1,540,000.00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激光器波长与相位噪声综合测试系统动态分布式光纤传感解调仪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标的名称：激光器波长与相位噪声综合测试系统动态分布式光纤传感解调仪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激光器波长与相位噪声综合测试系统</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数量：</w:t>
            </w:r>
            <w:r>
              <w:rPr>
                <w:rFonts w:ascii="仿宋_GB2312" w:hAnsi="仿宋_GB2312" w:cs="仿宋_GB2312" w:eastAsia="仿宋_GB2312"/>
                <w:sz w:val="21"/>
                <w:b/>
                <w:color w:val="000000"/>
              </w:rPr>
              <w:t>1套</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最高限价：</w:t>
            </w:r>
            <w:r>
              <w:rPr>
                <w:rFonts w:ascii="仿宋_GB2312" w:hAnsi="仿宋_GB2312" w:cs="仿宋_GB2312" w:eastAsia="仿宋_GB2312"/>
                <w:sz w:val="21"/>
                <w:b/>
                <w:color w:val="000000"/>
              </w:rPr>
              <w:t>480000元</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0"/>
                <w:color w:val="000000"/>
              </w:rPr>
              <w:t>▲1.波长范围：600nm~1700nm;</w:t>
            </w:r>
          </w:p>
          <w:p>
            <w:pPr>
              <w:pStyle w:val="null3"/>
              <w:jc w:val="left"/>
            </w:pPr>
            <w:r>
              <w:rPr>
                <w:rFonts w:ascii="仿宋_GB2312" w:hAnsi="仿宋_GB2312" w:cs="仿宋_GB2312" w:eastAsia="仿宋_GB2312"/>
                <w:sz w:val="20"/>
                <w:color w:val="000000"/>
              </w:rPr>
              <w:t>2.输入功率：2μW~40μW;</w:t>
            </w:r>
          </w:p>
          <w:p>
            <w:pPr>
              <w:pStyle w:val="null3"/>
              <w:jc w:val="left"/>
            </w:pPr>
            <w:r>
              <w:rPr>
                <w:rFonts w:ascii="仿宋_GB2312" w:hAnsi="仿宋_GB2312" w:cs="仿宋_GB2312" w:eastAsia="仿宋_GB2312"/>
                <w:sz w:val="20"/>
                <w:color w:val="000000"/>
              </w:rPr>
              <w:t>3.输入带宽：≥10GHz;</w:t>
            </w:r>
          </w:p>
          <w:p>
            <w:pPr>
              <w:pStyle w:val="null3"/>
              <w:jc w:val="left"/>
            </w:pPr>
            <w:r>
              <w:rPr>
                <w:rFonts w:ascii="仿宋_GB2312" w:hAnsi="仿宋_GB2312" w:cs="仿宋_GB2312" w:eastAsia="仿宋_GB2312"/>
                <w:sz w:val="20"/>
                <w:color w:val="000000"/>
              </w:rPr>
              <w:t>▲4.波长测量精度：</w:t>
            </w:r>
          </w:p>
          <w:p>
            <w:pPr>
              <w:pStyle w:val="null3"/>
              <w:jc w:val="left"/>
            </w:pPr>
            <w:r>
              <w:rPr>
                <w:rFonts w:ascii="仿宋_GB2312" w:hAnsi="仿宋_GB2312" w:cs="仿宋_GB2312" w:eastAsia="仿宋_GB2312"/>
                <w:sz w:val="20"/>
                <w:color w:val="000000"/>
              </w:rPr>
              <w:t>≤0.3ppm(0.45pm@1500nm,60MHz@200THz);</w:t>
            </w:r>
          </w:p>
          <w:p>
            <w:pPr>
              <w:pStyle w:val="null3"/>
              <w:jc w:val="left"/>
            </w:pPr>
            <w:r>
              <w:rPr>
                <w:rFonts w:ascii="仿宋_GB2312" w:hAnsi="仿宋_GB2312" w:cs="仿宋_GB2312" w:eastAsia="仿宋_GB2312"/>
                <w:sz w:val="20"/>
                <w:color w:val="000000"/>
              </w:rPr>
              <w:t>5.功率测量精度：±1dB;</w:t>
            </w:r>
          </w:p>
          <w:p>
            <w:pPr>
              <w:pStyle w:val="null3"/>
              <w:jc w:val="left"/>
            </w:pPr>
            <w:r>
              <w:rPr>
                <w:rFonts w:ascii="仿宋_GB2312" w:hAnsi="仿宋_GB2312" w:cs="仿宋_GB2312" w:eastAsia="仿宋_GB2312"/>
                <w:sz w:val="20"/>
                <w:color w:val="000000"/>
              </w:rPr>
              <w:t>6.相干长度测量范围：＜10mm/＜1mm;</w:t>
            </w:r>
          </w:p>
          <w:p>
            <w:pPr>
              <w:pStyle w:val="null3"/>
              <w:jc w:val="left"/>
            </w:pPr>
            <w:r>
              <w:rPr>
                <w:rFonts w:ascii="仿宋_GB2312" w:hAnsi="仿宋_GB2312" w:cs="仿宋_GB2312" w:eastAsia="仿宋_GB2312"/>
                <w:sz w:val="20"/>
                <w:color w:val="000000"/>
              </w:rPr>
              <w:t>7.噪声波长范围：1510nm~1590nm;</w:t>
            </w:r>
          </w:p>
          <w:p>
            <w:pPr>
              <w:pStyle w:val="null3"/>
              <w:jc w:val="left"/>
            </w:pPr>
            <w:r>
              <w:rPr>
                <w:rFonts w:ascii="仿宋_GB2312" w:hAnsi="仿宋_GB2312" w:cs="仿宋_GB2312" w:eastAsia="仿宋_GB2312"/>
                <w:sz w:val="20"/>
                <w:color w:val="000000"/>
              </w:rPr>
              <w:t>8.输入光功率：0~20dBm;</w:t>
            </w:r>
          </w:p>
          <w:p>
            <w:pPr>
              <w:pStyle w:val="null3"/>
              <w:jc w:val="left"/>
            </w:pPr>
            <w:r>
              <w:rPr>
                <w:rFonts w:ascii="仿宋_GB2312" w:hAnsi="仿宋_GB2312" w:cs="仿宋_GB2312" w:eastAsia="仿宋_GB2312"/>
                <w:sz w:val="20"/>
                <w:color w:val="000000"/>
              </w:rPr>
              <w:t>9.频率/相位噪声测量带宽：1Hz~10MHz;</w:t>
            </w:r>
          </w:p>
          <w:p>
            <w:pPr>
              <w:pStyle w:val="null3"/>
              <w:jc w:val="left"/>
            </w:pPr>
            <w:r>
              <w:rPr>
                <w:rFonts w:ascii="仿宋_GB2312" w:hAnsi="仿宋_GB2312" w:cs="仿宋_GB2312" w:eastAsia="仿宋_GB2312"/>
                <w:sz w:val="20"/>
                <w:color w:val="000000"/>
              </w:rPr>
              <w:t>▲10.频率分辨率：0.1Hz~100KHz;</w:t>
            </w:r>
          </w:p>
          <w:p>
            <w:pPr>
              <w:pStyle w:val="null3"/>
              <w:jc w:val="left"/>
            </w:pPr>
            <w:r>
              <w:rPr>
                <w:rFonts w:ascii="仿宋_GB2312" w:hAnsi="仿宋_GB2312" w:cs="仿宋_GB2312" w:eastAsia="仿宋_GB2312"/>
                <w:sz w:val="20"/>
                <w:color w:val="000000"/>
              </w:rPr>
              <w:t>▲11.洛伦兹线宽灵敏度：＜1Hz(＜1us);</w:t>
            </w:r>
          </w:p>
          <w:p>
            <w:pPr>
              <w:pStyle w:val="null3"/>
            </w:pPr>
            <w:r>
              <w:rPr>
                <w:rFonts w:ascii="仿宋_GB2312" w:hAnsi="仿宋_GB2312" w:cs="仿宋_GB2312" w:eastAsia="仿宋_GB2312"/>
                <w:sz w:val="20"/>
              </w:rPr>
              <w:t>12.积分时间：1ms~1s,积分线宽测试范围10Hz~10MHz。</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b/>
                <w:color w:val="000000"/>
              </w:rPr>
              <w:t>动态分布式光纤传感解调仪</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核心产品</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数量：</w:t>
            </w:r>
            <w:r>
              <w:rPr>
                <w:rFonts w:ascii="仿宋_GB2312" w:hAnsi="仿宋_GB2312" w:cs="仿宋_GB2312" w:eastAsia="仿宋_GB2312"/>
                <w:sz w:val="21"/>
                <w:b/>
                <w:color w:val="000000"/>
              </w:rPr>
              <w:t>1套</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最高限价：</w:t>
            </w:r>
            <w:r>
              <w:rPr>
                <w:rFonts w:ascii="仿宋_GB2312" w:hAnsi="仿宋_GB2312" w:cs="仿宋_GB2312" w:eastAsia="仿宋_GB2312"/>
                <w:sz w:val="21"/>
                <w:b/>
                <w:color w:val="000000"/>
              </w:rPr>
              <w:t>1060000元</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0"/>
                <w:color w:val="000000"/>
              </w:rPr>
              <w:t>▲1.传感空间分辨率：≤0.64mm;</w:t>
            </w:r>
          </w:p>
          <w:p>
            <w:pPr>
              <w:pStyle w:val="null3"/>
              <w:jc w:val="left"/>
            </w:pPr>
            <w:r>
              <w:rPr>
                <w:rFonts w:ascii="仿宋_GB2312" w:hAnsi="仿宋_GB2312" w:cs="仿宋_GB2312" w:eastAsia="仿宋_GB2312"/>
                <w:sz w:val="20"/>
                <w:color w:val="000000"/>
              </w:rPr>
              <w:t>2.传感空间分辨率可调范围：0.64mm~10.24mm范围内不低于五个选项；</w:t>
            </w:r>
          </w:p>
          <w:p>
            <w:pPr>
              <w:pStyle w:val="null3"/>
              <w:jc w:val="left"/>
            </w:pPr>
            <w:r>
              <w:rPr>
                <w:rFonts w:ascii="仿宋_GB2312" w:hAnsi="仿宋_GB2312" w:cs="仿宋_GB2312" w:eastAsia="仿宋_GB2312"/>
                <w:sz w:val="20"/>
                <w:color w:val="000000"/>
              </w:rPr>
              <w:t>3.传感器标距：0.64mm~10.24mm至少有两个档位可切换；</w:t>
            </w:r>
          </w:p>
          <w:p>
            <w:pPr>
              <w:pStyle w:val="null3"/>
              <w:jc w:val="left"/>
            </w:pPr>
            <w:r>
              <w:rPr>
                <w:rFonts w:ascii="仿宋_GB2312" w:hAnsi="仿宋_GB2312" w:cs="仿宋_GB2312" w:eastAsia="仿宋_GB2312"/>
                <w:sz w:val="20"/>
                <w:color w:val="000000"/>
              </w:rPr>
              <w:t>4.光学通道数：≥4;</w:t>
            </w:r>
          </w:p>
          <w:p>
            <w:pPr>
              <w:pStyle w:val="null3"/>
              <w:jc w:val="left"/>
            </w:pPr>
            <w:r>
              <w:rPr>
                <w:rFonts w:ascii="仿宋_GB2312" w:hAnsi="仿宋_GB2312" w:cs="仿宋_GB2312" w:eastAsia="仿宋_GB2312"/>
                <w:sz w:val="20"/>
                <w:color w:val="000000"/>
              </w:rPr>
              <w:t>5.应变测量范围：≥±12000με;</w:t>
            </w:r>
          </w:p>
          <w:p>
            <w:pPr>
              <w:pStyle w:val="null3"/>
              <w:jc w:val="left"/>
            </w:pPr>
            <w:r>
              <w:rPr>
                <w:rFonts w:ascii="仿宋_GB2312" w:hAnsi="仿宋_GB2312" w:cs="仿宋_GB2312" w:eastAsia="仿宋_GB2312"/>
                <w:sz w:val="20"/>
                <w:color w:val="000000"/>
              </w:rPr>
              <w:t>▲6.采样率：≥100Hz(@20m);</w:t>
            </w:r>
          </w:p>
          <w:p>
            <w:pPr>
              <w:pStyle w:val="null3"/>
              <w:jc w:val="left"/>
            </w:pPr>
            <w:r>
              <w:rPr>
                <w:rFonts w:ascii="仿宋_GB2312" w:hAnsi="仿宋_GB2312" w:cs="仿宋_GB2312" w:eastAsia="仿宋_GB2312"/>
                <w:sz w:val="20"/>
                <w:color w:val="000000"/>
              </w:rPr>
              <w:t>7.应变重复精度：≤±4με;</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.引纤长度：≥20m;每通道传感长度：≥40m;</w:t>
            </w:r>
          </w:p>
          <w:p>
            <w:pPr>
              <w:pStyle w:val="null3"/>
              <w:jc w:val="left"/>
            </w:pPr>
            <w:r>
              <w:rPr>
                <w:rFonts w:ascii="仿宋_GB2312" w:hAnsi="仿宋_GB2312" w:cs="仿宋_GB2312" w:eastAsia="仿宋_GB2312"/>
                <w:sz w:val="20"/>
                <w:color w:val="000000"/>
              </w:rPr>
              <w:t>9</w:t>
            </w:r>
            <w:r>
              <w:rPr>
                <w:rFonts w:ascii="仿宋_GB2312" w:hAnsi="仿宋_GB2312" w:cs="仿宋_GB2312" w:eastAsia="仿宋_GB2312"/>
                <w:sz w:val="20"/>
                <w:color w:val="000000"/>
              </w:rPr>
              <w:t>.光纤传感器兼容性：无需额外软件或特种光纤，可以兼容各种单模光纤类型瑞利散射增强型光纤及高密度弱反射光纤光栅阵列；</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.形状传感功能：具备二维形状传感功能，获得结构空间位置和空间姿态；</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.光纤传感器：≥4，连接器：FC/APC;</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.提供第三方CMA/CNAS标识的测试报告；</w:t>
            </w:r>
          </w:p>
          <w:p>
            <w:pPr>
              <w:pStyle w:val="null3"/>
              <w:jc w:val="left"/>
            </w:pPr>
            <w:r>
              <w:rPr>
                <w:rFonts w:ascii="仿宋_GB2312" w:hAnsi="仿宋_GB2312" w:cs="仿宋_GB2312" w:eastAsia="仿宋_GB2312"/>
                <w:sz w:val="20"/>
                <w:color w:val="000000"/>
              </w:rPr>
              <w:t>(二)软件技术要求：</w:t>
            </w:r>
          </w:p>
          <w:p>
            <w:pPr>
              <w:pStyle w:val="null3"/>
              <w:jc w:val="left"/>
            </w:pPr>
            <w:r>
              <w:rPr>
                <w:rFonts w:ascii="仿宋_GB2312" w:hAnsi="仿宋_GB2312" w:cs="仿宋_GB2312" w:eastAsia="仿宋_GB2312"/>
                <w:sz w:val="20"/>
                <w:color w:val="000000"/>
              </w:rPr>
              <w:t>配备专门的软件，用于测试和高级数据分析。</w:t>
            </w:r>
          </w:p>
          <w:p>
            <w:pPr>
              <w:pStyle w:val="null3"/>
              <w:jc w:val="left"/>
            </w:pPr>
            <w:r>
              <w:rPr>
                <w:rFonts w:ascii="仿宋_GB2312" w:hAnsi="仿宋_GB2312" w:cs="仿宋_GB2312" w:eastAsia="仿宋_GB2312"/>
                <w:sz w:val="20"/>
                <w:color w:val="000000"/>
              </w:rPr>
              <w:t>1.软件界面人性化，能显示多条曲线，且能对曲线任意位置进行拖动缩放，方便观测数据；</w:t>
            </w:r>
          </w:p>
          <w:p>
            <w:pPr>
              <w:pStyle w:val="null3"/>
              <w:jc w:val="left"/>
            </w:pPr>
            <w:r>
              <w:rPr>
                <w:rFonts w:ascii="仿宋_GB2312" w:hAnsi="仿宋_GB2312" w:cs="仿宋_GB2312" w:eastAsia="仿宋_GB2312"/>
                <w:sz w:val="20"/>
                <w:color w:val="000000"/>
              </w:rPr>
              <w:t>2.软件具备：实时采集、实时保存、测试曲线直观显示分析，可选择传感光纤段和配制扫描参数，具备修改光纤传感系数的功能。</w:t>
            </w:r>
          </w:p>
          <w:p>
            <w:pPr>
              <w:pStyle w:val="null3"/>
            </w:pPr>
            <w:r>
              <w:rPr>
                <w:rFonts w:ascii="仿宋_GB2312" w:hAnsi="仿宋_GB2312" w:cs="仿宋_GB2312" w:eastAsia="仿宋_GB2312"/>
                <w:sz w:val="20"/>
              </w:rPr>
              <w:t>▲3.系统具有雷电数据接口，软硬件需支持网口程控，提供网口程控指令代码，能进行数据传输，能后续二次开发或系统集成（提供承诺</w:t>
            </w:r>
            <w:r>
              <w:rPr>
                <w:rFonts w:ascii="仿宋_GB2312" w:hAnsi="仿宋_GB2312" w:cs="仿宋_GB2312" w:eastAsia="仿宋_GB2312"/>
                <w:sz w:val="20"/>
              </w:rPr>
              <w:t>函</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合同签订后3个月内交货安装验收完毕。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西安工业大学未央校区(采购人指定地点)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其他，设备安装调试经采购人验收合格后，达到付款条件起10个工作日内，支付合同总金额的100.0%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设备的验收流程包括:到货验收、安装调试、试运行、最终验收。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人，并记录处理意见。安装调试:在确认设备符合要求后，由中标人进行设备的安装和调试，确保设备能够正常运行。试运行:设备安装调试完成后，通常会进入试运行期。本项目运行期为1周，试运行期间，如果出现质量问题，中标人需负责修复或更换货物。试运行结束后，由采购人组织正式验收。最终验收:在试运行无问题后，由采购人和中标人共同完成最终验收。验收小组对设备的性能、稳定性进行全面测试和评估，根据测试结果决定是否接受该设备，并签署验收报告。最终验收合格后，办理移交手续，并依据合同条款进行付款申报。2.培训要求:到货后一个月内，至少包含一名原厂技术工程师现场指导，培训时长不低于4小时。中标人须负责开展培训服务，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验收合格后3年;质保期满后，中标(成交)供应商仍需提供专业维修服务。质保期内免费提供正常使用的易损件和备件;软件系统提供终身免费升级服务。设备经过双方检验认可后，签署验收报告，产品保修期自验收合格之日起计算，由中标(成交)供应商提供产品保修文件。质保期内所有维修服务均由中标(成交)供应商免费上门取、送、修。安装调试1个月内，如有质量问题，设备整机无条件退换货并提供备件以保证教学正常开展。在保修期内，任何质量问题，中标(成交)供应商负责免费维修。质保期过后需换件时，原则上应提供原装器件，并按成本价收费。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1、本项目需要落实的政府采购政策: （1）《政府采购促进中小企业发展管理办法》的通知--财库〔2020〕46号（2）财政部司法部关于政府采购支持监狱企业发展有关问题的通知--财库[2014]68号 （3）《财政部 发展改革委 生态环境部 市场监管总局关于调整优化节能产品 环境标志产品政府采购执行机制的通知》（财库〔2019〕9号）（4）《关于促进残疾人就业政府采购政策的通知》（财库[2017]141号）（5）《陕西省财政厅关于加快推进我省中小企业政府采购信用融资工作的通知》（陕财办采〔2020〕15 号）（6）《陕西省中小企业政府采购信用融资办法》陕财办采〔2018〕23号（7）《关于运用政府采购政策支持乡村产业振兴的通知》（财库〔2021〕19 号）（8）《关于进一步加大政府采购支持中小企业力度的通知》（财库〔2022〕19号）（9）《陕西省财政厅关于进一步落实政府采购支持中小企业相关政策的通知》（陕财办采〔2023〕3号）（10）《国务院办公厅关于在政府采购中实施本国产品标准及相关政策的通知》（国办发〔2025〕34号）（11）《关于推动解决政府采购异常低价问题的通知》（财库〔2026〕2号）（12）若享受以上政策优惠的企业，提供相应声明函或品目范围内产品有效认证证书。如有最新颁布的政府采购政策，按最新的文件执行。（13）本项目为专门面向中、小、微型企业采购项目。 2、保证金的退还：保证金的退还：自中标通知书发出之日起5个工作日内退还未中标人的投标保证金,自采购合同签订之日起5个工作日内退还中标人的投标保证金。合同签订后，中标人需将合同扫描件发送至指定联系人邮箱，邮箱地址为1347072385@qq.com，并以邮件接收时间为退付的基准时间。3、因文件关于合同签订时间无法修改，特在此处说明，中标人应当在中标通知书发出之日起25日内与采购人签订政府采购合同。4、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5、中标人需要提交与电子化交易系统中一致的纸质版投标文件正本壹份打印并胶装（可顺丰邮寄），邮寄地址：西安市雁展路1111号莱安中心T6-15层，联系人：贾彤菲，联系电话：029-81206622/81206633-833。6、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提供中小企业声明函（本项目为专门面向中小微企业采购项目）</w:t>
            </w:r>
          </w:p>
        </w:tc>
        <w:tc>
          <w:tcPr>
            <w:tcW w:type="dxa" w:w="1661"/>
          </w:tcPr>
          <w:p>
            <w:pPr>
              <w:pStyle w:val="null3"/>
            </w:pPr>
            <w:r>
              <w:rPr>
                <w:rFonts w:ascii="仿宋_GB2312" w:hAnsi="仿宋_GB2312" w:cs="仿宋_GB2312" w:eastAsia="仿宋_GB2312"/>
              </w:rPr>
              <w:t>投标人资格条件证明文件.docx 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投标人资格条件证明文件.docx 分项报价表.docx 标的清单 投标文件封面 其他说明.docx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投标人资格条件证明文件.docx 产品技术参数表 分项报价表.docx 投标函 商务应答表 标的清单 投标文件封面 其他说明.docx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中标“▲”号参数为重要参数，负偏离一项扣2分；非“▲”号参数，负偏离一项扣1分，扣完为止。注：提供“▲”号参数的相应的证明材料（不限于产品彩页、测试报告、官网和功能截图等技术支持性文件资料），经评审专家审定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1详细评审--技术参数.docx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①项目总体生产实施方案、②供货组织安排、③进度安排、④质量保证及实施重点难点分析。评审标准：方案各部分内容全面详细、阐述条例清晰详尽、符合本项目采购需求，能保障本项目实施得8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投标人提供针对本项目的①安装调试、②验收方案，评审标准：方案各部分内容全面详细、阐述条例清晰详尽、符合本项目采购需求，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3详细评审--验收方案.docx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核心产品合法来源渠道证明文件（不限于销售协议、代理协议、原厂授权等），确保生产供应的产品为全新产品,无假货、水货、翻新货且无产权纠纷。提供齐全计2分，提供不全的计1.0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提供投标人2023年1月1日至今同类项目合同（以合同签订日期为准），每提供1个得1分，最高得5分。备注：响应文件中提供合同复印件（包含关键页，双方盖章页）。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5详细评审--业绩.docx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根据采购人实际情况提供相适应售后服务方案包括但不限于：①售后服务内容及承诺；②故障处理方案及响应时间；③应急方案；④定期巡检维护方案等; 满分8分。每有一项缺项扣2分；每有一处内容存在缺陷，扣1分，扣完为止。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提供的培训方案及培训效果保证措施等进行综合评分，培训教员具有丰富的经验和应用经验，制定培训课程计划表，列出每种培训的内容、方式、次数等，培训内容应包括：①提供产品的原理和技术性能、②操作维护方法、安装调试③排除故障等各个方面。各部分内容全面详细、阐述条例清晰详尽、符合本项目采购需求，得6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7详细评审--培训方案.docx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详见附件：3详细评审--验收方案.docx</w:t>
      </w:r>
    </w:p>
    <w:p>
      <w:pPr>
        <w:pStyle w:val="null3"/>
        <w:ind w:firstLine="960"/>
      </w:pPr>
      <w:r>
        <w:rPr>
          <w:rFonts w:ascii="仿宋_GB2312" w:hAnsi="仿宋_GB2312" w:cs="仿宋_GB2312" w:eastAsia="仿宋_GB2312"/>
        </w:rPr>
        <w:t>详见附件：4详细评审--供货渠道证明.docx</w:t>
      </w:r>
    </w:p>
    <w:p>
      <w:pPr>
        <w:pStyle w:val="null3"/>
        <w:ind w:firstLine="960"/>
      </w:pPr>
      <w:r>
        <w:rPr>
          <w:rFonts w:ascii="仿宋_GB2312" w:hAnsi="仿宋_GB2312" w:cs="仿宋_GB2312" w:eastAsia="仿宋_GB2312"/>
        </w:rPr>
        <w:t>详见附件：5详细评审--业绩.docx</w:t>
      </w:r>
    </w:p>
    <w:p>
      <w:pPr>
        <w:pStyle w:val="null3"/>
        <w:ind w:firstLine="960"/>
      </w:pPr>
      <w:r>
        <w:rPr>
          <w:rFonts w:ascii="仿宋_GB2312" w:hAnsi="仿宋_GB2312" w:cs="仿宋_GB2312" w:eastAsia="仿宋_GB2312"/>
        </w:rPr>
        <w:t>详见附件：6详细评审--售后服务方案.docx</w:t>
      </w:r>
    </w:p>
    <w:p>
      <w:pPr>
        <w:pStyle w:val="null3"/>
        <w:ind w:firstLine="960"/>
      </w:pPr>
      <w:r>
        <w:rPr>
          <w:rFonts w:ascii="仿宋_GB2312" w:hAnsi="仿宋_GB2312" w:cs="仿宋_GB2312" w:eastAsia="仿宋_GB2312"/>
        </w:rPr>
        <w:t>详见附件：7详细评审--培训方案.docx</w:t>
      </w:r>
    </w:p>
    <w:p>
      <w:pPr>
        <w:pStyle w:val="null3"/>
        <w:ind w:firstLine="960"/>
      </w:pPr>
      <w:r>
        <w:rPr>
          <w:rFonts w:ascii="仿宋_GB2312" w:hAnsi="仿宋_GB2312" w:cs="仿宋_GB2312" w:eastAsia="仿宋_GB2312"/>
        </w:rPr>
        <w:t>详见附件：8详细评审--节能环保.docx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