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37468">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eastAsia="宋体" w:cs="宋体"/>
          <w:b/>
          <w:color w:val="auto"/>
          <w:kern w:val="44"/>
          <w:sz w:val="44"/>
          <w:szCs w:val="44"/>
          <w:highlight w:val="none"/>
          <w:lang w:val="en-US" w:eastAsia="zh-CN" w:bidi="ar-SA"/>
        </w:rPr>
        <w:t>拟签订的合同条款</w:t>
      </w:r>
    </w:p>
    <w:p w14:paraId="24BAEE8B">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cs="宋体"/>
          <w:bCs/>
          <w:color w:val="auto"/>
          <w:sz w:val="24"/>
          <w:lang w:eastAsia="zh-CN"/>
        </w:rPr>
        <w:t>（</w:t>
      </w:r>
      <w:r>
        <w:rPr>
          <w:rFonts w:hint="eastAsia" w:ascii="宋体" w:hAnsi="宋体" w:cs="宋体"/>
          <w:bCs/>
          <w:color w:val="auto"/>
          <w:sz w:val="24"/>
        </w:rPr>
        <w:t>合同模板仅供参考，具体以实际签订合同为准</w:t>
      </w:r>
      <w:r>
        <w:rPr>
          <w:rFonts w:hint="eastAsia" w:ascii="宋体" w:hAnsi="宋体" w:cs="宋体"/>
          <w:bCs/>
          <w:color w:val="auto"/>
          <w:sz w:val="24"/>
          <w:lang w:eastAsia="zh-CN"/>
        </w:rPr>
        <w:t>）</w:t>
      </w:r>
    </w:p>
    <w:p w14:paraId="6281E61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甲方：</w:t>
      </w:r>
    </w:p>
    <w:p w14:paraId="44FF591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乙方：</w:t>
      </w:r>
    </w:p>
    <w:p w14:paraId="3924EE7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u w:val="single"/>
          <w:lang w:val="en-US" w:eastAsia="zh-CN"/>
        </w:rPr>
        <w:t>（项目名称：   ）</w:t>
      </w:r>
      <w:r>
        <w:rPr>
          <w:rFonts w:hint="eastAsia" w:ascii="宋体" w:hAnsi="宋体" w:cs="宋体"/>
          <w:bCs/>
          <w:color w:val="auto"/>
          <w:sz w:val="24"/>
          <w:u w:val="single"/>
        </w:rPr>
        <w:t xml:space="preserve"> (项目编号</w:t>
      </w:r>
      <w:r>
        <w:rPr>
          <w:rFonts w:hint="eastAsia" w:ascii="宋体" w:hAnsi="宋体" w:cs="宋体"/>
          <w:bCs/>
          <w:color w:val="auto"/>
          <w:sz w:val="24"/>
          <w:u w:val="single"/>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w:t>
      </w:r>
      <w:r>
        <w:rPr>
          <w:rFonts w:hint="eastAsia" w:ascii="宋体" w:hAnsi="宋体" w:cs="宋体"/>
          <w:bCs/>
          <w:color w:val="auto"/>
          <w:sz w:val="24"/>
        </w:rPr>
        <w:t>由</w:t>
      </w:r>
      <w:r>
        <w:rPr>
          <w:rFonts w:hint="eastAsia" w:ascii="宋体" w:hAnsi="宋体" w:cs="宋体"/>
          <w:bCs/>
          <w:color w:val="auto"/>
          <w:sz w:val="24"/>
          <w:lang w:eastAsia="zh-CN"/>
        </w:rPr>
        <w:t>陕西中诚天和项目管理有限公司</w:t>
      </w:r>
      <w:r>
        <w:rPr>
          <w:rFonts w:hint="eastAsia" w:ascii="宋体" w:hAnsi="宋体" w:cs="宋体"/>
          <w:bCs/>
          <w:color w:val="auto"/>
          <w:sz w:val="24"/>
        </w:rPr>
        <w:t>组织</w:t>
      </w:r>
      <w:r>
        <w:rPr>
          <w:rFonts w:hint="eastAsia" w:ascii="宋体" w:hAnsi="宋体" w:cs="宋体"/>
          <w:bCs/>
          <w:color w:val="auto"/>
          <w:sz w:val="24"/>
          <w:lang w:eastAsia="zh-CN"/>
        </w:rPr>
        <w:t>竞争性谈判</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(以下简称“甲方”)确定</w:t>
      </w:r>
      <w:r>
        <w:rPr>
          <w:rFonts w:hint="eastAsia" w:ascii="宋体" w:hAnsi="宋体" w:cs="宋体"/>
          <w:bCs/>
          <w:color w:val="auto"/>
          <w:sz w:val="24"/>
          <w:u w:val="single"/>
        </w:rPr>
        <w:t xml:space="preserve">        </w:t>
      </w:r>
      <w:r>
        <w:rPr>
          <w:rFonts w:hint="eastAsia" w:ascii="宋体" w:hAnsi="宋体" w:cs="宋体"/>
          <w:bCs/>
          <w:color w:val="auto"/>
          <w:sz w:val="24"/>
        </w:rPr>
        <w:t>（以下简称“乙方”）为的</w:t>
      </w:r>
      <w:r>
        <w:rPr>
          <w:rFonts w:hint="eastAsia" w:ascii="宋体" w:hAnsi="宋体" w:cs="宋体"/>
          <w:bCs/>
          <w:color w:val="auto"/>
          <w:sz w:val="24"/>
          <w:lang w:eastAsia="zh-CN"/>
        </w:rPr>
        <w:t>成交供应商</w:t>
      </w:r>
      <w:r>
        <w:rPr>
          <w:rFonts w:hint="eastAsia" w:ascii="宋体" w:hAnsi="宋体" w:cs="宋体"/>
          <w:bCs/>
          <w:color w:val="auto"/>
          <w:sz w:val="24"/>
        </w:rPr>
        <w:t>。</w:t>
      </w:r>
    </w:p>
    <w:p w14:paraId="55F407D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依据《中华人民共和国民法典》和《中华人民共和国政府采购法》</w:t>
      </w:r>
      <w:r>
        <w:rPr>
          <w:rFonts w:hint="eastAsia" w:ascii="宋体" w:hAnsi="宋体" w:cs="宋体"/>
          <w:bCs/>
          <w:color w:val="auto"/>
          <w:sz w:val="24"/>
          <w:lang w:val="en-US" w:eastAsia="zh-CN"/>
        </w:rPr>
        <w:t>等相关法律法规</w:t>
      </w:r>
      <w:r>
        <w:rPr>
          <w:rFonts w:hint="eastAsia" w:ascii="宋体" w:hAnsi="宋体" w:cs="宋体"/>
          <w:bCs/>
          <w:color w:val="auto"/>
          <w:sz w:val="24"/>
        </w:rPr>
        <w:t>，经双方协商按下述条款和条件签署本合同。</w:t>
      </w:r>
    </w:p>
    <w:p w14:paraId="4A39F5F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一、合同价款</w:t>
      </w:r>
    </w:p>
    <w:p w14:paraId="7D581CF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（一）合同总价款为人民币（大写）</w:t>
      </w:r>
      <w:r>
        <w:rPr>
          <w:rFonts w:hint="eastAsia" w:ascii="宋体" w:hAnsi="宋体" w:cs="宋体"/>
          <w:bCs/>
          <w:color w:val="auto"/>
          <w:sz w:val="24"/>
          <w:u w:val="single"/>
        </w:rPr>
        <w:t xml:space="preserve">        </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14:paraId="1387D93F">
      <w:pPr>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（二）合同总价包括：</w:t>
      </w:r>
      <w:r>
        <w:rPr>
          <w:rFonts w:hint="eastAsia" w:ascii="宋体" w:hAnsi="宋体" w:cs="宋体"/>
          <w:color w:val="auto"/>
          <w:sz w:val="24"/>
        </w:rPr>
        <w:t>包括但不限于产品(设备)费</w:t>
      </w:r>
      <w:r>
        <w:rPr>
          <w:rFonts w:hint="eastAsia" w:ascii="宋体" w:hAnsi="宋体" w:cs="宋体"/>
          <w:color w:val="auto"/>
          <w:sz w:val="24"/>
          <w:lang w:val="en-US" w:eastAsia="zh-CN"/>
        </w:rPr>
        <w:t>、</w:t>
      </w:r>
      <w:r>
        <w:rPr>
          <w:rFonts w:hint="eastAsia" w:ascii="宋体" w:hAnsi="宋体" w:cs="宋体"/>
          <w:color w:val="auto"/>
          <w:sz w:val="24"/>
        </w:rPr>
        <w:t>材料、安装调试费、运杂费（含保险）、项目实施费、仓储保管费、技术培训费、检测费、劳务、风险、利润、规费、税金、验收、招标代理服务费、政策性文件规定的各项应有费用等其他一切相关费用。</w:t>
      </w:r>
    </w:p>
    <w:p w14:paraId="405810B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（三）合同总价一次性包死，不受市场价格变化因素的影响。</w:t>
      </w:r>
    </w:p>
    <w:p w14:paraId="761245F6">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二、产品清单</w:t>
      </w:r>
      <w:r>
        <w:rPr>
          <w:rFonts w:hint="eastAsia" w:ascii="宋体" w:hAnsi="宋体" w:cs="宋体"/>
          <w:bCs/>
          <w:color w:val="auto"/>
          <w:sz w:val="24"/>
        </w:rPr>
        <w:t>（附后）</w:t>
      </w:r>
    </w:p>
    <w:p w14:paraId="165EE1AC">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三、交货地点及交货</w:t>
      </w:r>
      <w:r>
        <w:rPr>
          <w:rFonts w:hint="eastAsia" w:ascii="宋体" w:hAnsi="宋体" w:cs="宋体"/>
          <w:b/>
          <w:bCs/>
          <w:color w:val="auto"/>
          <w:sz w:val="24"/>
          <w:lang w:val="en-US" w:eastAsia="zh-CN"/>
        </w:rPr>
        <w:t>时间</w:t>
      </w:r>
      <w:r>
        <w:rPr>
          <w:rFonts w:hint="eastAsia" w:ascii="宋体" w:hAnsi="宋体" w:cs="宋体"/>
          <w:b/>
          <w:bCs/>
          <w:color w:val="auto"/>
          <w:sz w:val="24"/>
        </w:rPr>
        <w:t>：</w:t>
      </w:r>
    </w:p>
    <w:p w14:paraId="1B6F1D41">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（一）交货地点：</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w:t>
      </w:r>
    </w:p>
    <w:p w14:paraId="2C7705FF">
      <w:pPr>
        <w:spacing w:line="360" w:lineRule="auto"/>
        <w:ind w:firstLine="480" w:firstLineChars="200"/>
        <w:rPr>
          <w:rFonts w:hint="eastAsia" w:ascii="宋体" w:hAnsi="宋体" w:cs="宋体"/>
          <w:color w:val="auto"/>
          <w:sz w:val="24"/>
        </w:rPr>
      </w:pPr>
      <w:r>
        <w:rPr>
          <w:rFonts w:hint="eastAsia" w:ascii="宋体" w:hAnsi="宋体" w:cs="宋体"/>
          <w:bCs/>
          <w:color w:val="auto"/>
          <w:sz w:val="24"/>
        </w:rPr>
        <w:t>（二）交货</w:t>
      </w:r>
      <w:r>
        <w:rPr>
          <w:rFonts w:hint="eastAsia" w:ascii="宋体" w:hAnsi="宋体" w:cs="宋体"/>
          <w:bCs/>
          <w:color w:val="auto"/>
          <w:sz w:val="24"/>
          <w:lang w:val="en-US" w:eastAsia="zh-CN"/>
        </w:rPr>
        <w:t>时间</w:t>
      </w:r>
      <w:r>
        <w:rPr>
          <w:rFonts w:hint="eastAsia" w:ascii="宋体" w:hAnsi="宋体" w:cs="宋体"/>
          <w:bCs/>
          <w:color w:val="auto"/>
          <w:sz w:val="24"/>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w:t>
      </w:r>
    </w:p>
    <w:p w14:paraId="3C40906F">
      <w:pPr>
        <w:autoSpaceDE w:val="0"/>
        <w:autoSpaceDN w:val="0"/>
        <w:adjustRightInd w:val="0"/>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rPr>
        <w:t>四、</w:t>
      </w:r>
      <w:r>
        <w:rPr>
          <w:rFonts w:hint="eastAsia" w:ascii="宋体" w:hAnsi="宋体" w:cs="宋体"/>
          <w:b/>
          <w:bCs/>
          <w:color w:val="auto"/>
          <w:sz w:val="24"/>
          <w:lang w:val="en-US" w:eastAsia="zh-CN"/>
        </w:rPr>
        <w:t>支付方式</w:t>
      </w:r>
    </w:p>
    <w:p w14:paraId="30938464">
      <w:pPr>
        <w:autoSpaceDE w:val="0"/>
        <w:autoSpaceDN w:val="0"/>
        <w:adjustRightInd w:val="0"/>
        <w:spacing w:line="360" w:lineRule="auto"/>
        <w:ind w:firstLine="480" w:firstLineChars="200"/>
        <w:rPr>
          <w:rFonts w:hint="eastAsia" w:ascii="宋体" w:hAnsi="宋体" w:cs="宋体"/>
          <w:bCs/>
          <w:color w:val="auto"/>
          <w:sz w:val="24"/>
          <w:u w:val="single"/>
          <w:lang w:val="en-US" w:eastAsia="zh-CN"/>
        </w:rPr>
      </w:pPr>
      <w:r>
        <w:rPr>
          <w:rFonts w:hint="eastAsia" w:ascii="宋体" w:hAnsi="宋体" w:cs="宋体"/>
          <w:bCs/>
          <w:color w:val="auto"/>
          <w:sz w:val="24"/>
          <w:u w:val="single"/>
          <w:lang w:val="en-US" w:eastAsia="zh-CN"/>
        </w:rPr>
        <w:t xml:space="preserve">                                                      </w:t>
      </w:r>
    </w:p>
    <w:p w14:paraId="765BA43B">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五、双方的权利和义务</w:t>
      </w:r>
    </w:p>
    <w:p w14:paraId="4BBCD593">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45CBE4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1.甲方提供安装条件其中包括水，电，气到位。</w:t>
      </w:r>
    </w:p>
    <w:p w14:paraId="7E1896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2.甲方在收到货物通知后，应按</w:t>
      </w:r>
      <w:r>
        <w:rPr>
          <w:rFonts w:hint="eastAsia" w:ascii="宋体" w:hAnsi="宋体" w:cs="宋体"/>
          <w:bCs/>
          <w:color w:val="auto"/>
          <w:sz w:val="24"/>
          <w:lang w:eastAsia="zh-CN"/>
        </w:rPr>
        <w:t>竞争性谈判文件</w:t>
      </w:r>
      <w:r>
        <w:rPr>
          <w:rFonts w:hint="eastAsia" w:ascii="宋体" w:hAnsi="宋体" w:cs="宋体"/>
          <w:bCs/>
          <w:color w:val="auto"/>
          <w:sz w:val="24"/>
        </w:rPr>
        <w:t>的需求进行核实，如发现不符合合同规定或短缺，及时提出，甲方在收到货后，组织人员按提供的技术参数指标进行验收。甲方必须按交货时间交付乙方安装现场，并现场配合。如不能按期供货、按时施工，甲方有权单方终止采购合同并追究</w:t>
      </w:r>
      <w:r>
        <w:rPr>
          <w:rFonts w:hint="eastAsia" w:ascii="宋体" w:hAnsi="宋体" w:cs="宋体"/>
          <w:bCs/>
          <w:color w:val="auto"/>
          <w:sz w:val="24"/>
          <w:lang w:eastAsia="zh-CN"/>
        </w:rPr>
        <w:t>成交供应商</w:t>
      </w:r>
      <w:r>
        <w:rPr>
          <w:rFonts w:hint="eastAsia" w:ascii="宋体" w:hAnsi="宋体" w:cs="宋体"/>
          <w:bCs/>
          <w:color w:val="auto"/>
          <w:sz w:val="24"/>
        </w:rPr>
        <w:t>的相关责任。</w:t>
      </w:r>
    </w:p>
    <w:p w14:paraId="4D58720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39D967B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1.乙方负责产品安装与调试在合同约定的时间完工。</w:t>
      </w:r>
    </w:p>
    <w:p w14:paraId="615FCE9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2.乙方所提供的产品必须是采购需求产品，运输及安装施工全过程中的安全由乙方负责。</w:t>
      </w:r>
    </w:p>
    <w:p w14:paraId="547F3F9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3.在作业现场安装及调试过程中，乙方应积极配合甲方与水、电、气安装人员进行配合，最终完成产品的安装调试（联调）工作。</w:t>
      </w:r>
    </w:p>
    <w:p w14:paraId="6D7773C3">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六、</w:t>
      </w:r>
      <w:r>
        <w:rPr>
          <w:rFonts w:hint="eastAsia" w:ascii="宋体" w:hAnsi="宋体" w:cs="宋体"/>
          <w:b/>
          <w:color w:val="auto"/>
          <w:sz w:val="24"/>
        </w:rPr>
        <w:t>包装</w:t>
      </w:r>
      <w:r>
        <w:rPr>
          <w:rFonts w:hint="eastAsia" w:ascii="宋体" w:hAnsi="宋体" w:cs="宋体"/>
          <w:b/>
          <w:color w:val="auto"/>
          <w:sz w:val="24"/>
          <w:lang w:val="en-US" w:eastAsia="zh-CN"/>
        </w:rPr>
        <w:t>及</w:t>
      </w:r>
      <w:r>
        <w:rPr>
          <w:rFonts w:hint="eastAsia" w:ascii="宋体" w:hAnsi="宋体" w:cs="宋体"/>
          <w:b/>
          <w:color w:val="auto"/>
          <w:sz w:val="24"/>
        </w:rPr>
        <w:t>运输</w:t>
      </w:r>
    </w:p>
    <w:p w14:paraId="578F580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9981E38">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七、质量保证</w:t>
      </w:r>
    </w:p>
    <w:p w14:paraId="0B5DD302">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1.质保期为验收合格后3年。</w:t>
      </w:r>
      <w:bookmarkStart w:id="0" w:name="_GoBack"/>
      <w:bookmarkEnd w:id="0"/>
      <w:r>
        <w:rPr>
          <w:rFonts w:hint="eastAsia" w:ascii="宋体" w:hAnsi="宋体" w:cs="宋体"/>
          <w:bCs/>
          <w:color w:val="auto"/>
          <w:sz w:val="24"/>
          <w:lang w:val="en-US" w:eastAsia="zh-CN"/>
        </w:rPr>
        <w:t>成交供应商承诺的质保时间超过竞争性谈判文件要求的，按其承诺时间质保。</w:t>
      </w:r>
    </w:p>
    <w:p w14:paraId="4703A5DB">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2.成交供应商承诺的质保期起始时间为验收合格之日。</w:t>
      </w:r>
    </w:p>
    <w:p w14:paraId="2653A48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3.在使用过程中，成交供应商负责本项目所有维保服务，按照要求进行拆卸拼装重组等工作，对项目质量、使用质量及展览效果进行动态跟踪，积极响应采购人反映的质量和使用问题，不留安全和质量隐患。</w:t>
      </w:r>
    </w:p>
    <w:p w14:paraId="23C8AAD8">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4.在安装期间，成交供应商有必要对使用人员进行技术培训，以确保采购人能够有效处理相关问题。 </w:t>
      </w:r>
    </w:p>
    <w:p w14:paraId="61F18494">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5.成交供应商须提供该货物的技术培训、技术支持和维修巡检服务，服务内容包括负责安装调试完成后质保期内免费进行现场培训、理论培训、操作培训等。 </w:t>
      </w:r>
    </w:p>
    <w:p w14:paraId="5E6CADF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6.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14:paraId="47C94ED5">
      <w:pPr>
        <w:widowControl/>
        <w:tabs>
          <w:tab w:val="left" w:pos="1620"/>
        </w:tabs>
        <w:adjustRightInd w:val="0"/>
        <w:snapToGrid w:val="0"/>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cs="宋体"/>
          <w:b/>
          <w:bCs/>
          <w:color w:val="auto"/>
          <w:sz w:val="24"/>
        </w:rPr>
        <w:t>八、</w:t>
      </w:r>
      <w:r>
        <w:rPr>
          <w:rFonts w:hint="eastAsia" w:ascii="宋体" w:hAnsi="宋体" w:eastAsia="宋体" w:cs="宋体"/>
          <w:b/>
          <w:bCs/>
          <w:color w:val="auto"/>
          <w:sz w:val="24"/>
          <w:lang w:val="en-US" w:eastAsia="zh-CN"/>
        </w:rPr>
        <w:t>验收标准和方法</w:t>
      </w:r>
    </w:p>
    <w:p w14:paraId="0DC0778A">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1.成交供应商须于签订合同后，供货时配合采购人进行检测测试，采购人将根据响应文件对所提供本次采购完整产品一套预安装，对参数的真实性和实际效果进行逐条逐字和功能验证，通过检测后方可进行验收。在检测测试过程中如发现有虚假应标行为的，采购人将拒绝接收货物验收并退货。如检测结果合格，检测费用由采购人承担；检测结果不合格，检测费用由成交供应商承担，并依法进行处罚，且赔偿采购人一切损失。</w:t>
      </w:r>
    </w:p>
    <w:p w14:paraId="4E4FEBB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2.为确保产品为全新，质量和功能稳定性，签订合同后,要求提供厂家出具的技术参数确认表,售后服务保障原件,供货证明原件，否则采购方将不予验收通过。</w:t>
      </w:r>
    </w:p>
    <w:p w14:paraId="6483EAD8">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3.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w:t>
      </w:r>
    </w:p>
    <w:p w14:paraId="78B1779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4.验收依据：竞争性谈判文件、竞争性谈判响应文件、澄清表（函）；本合同及附件文本；合同签订时国家及行业现行的标准和技术规范。</w:t>
      </w:r>
    </w:p>
    <w:p w14:paraId="71DEAD8C">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5.成交供应商应向采购人提交项目实施过程中的所有资料，以便采购人日后管理和维护。</w:t>
      </w:r>
    </w:p>
    <w:p w14:paraId="78BB1477">
      <w:pPr>
        <w:autoSpaceDE w:val="0"/>
        <w:autoSpaceDN w:val="0"/>
        <w:adjustRightInd w:val="0"/>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九</w:t>
      </w:r>
      <w:r>
        <w:rPr>
          <w:rFonts w:hint="eastAsia" w:ascii="宋体" w:hAnsi="宋体" w:cs="宋体"/>
          <w:b/>
          <w:bCs/>
          <w:color w:val="auto"/>
          <w:sz w:val="24"/>
        </w:rPr>
        <w:t>、违约责任</w:t>
      </w:r>
      <w:r>
        <w:rPr>
          <w:rFonts w:hint="eastAsia" w:ascii="宋体" w:hAnsi="宋体" w:cs="宋体"/>
          <w:b/>
          <w:bCs/>
          <w:color w:val="auto"/>
          <w:sz w:val="24"/>
          <w:lang w:val="en-US" w:eastAsia="zh-CN"/>
        </w:rPr>
        <w:t>及解决争议的方法</w:t>
      </w:r>
    </w:p>
    <w:p w14:paraId="33901D8A">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1.按《中华人民共和国政府采购法》、《中华人民共和国民法典》中的相关条款执行。 </w:t>
      </w:r>
    </w:p>
    <w:p w14:paraId="380F042C">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2.未按合同或谈判文件要求提供产品或供应的产品质量不能满足采购人技术要求，采购人有权终止合同，甚至对供应商违约行为进行追究。 </w:t>
      </w:r>
    </w:p>
    <w:p w14:paraId="74E70A06">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3.供应商的响应文件为签订正式书面合同书不可分割的部分，供应商应履行相应的责任。</w:t>
      </w:r>
    </w:p>
    <w:p w14:paraId="7F6177E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十、合同生效</w:t>
      </w:r>
    </w:p>
    <w:p w14:paraId="7068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（一）本合同须经甲、乙双方的法定代表人（授权代理人）在合同书上签字并加盖本单位公章后正式生效。</w:t>
      </w:r>
    </w:p>
    <w:p w14:paraId="576C74AD">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（二）合同生效后，甲、乙双方须严格执行本合同条款的规定，全面履行合同，违者按《中华人民共和国民法典》的有关规定承担相应责任。</w:t>
      </w:r>
    </w:p>
    <w:p w14:paraId="5CB0291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0394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（四）本合同如有未尽事宜，甲、乙双方协商解决。</w:t>
      </w:r>
    </w:p>
    <w:p w14:paraId="297C9AC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（五）采购人与</w:t>
      </w:r>
      <w:r>
        <w:rPr>
          <w:rFonts w:hint="eastAsia" w:ascii="宋体" w:hAnsi="宋体" w:cs="宋体"/>
          <w:bCs/>
          <w:color w:val="auto"/>
          <w:sz w:val="24"/>
          <w:lang w:eastAsia="zh-CN"/>
        </w:rPr>
        <w:t>成交供应商</w:t>
      </w:r>
      <w:r>
        <w:rPr>
          <w:rFonts w:hint="eastAsia" w:ascii="宋体" w:hAnsi="宋体" w:cs="宋体"/>
          <w:bCs/>
          <w:color w:val="auto"/>
          <w:sz w:val="24"/>
        </w:rPr>
        <w:t>应当在</w:t>
      </w:r>
      <w:r>
        <w:rPr>
          <w:rFonts w:hint="eastAsia" w:ascii="宋体" w:hAnsi="宋体" w:cs="宋体"/>
          <w:bCs/>
          <w:color w:val="auto"/>
          <w:sz w:val="24"/>
          <w:lang w:val="en-US" w:eastAsia="zh-CN"/>
        </w:rPr>
        <w:t>成交</w:t>
      </w:r>
      <w:r>
        <w:rPr>
          <w:rFonts w:hint="eastAsia" w:ascii="宋体" w:hAnsi="宋体" w:cs="宋体"/>
          <w:bCs/>
          <w:color w:val="auto"/>
          <w:sz w:val="24"/>
        </w:rPr>
        <w:t>通知书发出之日起</w:t>
      </w:r>
      <w:r>
        <w:rPr>
          <w:rFonts w:hint="eastAsia" w:ascii="宋体" w:hAnsi="宋体" w:cs="宋体"/>
          <w:bCs/>
          <w:color w:val="auto"/>
          <w:sz w:val="24"/>
          <w:lang w:val="en-US" w:eastAsia="zh-CN"/>
        </w:rPr>
        <w:t>30</w:t>
      </w:r>
      <w:r>
        <w:rPr>
          <w:rFonts w:hint="eastAsia" w:ascii="宋体" w:hAnsi="宋体" w:cs="宋体"/>
          <w:bCs/>
          <w:color w:val="auto"/>
          <w:sz w:val="24"/>
        </w:rPr>
        <w:t>日内，按照</w:t>
      </w:r>
      <w:r>
        <w:rPr>
          <w:rFonts w:hint="eastAsia" w:ascii="宋体" w:hAnsi="宋体" w:cs="宋体"/>
          <w:bCs/>
          <w:color w:val="auto"/>
          <w:sz w:val="24"/>
          <w:lang w:eastAsia="zh-CN"/>
        </w:rPr>
        <w:t>竞争性谈判文件</w:t>
      </w:r>
      <w:r>
        <w:rPr>
          <w:rFonts w:hint="eastAsia" w:ascii="宋体" w:hAnsi="宋体" w:cs="宋体"/>
          <w:bCs/>
          <w:color w:val="auto"/>
          <w:sz w:val="24"/>
        </w:rPr>
        <w:t>确定的采购标的、规格型号、采购金额、采购数量、技术和服务要求及商务要求等事项签订政府采购合同。</w:t>
      </w:r>
    </w:p>
    <w:p w14:paraId="610EF20F">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（六）所签订的合同不得对</w:t>
      </w:r>
      <w:r>
        <w:rPr>
          <w:rFonts w:hint="eastAsia" w:ascii="宋体" w:hAnsi="宋体" w:cs="宋体"/>
          <w:bCs/>
          <w:color w:val="auto"/>
          <w:sz w:val="24"/>
          <w:lang w:eastAsia="zh-CN"/>
        </w:rPr>
        <w:t>竞争性谈判文件</w:t>
      </w:r>
      <w:r>
        <w:rPr>
          <w:rFonts w:hint="eastAsia" w:ascii="宋体" w:hAnsi="宋体" w:cs="宋体"/>
          <w:bCs/>
          <w:color w:val="auto"/>
          <w:sz w:val="24"/>
        </w:rPr>
        <w:t>确定的事项和</w:t>
      </w:r>
      <w:r>
        <w:rPr>
          <w:rFonts w:hint="eastAsia" w:ascii="宋体" w:hAnsi="宋体" w:cs="宋体"/>
          <w:color w:val="auto"/>
          <w:sz w:val="24"/>
        </w:rPr>
        <w:t>成交供应商</w:t>
      </w:r>
      <w:r>
        <w:rPr>
          <w:rFonts w:hint="eastAsia" w:ascii="宋体" w:hAnsi="宋体" w:cs="宋体"/>
          <w:color w:val="auto"/>
          <w:sz w:val="24"/>
          <w:lang w:val="en-US" w:eastAsia="zh-CN"/>
        </w:rPr>
        <w:t>竞争性谈判响应</w:t>
      </w:r>
      <w:r>
        <w:rPr>
          <w:rFonts w:hint="eastAsia" w:ascii="宋体" w:hAnsi="宋体" w:cs="宋体"/>
          <w:bCs/>
          <w:color w:val="auto"/>
          <w:sz w:val="24"/>
        </w:rPr>
        <w:t>文件做实质性修改。</w:t>
      </w:r>
    </w:p>
    <w:p w14:paraId="697599A2">
      <w:pPr>
        <w:autoSpaceDE w:val="0"/>
        <w:autoSpaceDN w:val="0"/>
        <w:adjustRightInd w:val="0"/>
        <w:spacing w:line="360" w:lineRule="auto"/>
        <w:ind w:firstLine="480" w:firstLineChars="200"/>
        <w:rPr>
          <w:rFonts w:ascii="宋体" w:hAnsi="宋体" w:cs="宋体"/>
          <w:bCs/>
          <w:color w:val="auto"/>
          <w:sz w:val="24"/>
        </w:rPr>
      </w:pPr>
      <w:r>
        <w:rPr>
          <w:rFonts w:hint="eastAsia" w:ascii="宋体" w:hAnsi="宋体" w:cs="宋体"/>
          <w:bCs/>
          <w:color w:val="auto"/>
          <w:sz w:val="24"/>
        </w:rPr>
        <w:t>（七）甲乙双方不得擅自变更、中止、终止政府采购合同。</w:t>
      </w:r>
    </w:p>
    <w:p w14:paraId="67B26DBE">
      <w:pPr>
        <w:pStyle w:val="6"/>
        <w:spacing w:line="360" w:lineRule="auto"/>
        <w:rPr>
          <w:rFonts w:hint="eastAsia" w:ascii="宋体" w:hAnsi="宋体" w:cs="宋体"/>
          <w:bCs/>
          <w:color w:val="auto"/>
          <w:sz w:val="24"/>
          <w:szCs w:val="24"/>
        </w:rPr>
      </w:pPr>
    </w:p>
    <w:p w14:paraId="4F95026A">
      <w:pPr>
        <w:pStyle w:val="6"/>
        <w:spacing w:line="360" w:lineRule="auto"/>
        <w:rPr>
          <w:rFonts w:ascii="宋体" w:hAnsi="宋体" w:cs="宋体"/>
          <w:bCs/>
          <w:color w:val="auto"/>
          <w:sz w:val="24"/>
          <w:szCs w:val="24"/>
        </w:rPr>
      </w:pPr>
      <w:r>
        <w:rPr>
          <w:rFonts w:hint="eastAsia" w:ascii="宋体" w:hAnsi="宋体" w:cs="宋体"/>
          <w:bCs/>
          <w:color w:val="auto"/>
          <w:sz w:val="24"/>
          <w:szCs w:val="24"/>
        </w:rPr>
        <w:t>甲  方：</w:t>
      </w:r>
      <w:r>
        <w:rPr>
          <w:rFonts w:hint="eastAsia" w:ascii="宋体" w:hAnsi="宋体" w:cs="宋体"/>
          <w:bCs/>
          <w:color w:val="auto"/>
          <w:sz w:val="24"/>
          <w:szCs w:val="24"/>
          <w:lang w:val="en-US" w:eastAsia="zh-CN"/>
        </w:rPr>
        <w:t xml:space="preserve">                             </w:t>
      </w:r>
      <w:r>
        <w:rPr>
          <w:rFonts w:hint="eastAsia" w:ascii="宋体" w:hAnsi="宋体" w:cs="宋体"/>
          <w:bCs/>
          <w:color w:val="auto"/>
          <w:sz w:val="24"/>
          <w:szCs w:val="24"/>
        </w:rPr>
        <w:t xml:space="preserve"> </w:t>
      </w:r>
      <w:r>
        <w:rPr>
          <w:rFonts w:hint="eastAsia" w:ascii="宋体" w:hAnsi="宋体" w:cs="宋体"/>
          <w:bCs/>
          <w:color w:val="auto"/>
          <w:sz w:val="24"/>
        </w:rPr>
        <w:t>乙  方;</w:t>
      </w:r>
    </w:p>
    <w:p w14:paraId="56E64B89">
      <w:pPr>
        <w:pStyle w:val="6"/>
        <w:spacing w:line="360" w:lineRule="auto"/>
        <w:rPr>
          <w:rFonts w:ascii="宋体" w:hAnsi="宋体" w:cs="宋体"/>
          <w:bCs/>
          <w:color w:val="auto"/>
          <w:sz w:val="24"/>
          <w:szCs w:val="24"/>
        </w:rPr>
      </w:pPr>
      <w:r>
        <w:rPr>
          <w:rFonts w:hint="eastAsia" w:ascii="宋体" w:hAnsi="宋体" w:cs="宋体"/>
          <w:bCs/>
          <w:color w:val="auto"/>
          <w:sz w:val="24"/>
          <w:szCs w:val="24"/>
        </w:rPr>
        <w:t xml:space="preserve">（盖章）                              </w:t>
      </w:r>
      <w:r>
        <w:rPr>
          <w:rFonts w:hint="eastAsia" w:ascii="宋体" w:hAnsi="宋体" w:cs="宋体"/>
          <w:bCs/>
          <w:color w:val="auto"/>
          <w:sz w:val="24"/>
        </w:rPr>
        <w:t>（盖章）</w:t>
      </w:r>
    </w:p>
    <w:p w14:paraId="0FC5A131">
      <w:pPr>
        <w:pStyle w:val="6"/>
        <w:spacing w:line="360" w:lineRule="auto"/>
        <w:rPr>
          <w:rFonts w:hint="eastAsia" w:ascii="宋体" w:hAnsi="宋体" w:cs="宋体"/>
          <w:bCs/>
          <w:color w:val="auto"/>
          <w:sz w:val="24"/>
          <w:szCs w:val="24"/>
        </w:rPr>
      </w:pPr>
      <w:r>
        <w:rPr>
          <w:rFonts w:hint="eastAsia" w:ascii="宋体" w:hAnsi="宋体" w:cs="宋体"/>
          <w:bCs/>
          <w:color w:val="auto"/>
          <w:sz w:val="24"/>
          <w:szCs w:val="24"/>
        </w:rPr>
        <w:t>联系人：                              联系人：</w:t>
      </w:r>
    </w:p>
    <w:p w14:paraId="21E97EFF">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地址：</w:t>
      </w:r>
    </w:p>
    <w:p w14:paraId="45293B72">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供应商所在区域：</w:t>
      </w:r>
    </w:p>
    <w:p w14:paraId="6F70672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供应商规模：</w:t>
      </w:r>
    </w:p>
    <w:p w14:paraId="02176A2C">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供应商特性：</w:t>
      </w:r>
    </w:p>
    <w:p w14:paraId="689AB1FD">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收款账户名称：</w:t>
      </w:r>
    </w:p>
    <w:p w14:paraId="79F539D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开户银行：</w:t>
      </w:r>
    </w:p>
    <w:p w14:paraId="5C6FFE8A">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银行账号：</w:t>
      </w:r>
    </w:p>
    <w:p w14:paraId="40CC5DAB">
      <w:pPr>
        <w:pStyle w:val="6"/>
        <w:spacing w:line="360" w:lineRule="auto"/>
        <w:rPr>
          <w:rFonts w:ascii="宋体" w:hAnsi="宋体" w:cs="宋体"/>
          <w:bCs/>
          <w:color w:val="auto"/>
          <w:sz w:val="24"/>
          <w:szCs w:val="24"/>
        </w:rPr>
      </w:pPr>
      <w:r>
        <w:rPr>
          <w:rFonts w:hint="eastAsia" w:ascii="宋体" w:hAnsi="宋体" w:cs="宋体"/>
          <w:bCs/>
          <w:color w:val="auto"/>
          <w:sz w:val="24"/>
          <w:szCs w:val="24"/>
        </w:rPr>
        <w:t>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                        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w:t>
      </w:r>
    </w:p>
    <w:p w14:paraId="71227D81">
      <w:pPr>
        <w:spacing w:line="360" w:lineRule="auto"/>
        <w:rPr>
          <w:rFonts w:hint="eastAsia" w:ascii="宋体" w:hAnsi="宋体" w:cs="宋体"/>
          <w:bCs/>
          <w:color w:val="auto"/>
          <w:sz w:val="24"/>
        </w:rPr>
      </w:pPr>
    </w:p>
    <w:p w14:paraId="68EBE73A">
      <w:pPr>
        <w:spacing w:line="360" w:lineRule="auto"/>
        <w:rPr>
          <w:color w:val="auto"/>
        </w:rPr>
      </w:pPr>
    </w:p>
    <w:p w14:paraId="0CF55ECC">
      <w:pPr>
        <w:rPr>
          <w:rFonts w:hint="eastAsia" w:eastAsia="宋体"/>
          <w:color w:val="auto"/>
          <w:lang w:val="en-US" w:eastAsia="zh-CN"/>
        </w:rPr>
      </w:pPr>
      <w:r>
        <w:rPr>
          <w:rFonts w:hint="eastAsia"/>
          <w:color w:val="auto"/>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2B5B2C9E"/>
    <w:rsid w:val="02741757"/>
    <w:rsid w:val="04A0696A"/>
    <w:rsid w:val="1F04135C"/>
    <w:rsid w:val="25BA4117"/>
    <w:rsid w:val="2B5B2C9E"/>
    <w:rsid w:val="2DAB0C9E"/>
    <w:rsid w:val="2EA27101"/>
    <w:rsid w:val="3F0C74B1"/>
    <w:rsid w:val="412D0C4C"/>
    <w:rsid w:val="46904907"/>
    <w:rsid w:val="578D4B8D"/>
    <w:rsid w:val="5A892C62"/>
    <w:rsid w:val="6376118B"/>
    <w:rsid w:val="6CE9606F"/>
    <w:rsid w:val="708729E7"/>
    <w:rsid w:val="74EE3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jc w:val="center"/>
      <w:outlineLvl w:val="0"/>
    </w:pPr>
    <w:rPr>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qFormat/>
    <w:uiPriority w:val="0"/>
    <w:pPr>
      <w:spacing w:after="120"/>
    </w:pPr>
  </w:style>
  <w:style w:type="paragraph" w:styleId="6">
    <w:name w:val="footer"/>
    <w:basedOn w:val="1"/>
    <w:autoRedefine/>
    <w:qFormat/>
    <w:uiPriority w:val="0"/>
    <w:pPr>
      <w:tabs>
        <w:tab w:val="center" w:pos="4153"/>
        <w:tab w:val="right" w:pos="8306"/>
      </w:tabs>
      <w:snapToGrid w:val="0"/>
      <w:jc w:val="left"/>
    </w:pPr>
    <w:rPr>
      <w:sz w:val="18"/>
      <w:szCs w:val="20"/>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 w:type="paragraph" w:customStyle="1" w:styleId="10">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2222</Words>
  <Characters>2250</Characters>
  <Lines>0</Lines>
  <Paragraphs>0</Paragraphs>
  <TotalTime>2</TotalTime>
  <ScaleCrop>false</ScaleCrop>
  <LinksUpToDate>false</LinksUpToDate>
  <CharactersWithSpaces>2528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2023-12-20T10:25:00Z</dcterms:created>
  <dc:creator>doit</dc:creator>
  <cp:lastModifiedBy>柏子</cp:lastModifiedBy>
  <dcterms:modified xsi:type="dcterms:W3CDTF">2026-06-05T10:09:11Z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28A43E4B7CCB48FBB91A0A4177AF337C_11</vt:lpwstr>
  </property>
  <property fmtid="{D5CDD505-2E9C-101B-9397-08002B2CF9AE}" pid="4" name="KSOTemplateDocerSaveRecord">
    <vt:lpwstr>eyJoZGlkIjoiOWY1NTM1MTI5YjExNTlmNTBhMTk5M2QzNDFlZjQyYzMiLCJ1c2VySWQiOiI0Mzg1MTk2ODAifQ==</vt:lpwstr>
  </property>
</Properties>
</file>