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版本号：HYGJ-XF-62720260817001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淳化县冶峪河鼎盛湖左岸护坡绿化工程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HYGJ-XF-627</w:t>
      </w:r>
      <w:r>
        <w:br/>
      </w:r>
      <w:r>
        <w:br/>
      </w:r>
      <w:r>
        <w:br/>
      </w:r>
    </w:p>
    <w:p>
      <w:pPr>
        <w:pStyle w:val="null3"/>
        <w:jc w:val="center"/>
        <w:outlineLvl w:val="2"/>
      </w:pPr>
      <w:r>
        <w:rPr>
          <w:rFonts w:ascii="仿宋_GB2312" w:hAnsi="仿宋_GB2312" w:cs="仿宋_GB2312" w:eastAsia="仿宋_GB2312"/>
          <w:sz w:val="28"/>
          <w:b/>
        </w:rPr>
        <w:t>淳化县水土保持工作站</w:t>
      </w:r>
    </w:p>
    <w:p>
      <w:pPr>
        <w:pStyle w:val="null3"/>
        <w:jc w:val="center"/>
        <w:outlineLvl w:val="2"/>
      </w:pPr>
      <w:r>
        <w:rPr>
          <w:rFonts w:ascii="仿宋_GB2312" w:hAnsi="仿宋_GB2312" w:cs="仿宋_GB2312" w:eastAsia="仿宋_GB2312"/>
          <w:sz w:val="28"/>
          <w:b/>
        </w:rPr>
        <w:t>宏业国际项目管理有限公司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宏业国际项目管理有限公司</w:t>
      </w:r>
      <w:r>
        <w:rPr>
          <w:rFonts w:ascii="仿宋_GB2312" w:hAnsi="仿宋_GB2312" w:cs="仿宋_GB2312" w:eastAsia="仿宋_GB2312"/>
        </w:rPr>
        <w:t>（以下简称“代理机构”）受</w:t>
      </w:r>
      <w:r>
        <w:rPr>
          <w:rFonts w:ascii="仿宋_GB2312" w:hAnsi="仿宋_GB2312" w:cs="仿宋_GB2312" w:eastAsia="仿宋_GB2312"/>
        </w:rPr>
        <w:t>淳化县水土保持工作站</w:t>
      </w:r>
      <w:r>
        <w:rPr>
          <w:rFonts w:ascii="仿宋_GB2312" w:hAnsi="仿宋_GB2312" w:cs="仿宋_GB2312" w:eastAsia="仿宋_GB2312"/>
        </w:rPr>
        <w:t>委托，拟对</w:t>
      </w:r>
      <w:r>
        <w:rPr>
          <w:rFonts w:ascii="仿宋_GB2312" w:hAnsi="仿宋_GB2312" w:cs="仿宋_GB2312" w:eastAsia="仿宋_GB2312"/>
        </w:rPr>
        <w:t>淳化县冶峪河鼎盛湖左岸护坡绿化工程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HYGJ-XF-627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淳化县冶峪河鼎盛湖左岸护坡绿化工程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淳化县冶峪河鼎盛湖左岸护坡绿化工程是淳化县建设生态名县的重要举措。地块面积5547m2，可作业面积4605m2，填/挖土数量1200m3，划分7个小班作业区域。主要栽植白皮松、连翘、迎春花等。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采购包1（淳化县冶峪河鼎盛湖左岸护坡绿化工程）：属于专门面向中小企业采购。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1、授权委托书：法人授权委托书、被授权人身份证（法定代表人直接参加除外，但须出示法定代表人身份证）；</w:t>
      </w:r>
    </w:p>
    <w:p>
      <w:pPr>
        <w:pStyle w:val="null3"/>
      </w:pPr>
      <w:r>
        <w:rPr>
          <w:rFonts w:ascii="仿宋_GB2312" w:hAnsi="仿宋_GB2312" w:cs="仿宋_GB2312" w:eastAsia="仿宋_GB2312"/>
        </w:rPr>
        <w:t>2、营业执照：供应商应是合法注册的法人或其他组织,并出具合法有效的营业执照；</w:t>
      </w:r>
    </w:p>
    <w:p>
      <w:pPr>
        <w:pStyle w:val="null3"/>
      </w:pPr>
      <w:r>
        <w:rPr>
          <w:rFonts w:ascii="仿宋_GB2312" w:hAnsi="仿宋_GB2312" w:cs="仿宋_GB2312" w:eastAsia="仿宋_GB2312"/>
        </w:rPr>
        <w:t>3、书面声明：出具参加政府采购活动前三年内，在经营活动中没有重大违法记录的书面声明；履行合同所必需的设备和专业技术能力的书面声明；</w:t>
      </w:r>
    </w:p>
    <w:p>
      <w:pPr>
        <w:pStyle w:val="null3"/>
      </w:pPr>
      <w:r>
        <w:rPr>
          <w:rFonts w:ascii="仿宋_GB2312" w:hAnsi="仿宋_GB2312" w:cs="仿宋_GB2312" w:eastAsia="仿宋_GB2312"/>
        </w:rPr>
        <w:t>4、财务状况证明：供应商提供2025年度经审计的财务报告（包括“四表一注”，即资产负债表、利润表、现金流量表、所有者权益变动表及其附注，成立时间至提交投标文件截止时间不足一年的可提供成立后任意时段的资产负债表）或其磋商会议前三个月内基本开户银行出具的资信证明；</w:t>
      </w:r>
    </w:p>
    <w:p>
      <w:pPr>
        <w:pStyle w:val="null3"/>
      </w:pPr>
      <w:r>
        <w:rPr>
          <w:rFonts w:ascii="仿宋_GB2312" w:hAnsi="仿宋_GB2312" w:cs="仿宋_GB2312" w:eastAsia="仿宋_GB2312"/>
        </w:rPr>
        <w:t>5、税收缴纳证明：供应商提供近半年内已缴纳的至少一个月的纳税证明或完税证明，纳税证明或完税证明上应有代收机构或税务机关的公章法免税的供应商应提供相关文件证明；</w:t>
      </w:r>
    </w:p>
    <w:p>
      <w:pPr>
        <w:pStyle w:val="null3"/>
      </w:pPr>
      <w:r>
        <w:rPr>
          <w:rFonts w:ascii="仿宋_GB2312" w:hAnsi="仿宋_GB2312" w:cs="仿宋_GB2312" w:eastAsia="仿宋_GB2312"/>
        </w:rPr>
        <w:t>6、社会保障资金缴纳证明：供应商提供近半年内已缴存的至少一个月的社会保障资金缴存单据或社保机构开具的社会保险参保缴费情况证明，依法不需要缴纳社会保障资金的供应商应提供相关文件证明；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7、信誉证明：供应商不得被列入“中国执行信息公开网”（http://zxgk.court.gov.cn） 失信被执行人，不得被列入“信用中国”网站（www.creditchina.gov.cn）重大税收违法失信主体，不得被列入“中国政府采购网”（www.ccgp.gov.cn）政府采购严重违法失信行为记录名单中被财政部门禁止参加政府采购活动；</w:t>
      </w:r>
    </w:p>
    <w:p>
      <w:pPr>
        <w:pStyle w:val="null3"/>
      </w:pPr>
      <w:r>
        <w:rPr>
          <w:rFonts w:ascii="仿宋_GB2312" w:hAnsi="仿宋_GB2312" w:cs="仿宋_GB2312" w:eastAsia="仿宋_GB2312"/>
        </w:rPr>
        <w:t>8、投标人关联关系：供应商单位负责人为同一人或者存在控股、管理关系的不同单位，不得参加同一合同项下的政府采购；为采购项目提供整体设计、规范编制或者项目管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淳化县水土保持工作站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淳化县南新街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潘红娟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029-32773031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宏业国际项目管理有限公司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陕西省西咸新区沣西新城康定路中铁港沣国际1309室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029-88680610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雒斌</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采购包1：952,730.00元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代理服务费收费标准：依据发改价格〔2015〕299号文件规定以成交价格为基准计取该项目的招标代理服务费。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淳化县水土保持工作站</w:t>
      </w:r>
      <w:r>
        <w:rPr>
          <w:rFonts w:ascii="仿宋_GB2312" w:hAnsi="仿宋_GB2312" w:cs="仿宋_GB2312" w:eastAsia="仿宋_GB2312"/>
        </w:rPr>
        <w:t>和</w:t>
      </w:r>
      <w:r>
        <w:rPr>
          <w:rFonts w:ascii="仿宋_GB2312" w:hAnsi="仿宋_GB2312" w:cs="仿宋_GB2312" w:eastAsia="仿宋_GB2312"/>
        </w:rPr>
        <w:t>宏业国际项目管理有限公司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淳化县水土保持工作站</w:t>
      </w:r>
      <w:r>
        <w:rPr>
          <w:rFonts w:ascii="仿宋_GB2312" w:hAnsi="仿宋_GB2312" w:cs="仿宋_GB2312" w:eastAsia="仿宋_GB2312"/>
        </w:rPr>
        <w:t>负责解释。除上述磋商文件内容，其他内容由</w:t>
      </w:r>
      <w:r>
        <w:rPr>
          <w:rFonts w:ascii="仿宋_GB2312" w:hAnsi="仿宋_GB2312" w:cs="仿宋_GB2312" w:eastAsia="仿宋_GB2312"/>
        </w:rPr>
        <w:t>宏业国际项目管理有限公司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淳化县水土保持工作站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宏业国际项目管理有限公司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知识产权归甲方所有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宏业国际项目管理有限公司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宏业国际项目管理有限公司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宏业国际项目管理有限公司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联系人：王静</w:t>
      </w:r>
    </w:p>
    <w:p>
      <w:pPr>
        <w:pStyle w:val="null3"/>
      </w:pPr>
      <w:r>
        <w:rPr>
          <w:rFonts w:ascii="仿宋_GB2312" w:hAnsi="仿宋_GB2312" w:cs="仿宋_GB2312" w:eastAsia="仿宋_GB2312"/>
        </w:rPr>
        <w:t>联系电话：029-88680610</w:t>
      </w:r>
    </w:p>
    <w:p>
      <w:pPr>
        <w:pStyle w:val="null3"/>
      </w:pPr>
      <w:r>
        <w:rPr>
          <w:rFonts w:ascii="仿宋_GB2312" w:hAnsi="仿宋_GB2312" w:cs="仿宋_GB2312" w:eastAsia="仿宋_GB2312"/>
        </w:rPr>
        <w:t>地址：陕西省西咸新区沣西新城康定路中铁港沣国际1309室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952,730.00</w:t>
      </w:r>
    </w:p>
    <w:p>
      <w:pPr>
        <w:pStyle w:val="null3"/>
      </w:pPr>
      <w:r>
        <w:rPr>
          <w:rFonts w:ascii="仿宋_GB2312" w:hAnsi="仿宋_GB2312" w:cs="仿宋_GB2312" w:eastAsia="仿宋_GB2312"/>
        </w:rPr>
        <w:t>采购包最高限价（元）: 952,549.94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淳化县冶峪河鼎盛湖左岸护坡绿化工程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952,730.00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其他未列明行业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标的名称：淳化县冶峪河鼎盛湖左岸护坡绿化工程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一、基本情况</w:t>
            </w:r>
          </w:p>
          <w:p>
            <w:pPr>
              <w:pStyle w:val="null3"/>
              <w:jc w:val="both"/>
            </w:pPr>
            <w:r>
              <w:rPr>
                <w:rFonts w:ascii="仿宋_GB2312" w:hAnsi="仿宋_GB2312" w:cs="仿宋_GB2312" w:eastAsia="仿宋_GB2312"/>
                <w:sz w:val="21"/>
              </w:rPr>
              <w:t>(一)自然地理概况</w:t>
            </w:r>
          </w:p>
          <w:p>
            <w:pPr>
              <w:pStyle w:val="null3"/>
              <w:ind w:firstLine="420"/>
              <w:jc w:val="both"/>
            </w:pPr>
            <w:r>
              <w:rPr>
                <w:rFonts w:ascii="仿宋_GB2312" w:hAnsi="仿宋_GB2312" w:cs="仿宋_GB2312" w:eastAsia="仿宋_GB2312"/>
                <w:sz w:val="21"/>
              </w:rPr>
              <w:t>淳化县冶峪河鼎盛湖左岸护坡绿化工程坐落于冶峪河河道，甘泉湖下游，距县城南约</w:t>
            </w:r>
            <w:r>
              <w:rPr>
                <w:rFonts w:ascii="仿宋_GB2312" w:hAnsi="仿宋_GB2312" w:cs="仿宋_GB2312" w:eastAsia="仿宋_GB2312"/>
                <w:sz w:val="21"/>
              </w:rPr>
              <w:t>2.3公里，地理坐标为东径108°57’26”，北纬34°78’64”。项目区属暖温带半湿润大陆性季风气候区。年平均气温9.8°C，极端最高气温37.3°C，极端最低气温-21.3°C，年平均降水量610.7毫米，且多集中在7、8、9三个月。</w:t>
            </w:r>
          </w:p>
          <w:p>
            <w:pPr>
              <w:pStyle w:val="null3"/>
              <w:ind w:firstLine="420"/>
              <w:jc w:val="both"/>
            </w:pPr>
            <w:r>
              <w:rPr>
                <w:rFonts w:ascii="仿宋_GB2312" w:hAnsi="仿宋_GB2312" w:cs="仿宋_GB2312" w:eastAsia="仿宋_GB2312"/>
                <w:sz w:val="21"/>
              </w:rPr>
              <w:t>项目区属暖温带落叶阔叶林带，乔木主要有垂柳、旱柳、白杨、侧柏、红叶石楠，下层配植迎春花、紫穗槐、月季及护坡草本，外围黄土台塬是刺槐人工林、经济林</w:t>
            </w:r>
            <w:r>
              <w:rPr>
                <w:rFonts w:ascii="仿宋_GB2312" w:hAnsi="仿宋_GB2312" w:cs="仿宋_GB2312" w:eastAsia="仿宋_GB2312"/>
                <w:sz w:val="21"/>
              </w:rPr>
              <w:t>(核桃、花椒)、白羊草灌草丛等。</w:t>
            </w:r>
          </w:p>
          <w:p>
            <w:pPr>
              <w:pStyle w:val="null3"/>
              <w:jc w:val="both"/>
            </w:pPr>
            <w:r>
              <w:rPr>
                <w:rFonts w:ascii="仿宋_GB2312" w:hAnsi="仿宋_GB2312" w:cs="仿宋_GB2312" w:eastAsia="仿宋_GB2312"/>
                <w:sz w:val="21"/>
              </w:rPr>
              <w:t>(二)绿化工程</w:t>
            </w:r>
          </w:p>
          <w:p>
            <w:pPr>
              <w:pStyle w:val="null3"/>
              <w:ind w:firstLine="420"/>
              <w:jc w:val="both"/>
            </w:pPr>
            <w:r>
              <w:rPr>
                <w:rFonts w:ascii="仿宋_GB2312" w:hAnsi="仿宋_GB2312" w:cs="仿宋_GB2312" w:eastAsia="仿宋_GB2312"/>
                <w:sz w:val="21"/>
              </w:rPr>
              <w:t>淳化县冶峪河鼎盛湖左岸护坡绿化工程是淳化县建设生态名县的重要举措。经过实地勘察，结合当地气候、自然条件和风土人情，按照</w:t>
            </w:r>
            <w:r>
              <w:rPr>
                <w:rFonts w:ascii="仿宋_GB2312" w:hAnsi="仿宋_GB2312" w:cs="仿宋_GB2312" w:eastAsia="仿宋_GB2312"/>
                <w:sz w:val="21"/>
              </w:rPr>
              <w:t>“水土保持，美观实用”的理念，采取栽植乔、灌、花、草等形式，把美观大气的乔木、五彩纷呈的花树和姹紫嫣红的花卉相搭配，结合乔木下的花卉草坪，形成有层次的植物群落，发挥其释氧固炭、消声滞尘、杀菌防霾，保护路基、减少水土流失和提高绿化效果的作用，建设成有淳化特色的鼎盛湖左岸护坡绿化景观。</w:t>
            </w:r>
          </w:p>
          <w:p>
            <w:pPr>
              <w:pStyle w:val="null3"/>
              <w:jc w:val="both"/>
            </w:pPr>
            <w:r>
              <w:rPr>
                <w:rFonts w:ascii="仿宋_GB2312" w:hAnsi="仿宋_GB2312" w:cs="仿宋_GB2312" w:eastAsia="仿宋_GB2312"/>
                <w:sz w:val="21"/>
                <w:b/>
              </w:rPr>
              <w:t>二、指导思想</w:t>
            </w:r>
          </w:p>
          <w:p>
            <w:pPr>
              <w:pStyle w:val="null3"/>
              <w:ind w:firstLine="420"/>
              <w:jc w:val="both"/>
            </w:pPr>
            <w:r>
              <w:rPr>
                <w:rFonts w:ascii="仿宋_GB2312" w:hAnsi="仿宋_GB2312" w:cs="仿宋_GB2312" w:eastAsia="仿宋_GB2312"/>
                <w:sz w:val="21"/>
              </w:rPr>
              <w:t>以生态文明思想及来陕考察重要讲话重要指示为指导，按照水土保持规划设计规范，始终树立自然和谐相容的理念，坚持</w:t>
            </w:r>
            <w:r>
              <w:rPr>
                <w:rFonts w:ascii="仿宋_GB2312" w:hAnsi="仿宋_GB2312" w:cs="仿宋_GB2312" w:eastAsia="仿宋_GB2312"/>
                <w:sz w:val="21"/>
              </w:rPr>
              <w:t>“统筹规划、整体实施、因地制宜、适地适树”的原则，根据项目用地规划及绿化现状提出布局合理，充分考虑项目区实情，使设计、施工与区域自然景观及生态环境达到完美切合。</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设计原则</w:t>
            </w:r>
          </w:p>
          <w:p>
            <w:pPr>
              <w:pStyle w:val="null3"/>
              <w:jc w:val="both"/>
            </w:pPr>
            <w:r>
              <w:rPr>
                <w:rFonts w:ascii="仿宋_GB2312" w:hAnsi="仿宋_GB2312" w:cs="仿宋_GB2312" w:eastAsia="仿宋_GB2312"/>
                <w:sz w:val="21"/>
                <w:b/>
              </w:rPr>
              <w:t>(一)景观设计原则</w:t>
            </w:r>
          </w:p>
          <w:p>
            <w:pPr>
              <w:pStyle w:val="null3"/>
              <w:ind w:firstLine="420"/>
              <w:jc w:val="both"/>
            </w:pPr>
            <w:r>
              <w:rPr>
                <w:rFonts w:ascii="仿宋_GB2312" w:hAnsi="仿宋_GB2312" w:cs="仿宋_GB2312" w:eastAsia="仿宋_GB2312"/>
                <w:sz w:val="21"/>
              </w:rPr>
              <w:t>(1)水土保持原则。严格按照《生产建设项目水土保持技术标准》(GB50433-2018)、《水土保持项目前期设计文件编制技术规程》(SL/T447-2026)要点，采取预防为主、保护优先，因地制宜、分区防治，系统质量、综合质量，生态优先、兼顾经济社会效益，技术可行、经济合理与主体工程衔接，可持续发展等原则开展项目设计与实施。</w:t>
            </w:r>
          </w:p>
          <w:p>
            <w:pPr>
              <w:pStyle w:val="null3"/>
              <w:ind w:firstLine="420"/>
              <w:jc w:val="both"/>
            </w:pPr>
            <w:r>
              <w:rPr>
                <w:rFonts w:ascii="仿宋_GB2312" w:hAnsi="仿宋_GB2312" w:cs="仿宋_GB2312" w:eastAsia="仿宋_GB2312"/>
                <w:sz w:val="21"/>
              </w:rPr>
              <w:t>(2)承载性原则。针对本项目特点，环境景观设计中在一定程度上体现自然景观、社会风俗文化，使项目区成为地区自然景观和风俗文化特点的承载体，成为体现项目区特点的文化走廊。</w:t>
            </w:r>
          </w:p>
          <w:p>
            <w:pPr>
              <w:pStyle w:val="null3"/>
              <w:ind w:firstLine="420"/>
              <w:jc w:val="both"/>
            </w:pPr>
            <w:r>
              <w:rPr>
                <w:rFonts w:ascii="仿宋_GB2312" w:hAnsi="仿宋_GB2312" w:cs="仿宋_GB2312" w:eastAsia="仿宋_GB2312"/>
                <w:sz w:val="21"/>
              </w:rPr>
              <w:t>(3)经济性原则。设计中因地制宜、适地种树、综合利用，使设计达到技术上可行、经济上合理，实现资源节约化和集约化。</w:t>
            </w:r>
          </w:p>
          <w:p>
            <w:pPr>
              <w:pStyle w:val="null3"/>
              <w:ind w:firstLine="420"/>
              <w:jc w:val="both"/>
            </w:pPr>
            <w:r>
              <w:rPr>
                <w:rFonts w:ascii="仿宋_GB2312" w:hAnsi="仿宋_GB2312" w:cs="仿宋_GB2312" w:eastAsia="仿宋_GB2312"/>
                <w:sz w:val="21"/>
              </w:rPr>
              <w:t>(4)整体性原则。景观设计构成中，把鼎盛湖左岸护坡作为一个整体通盘考虑。绿化应采用大分段逐步过渡，形成连续不断、动中有变的“人文景观”</w:t>
            </w:r>
          </w:p>
          <w:p>
            <w:pPr>
              <w:pStyle w:val="null3"/>
              <w:jc w:val="both"/>
            </w:pPr>
            <w:r>
              <w:rPr>
                <w:rFonts w:ascii="仿宋_GB2312" w:hAnsi="仿宋_GB2312" w:cs="仿宋_GB2312" w:eastAsia="仿宋_GB2312"/>
                <w:sz w:val="21"/>
                <w:b/>
              </w:rPr>
              <w:t>(二)绿化设计原则</w:t>
            </w:r>
          </w:p>
          <w:p>
            <w:pPr>
              <w:pStyle w:val="null3"/>
              <w:ind w:firstLine="420"/>
              <w:jc w:val="both"/>
            </w:pPr>
            <w:r>
              <w:rPr>
                <w:rFonts w:ascii="仿宋_GB2312" w:hAnsi="仿宋_GB2312" w:cs="仿宋_GB2312" w:eastAsia="仿宋_GB2312"/>
                <w:sz w:val="21"/>
              </w:rPr>
              <w:t>(1)整体规划、科学设计，因地制宜，突出特色的原则，优化布局结构、稳妥有序推进鼎盛湖左岸护坡绿化建设。</w:t>
            </w:r>
          </w:p>
          <w:p>
            <w:pPr>
              <w:pStyle w:val="null3"/>
              <w:ind w:firstLine="420"/>
              <w:jc w:val="both"/>
            </w:pPr>
            <w:r>
              <w:rPr>
                <w:rFonts w:ascii="仿宋_GB2312" w:hAnsi="仿宋_GB2312" w:cs="仿宋_GB2312" w:eastAsia="仿宋_GB2312"/>
                <w:sz w:val="21"/>
              </w:rPr>
              <w:t>(2)以生态性和群落性为指导，突出“人与自然相融”的原则。将乔灌草有机结合，复合的层次和相宜的色彩，构成一个和谐有序、稳定的植物群落，发挥出持续永久的综合性生态功能。</w:t>
            </w:r>
          </w:p>
          <w:p>
            <w:pPr>
              <w:pStyle w:val="null3"/>
              <w:ind w:firstLine="420"/>
              <w:jc w:val="both"/>
            </w:pPr>
            <w:r>
              <w:rPr>
                <w:rFonts w:ascii="仿宋_GB2312" w:hAnsi="仿宋_GB2312" w:cs="仿宋_GB2312" w:eastAsia="仿宋_GB2312"/>
                <w:sz w:val="21"/>
              </w:rPr>
              <w:t>(3)大手笔、小尺度的手法和特色鲜明、多样细致的设计构想相结合。全面规划，合理布局，形成点、线、块相结合，自成系统的绿化景观格局。</w:t>
            </w:r>
          </w:p>
          <w:p>
            <w:pPr>
              <w:pStyle w:val="null3"/>
              <w:ind w:firstLine="420"/>
              <w:jc w:val="both"/>
            </w:pPr>
            <w:r>
              <w:rPr>
                <w:rFonts w:ascii="仿宋_GB2312" w:hAnsi="仿宋_GB2312" w:cs="仿宋_GB2312" w:eastAsia="仿宋_GB2312"/>
                <w:sz w:val="21"/>
              </w:rPr>
              <w:t>(4)适地适树和可操作性原则。立足原有和乡土树种、发挥资源优势，选择适应道路环境条件、生长稳定、观赏价值高和环境效益好的绿化植物种类。</w:t>
            </w:r>
          </w:p>
          <w:p>
            <w:pPr>
              <w:pStyle w:val="null3"/>
              <w:jc w:val="both"/>
            </w:pPr>
            <w:r>
              <w:rPr>
                <w:rFonts w:ascii="仿宋_GB2312" w:hAnsi="仿宋_GB2312" w:cs="仿宋_GB2312" w:eastAsia="仿宋_GB2312"/>
                <w:sz w:val="21"/>
                <w:b/>
              </w:rPr>
              <w:t>四、设计依据</w:t>
            </w:r>
          </w:p>
          <w:p>
            <w:pPr>
              <w:pStyle w:val="null3"/>
              <w:ind w:firstLine="420"/>
              <w:jc w:val="both"/>
            </w:pPr>
            <w:r>
              <w:rPr>
                <w:rFonts w:ascii="仿宋_GB2312" w:hAnsi="仿宋_GB2312" w:cs="仿宋_GB2312" w:eastAsia="仿宋_GB2312"/>
                <w:sz w:val="21"/>
              </w:rPr>
              <w:t>(1)《中华人民共和国环境保护法》;</w:t>
            </w:r>
          </w:p>
          <w:p>
            <w:pPr>
              <w:pStyle w:val="null3"/>
              <w:ind w:firstLine="420"/>
              <w:jc w:val="both"/>
            </w:pPr>
            <w:r>
              <w:rPr>
                <w:rFonts w:ascii="仿宋_GB2312" w:hAnsi="仿宋_GB2312" w:cs="仿宋_GB2312" w:eastAsia="仿宋_GB2312"/>
                <w:sz w:val="21"/>
              </w:rPr>
              <w:t>(2)《中华人民共和国水土保持法》;</w:t>
            </w:r>
          </w:p>
          <w:p>
            <w:pPr>
              <w:pStyle w:val="null3"/>
              <w:ind w:firstLine="420"/>
              <w:jc w:val="both"/>
            </w:pPr>
            <w:r>
              <w:rPr>
                <w:rFonts w:ascii="仿宋_GB2312" w:hAnsi="仿宋_GB2312" w:cs="仿宋_GB2312" w:eastAsia="仿宋_GB2312"/>
                <w:sz w:val="21"/>
              </w:rPr>
              <w:t>(3)《生产建设项目水土保持技术标准》(GB50433-2018);</w:t>
            </w:r>
          </w:p>
          <w:p>
            <w:pPr>
              <w:pStyle w:val="null3"/>
              <w:ind w:firstLine="420"/>
              <w:jc w:val="both"/>
            </w:pPr>
            <w:r>
              <w:rPr>
                <w:rFonts w:ascii="仿宋_GB2312" w:hAnsi="仿宋_GB2312" w:cs="仿宋_GB2312" w:eastAsia="仿宋_GB2312"/>
                <w:sz w:val="21"/>
              </w:rPr>
              <w:t>(4)《水土保持项目前期设计文件编制技术规程》(SL/T447-2026);</w:t>
            </w:r>
          </w:p>
          <w:p>
            <w:pPr>
              <w:pStyle w:val="null3"/>
              <w:ind w:firstLine="420"/>
              <w:jc w:val="both"/>
            </w:pPr>
            <w:r>
              <w:rPr>
                <w:rFonts w:ascii="仿宋_GB2312" w:hAnsi="仿宋_GB2312" w:cs="仿宋_GB2312" w:eastAsia="仿宋_GB2312"/>
                <w:sz w:val="21"/>
              </w:rPr>
              <w:t>(5)《造林作业设计规程》(LY/T1607-2024);</w:t>
            </w:r>
          </w:p>
          <w:p>
            <w:pPr>
              <w:pStyle w:val="null3"/>
              <w:ind w:firstLine="420"/>
              <w:jc w:val="both"/>
            </w:pPr>
            <w:r>
              <w:rPr>
                <w:rFonts w:ascii="仿宋_GB2312" w:hAnsi="仿宋_GB2312" w:cs="仿宋_GB2312" w:eastAsia="仿宋_GB2312"/>
                <w:sz w:val="21"/>
              </w:rPr>
              <w:t>(6)《造林技术规程》(GB/T15776-2023);</w:t>
            </w:r>
          </w:p>
          <w:p>
            <w:pPr>
              <w:pStyle w:val="null3"/>
              <w:ind w:firstLine="420"/>
              <w:jc w:val="both"/>
            </w:pPr>
            <w:r>
              <w:rPr>
                <w:rFonts w:ascii="仿宋_GB2312" w:hAnsi="仿宋_GB2312" w:cs="仿宋_GB2312" w:eastAsia="仿宋_GB2312"/>
                <w:sz w:val="21"/>
              </w:rPr>
              <w:t>(7)《陕西省造林标准》(DB61/T-142-2021);</w:t>
            </w:r>
          </w:p>
          <w:p>
            <w:pPr>
              <w:pStyle w:val="null3"/>
              <w:ind w:firstLine="420"/>
              <w:jc w:val="both"/>
            </w:pPr>
            <w:r>
              <w:rPr>
                <w:rFonts w:ascii="仿宋_GB2312" w:hAnsi="仿宋_GB2312" w:cs="仿宋_GB2312" w:eastAsia="仿宋_GB2312"/>
                <w:sz w:val="21"/>
              </w:rPr>
              <w:t>(8)《黄土高原水土流失综合治理技术规范》(DB61/T-1547-2022);</w:t>
            </w:r>
          </w:p>
          <w:p>
            <w:pPr>
              <w:pStyle w:val="null3"/>
              <w:ind w:firstLine="420"/>
              <w:jc w:val="both"/>
            </w:pPr>
            <w:r>
              <w:rPr>
                <w:rFonts w:ascii="仿宋_GB2312" w:hAnsi="仿宋_GB2312" w:cs="仿宋_GB2312" w:eastAsia="仿宋_GB2312"/>
                <w:sz w:val="21"/>
              </w:rPr>
              <w:t>(9)《陕西省主要造林树种苗木质量分级》(DB61/T378-2006);</w:t>
            </w:r>
          </w:p>
          <w:p>
            <w:pPr>
              <w:pStyle w:val="null3"/>
              <w:ind w:firstLine="420"/>
              <w:jc w:val="both"/>
            </w:pPr>
            <w:r>
              <w:rPr>
                <w:rFonts w:ascii="仿宋_GB2312" w:hAnsi="仿宋_GB2312" w:cs="仿宋_GB2312" w:eastAsia="仿宋_GB2312"/>
                <w:sz w:val="21"/>
              </w:rPr>
              <w:t>(10)其它相关的文献资料、调查资料与图件资料等。</w:t>
            </w:r>
          </w:p>
          <w:p>
            <w:pPr>
              <w:pStyle w:val="null3"/>
              <w:jc w:val="both"/>
            </w:pPr>
            <w:r>
              <w:rPr>
                <w:rFonts w:ascii="仿宋_GB2312" w:hAnsi="仿宋_GB2312" w:cs="仿宋_GB2312" w:eastAsia="仿宋_GB2312"/>
                <w:sz w:val="21"/>
                <w:b/>
              </w:rPr>
              <w:t>五、项目建设内容及规模</w:t>
            </w:r>
          </w:p>
          <w:p>
            <w:pPr>
              <w:pStyle w:val="null3"/>
              <w:jc w:val="both"/>
            </w:pPr>
            <w:r>
              <w:rPr>
                <w:rFonts w:ascii="仿宋_GB2312" w:hAnsi="仿宋_GB2312" w:cs="仿宋_GB2312" w:eastAsia="仿宋_GB2312"/>
                <w:sz w:val="21"/>
                <w:b/>
              </w:rPr>
              <w:t>(一)项目建设内容</w:t>
            </w:r>
          </w:p>
          <w:p>
            <w:pPr>
              <w:pStyle w:val="null3"/>
              <w:ind w:firstLine="420"/>
              <w:jc w:val="both"/>
            </w:pPr>
            <w:r>
              <w:rPr>
                <w:rFonts w:ascii="仿宋_GB2312" w:hAnsi="仿宋_GB2312" w:cs="仿宋_GB2312" w:eastAsia="仿宋_GB2312"/>
                <w:sz w:val="21"/>
              </w:rPr>
              <w:t>根据项目建设要求，确定项目建设内容主要为淳化县冶峪河鼎盛湖左岸护坡绿化，不存在临时工程。</w:t>
            </w:r>
          </w:p>
          <w:p>
            <w:pPr>
              <w:pStyle w:val="null3"/>
              <w:jc w:val="both"/>
            </w:pPr>
            <w:r>
              <w:rPr>
                <w:rFonts w:ascii="仿宋_GB2312" w:hAnsi="仿宋_GB2312" w:cs="仿宋_GB2312" w:eastAsia="仿宋_GB2312"/>
                <w:sz w:val="21"/>
                <w:b/>
              </w:rPr>
              <w:t>(二)项目建设规模</w:t>
            </w:r>
          </w:p>
          <w:p>
            <w:pPr>
              <w:pStyle w:val="null3"/>
              <w:ind w:firstLine="420"/>
              <w:jc w:val="both"/>
            </w:pPr>
            <w:r>
              <w:rPr>
                <w:rFonts w:ascii="仿宋_GB2312" w:hAnsi="仿宋_GB2312" w:cs="仿宋_GB2312" w:eastAsia="仿宋_GB2312"/>
                <w:sz w:val="21"/>
              </w:rPr>
              <w:t>按照项目建设内容，淳化县冶峪河鼎盛湖左岸护坡绿化工程地块面积</w:t>
            </w:r>
            <w:r>
              <w:rPr>
                <w:rFonts w:ascii="仿宋_GB2312" w:hAnsi="仿宋_GB2312" w:cs="仿宋_GB2312" w:eastAsia="仿宋_GB2312"/>
                <w:sz w:val="21"/>
              </w:rPr>
              <w:t>5547m</w:t>
            </w:r>
            <w:r>
              <w:rPr>
                <w:rFonts w:ascii="仿宋_GB2312" w:hAnsi="仿宋_GB2312" w:cs="仿宋_GB2312" w:eastAsia="仿宋_GB2312"/>
                <w:sz w:val="21"/>
                <w:vertAlign w:val="superscript"/>
              </w:rPr>
              <w:t>2</w:t>
            </w:r>
            <w:r>
              <w:rPr>
                <w:rFonts w:ascii="仿宋_GB2312" w:hAnsi="仿宋_GB2312" w:cs="仿宋_GB2312" w:eastAsia="仿宋_GB2312"/>
                <w:sz w:val="21"/>
              </w:rPr>
              <w:t>，可作业面积</w:t>
            </w:r>
            <w:r>
              <w:rPr>
                <w:rFonts w:ascii="仿宋_GB2312" w:hAnsi="仿宋_GB2312" w:cs="仿宋_GB2312" w:eastAsia="仿宋_GB2312"/>
                <w:sz w:val="21"/>
              </w:rPr>
              <w:t>4605m</w:t>
            </w:r>
            <w:r>
              <w:rPr>
                <w:rFonts w:ascii="仿宋_GB2312" w:hAnsi="仿宋_GB2312" w:cs="仿宋_GB2312" w:eastAsia="仿宋_GB2312"/>
                <w:sz w:val="21"/>
                <w:vertAlign w:val="superscript"/>
              </w:rPr>
              <w:t>2</w:t>
            </w:r>
            <w:r>
              <w:rPr>
                <w:rFonts w:ascii="仿宋_GB2312" w:hAnsi="仿宋_GB2312" w:cs="仿宋_GB2312" w:eastAsia="仿宋_GB2312"/>
                <w:sz w:val="21"/>
              </w:rPr>
              <w:t>，填</w:t>
            </w:r>
            <w:r>
              <w:rPr>
                <w:rFonts w:ascii="仿宋_GB2312" w:hAnsi="仿宋_GB2312" w:cs="仿宋_GB2312" w:eastAsia="仿宋_GB2312"/>
                <w:sz w:val="21"/>
              </w:rPr>
              <w:t>/挖土数量1200m</w:t>
            </w:r>
            <w:r>
              <w:rPr>
                <w:rFonts w:ascii="仿宋_GB2312" w:hAnsi="仿宋_GB2312" w:cs="仿宋_GB2312" w:eastAsia="仿宋_GB2312"/>
                <w:sz w:val="21"/>
                <w:vertAlign w:val="superscript"/>
              </w:rPr>
              <w:t>3</w:t>
            </w:r>
            <w:r>
              <w:rPr>
                <w:rFonts w:ascii="仿宋_GB2312" w:hAnsi="仿宋_GB2312" w:cs="仿宋_GB2312" w:eastAsia="仿宋_GB2312"/>
                <w:sz w:val="21"/>
              </w:rPr>
              <w:t>，划分</w:t>
            </w:r>
            <w:r>
              <w:rPr>
                <w:rFonts w:ascii="仿宋_GB2312" w:hAnsi="仿宋_GB2312" w:cs="仿宋_GB2312" w:eastAsia="仿宋_GB2312"/>
                <w:sz w:val="21"/>
              </w:rPr>
              <w:t>7个小班作业区域。</w:t>
            </w:r>
          </w:p>
          <w:p>
            <w:pPr>
              <w:pStyle w:val="null3"/>
              <w:ind w:firstLine="420"/>
              <w:jc w:val="both"/>
            </w:pPr>
            <w:r>
              <w:rPr>
                <w:rFonts w:ascii="仿宋_GB2312" w:hAnsi="仿宋_GB2312" w:cs="仿宋_GB2312" w:eastAsia="仿宋_GB2312"/>
                <w:sz w:val="21"/>
              </w:rPr>
              <w:t>项目共需栽植及浇水乔木</w:t>
            </w:r>
            <w:r>
              <w:rPr>
                <w:rFonts w:ascii="仿宋_GB2312" w:hAnsi="仿宋_GB2312" w:cs="仿宋_GB2312" w:eastAsia="仿宋_GB2312"/>
                <w:sz w:val="21"/>
              </w:rPr>
              <w:t>2722株，栽植灌木35000株，播种混播草1400m</w:t>
            </w:r>
            <w:r>
              <w:rPr>
                <w:rFonts w:ascii="仿宋_GB2312" w:hAnsi="仿宋_GB2312" w:cs="仿宋_GB2312" w:eastAsia="仿宋_GB2312"/>
                <w:sz w:val="21"/>
                <w:vertAlign w:val="superscript"/>
              </w:rPr>
              <w:t>2</w:t>
            </w:r>
            <w:r>
              <w:rPr>
                <w:rFonts w:ascii="仿宋_GB2312" w:hAnsi="仿宋_GB2312" w:cs="仿宋_GB2312" w:eastAsia="仿宋_GB2312"/>
                <w:sz w:val="21"/>
              </w:rPr>
              <w:t>，挖填土方</w:t>
            </w:r>
            <w:r>
              <w:rPr>
                <w:rFonts w:ascii="仿宋_GB2312" w:hAnsi="仿宋_GB2312" w:cs="仿宋_GB2312" w:eastAsia="仿宋_GB2312"/>
                <w:sz w:val="21"/>
              </w:rPr>
              <w:t>1200m</w:t>
            </w:r>
            <w:r>
              <w:rPr>
                <w:rFonts w:ascii="仿宋_GB2312" w:hAnsi="仿宋_GB2312" w:cs="仿宋_GB2312" w:eastAsia="仿宋_GB2312"/>
                <w:sz w:val="21"/>
                <w:vertAlign w:val="superscript"/>
              </w:rPr>
              <w:t>3</w:t>
            </w:r>
            <w:r>
              <w:rPr>
                <w:rFonts w:ascii="仿宋_GB2312" w:hAnsi="仿宋_GB2312" w:cs="仿宋_GB2312" w:eastAsia="仿宋_GB2312"/>
                <w:sz w:val="21"/>
              </w:rPr>
              <w:t>，垃圾清运</w:t>
            </w:r>
            <w:r>
              <w:rPr>
                <w:rFonts w:ascii="仿宋_GB2312" w:hAnsi="仿宋_GB2312" w:cs="仿宋_GB2312" w:eastAsia="仿宋_GB2312"/>
                <w:sz w:val="21"/>
              </w:rPr>
              <w:t>260m</w:t>
            </w:r>
            <w:r>
              <w:rPr>
                <w:rFonts w:ascii="仿宋_GB2312" w:hAnsi="仿宋_GB2312" w:cs="仿宋_GB2312" w:eastAsia="仿宋_GB2312"/>
                <w:sz w:val="21"/>
                <w:vertAlign w:val="superscript"/>
              </w:rPr>
              <w:t>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六、绿化设计</w:t>
            </w:r>
          </w:p>
          <w:p>
            <w:pPr>
              <w:pStyle w:val="null3"/>
              <w:jc w:val="both"/>
            </w:pPr>
            <w:r>
              <w:rPr>
                <w:rFonts w:ascii="仿宋_GB2312" w:hAnsi="仿宋_GB2312" w:cs="仿宋_GB2312" w:eastAsia="仿宋_GB2312"/>
                <w:sz w:val="21"/>
                <w:b/>
              </w:rPr>
              <w:t>(一)植物设计</w:t>
            </w:r>
          </w:p>
          <w:p>
            <w:pPr>
              <w:pStyle w:val="null3"/>
              <w:ind w:firstLine="422"/>
              <w:jc w:val="both"/>
            </w:pPr>
            <w:r>
              <w:rPr>
                <w:rFonts w:ascii="仿宋_GB2312" w:hAnsi="仿宋_GB2312" w:cs="仿宋_GB2312" w:eastAsia="仿宋_GB2312"/>
                <w:sz w:val="21"/>
                <w:b/>
              </w:rPr>
              <w:t>(1)凸显开花植物和色叶植物</w:t>
            </w:r>
          </w:p>
          <w:p>
            <w:pPr>
              <w:pStyle w:val="null3"/>
              <w:ind w:firstLine="420"/>
              <w:jc w:val="both"/>
            </w:pPr>
            <w:r>
              <w:rPr>
                <w:rFonts w:ascii="仿宋_GB2312" w:hAnsi="仿宋_GB2312" w:cs="仿宋_GB2312" w:eastAsia="仿宋_GB2312"/>
                <w:sz w:val="21"/>
              </w:rPr>
              <w:t>用白皮松、樱花、高杆月季、玉兰等植物作为造景的主打树种，尽可能利用有限的植物营造花景。另外，配合使用花卉和色叶植物等，使得整块绿地的色调多姿多彩。</w:t>
            </w:r>
          </w:p>
          <w:p>
            <w:pPr>
              <w:pStyle w:val="null3"/>
              <w:ind w:firstLine="422"/>
              <w:jc w:val="both"/>
            </w:pPr>
            <w:r>
              <w:rPr>
                <w:rFonts w:ascii="仿宋_GB2312" w:hAnsi="仿宋_GB2312" w:cs="仿宋_GB2312" w:eastAsia="仿宋_GB2312"/>
                <w:sz w:val="21"/>
                <w:b/>
              </w:rPr>
              <w:t>(2)</w:t>
            </w:r>
            <w:r>
              <w:rPr>
                <w:rFonts w:ascii="仿宋_GB2312" w:hAnsi="仿宋_GB2312" w:cs="仿宋_GB2312" w:eastAsia="仿宋_GB2312"/>
                <w:sz w:val="21"/>
                <w:b/>
              </w:rPr>
              <w:t>尊重适地适树和乡土树为主</w:t>
            </w:r>
          </w:p>
          <w:p>
            <w:pPr>
              <w:pStyle w:val="null3"/>
              <w:ind w:firstLine="420"/>
              <w:jc w:val="both"/>
            </w:pPr>
            <w:r>
              <w:rPr>
                <w:rFonts w:ascii="仿宋_GB2312" w:hAnsi="仿宋_GB2312" w:cs="仿宋_GB2312" w:eastAsia="仿宋_GB2312"/>
                <w:sz w:val="21"/>
              </w:rPr>
              <w:t>所选树种均是在淳化地区久经考验的品种，如白皮松、樱花、高杆月季、玉兰等尤其适宜在当地生长，大多数树种都具备耐干旱性土壤的特征。</w:t>
            </w:r>
          </w:p>
          <w:p>
            <w:pPr>
              <w:pStyle w:val="null3"/>
              <w:ind w:firstLine="422"/>
              <w:jc w:val="both"/>
            </w:pPr>
            <w:r>
              <w:rPr>
                <w:rFonts w:ascii="仿宋_GB2312" w:hAnsi="仿宋_GB2312" w:cs="仿宋_GB2312" w:eastAsia="仿宋_GB2312"/>
                <w:sz w:val="21"/>
                <w:b/>
              </w:rPr>
              <w:t>(3)美观大气、配置合理</w:t>
            </w:r>
          </w:p>
          <w:p>
            <w:pPr>
              <w:pStyle w:val="null3"/>
              <w:ind w:firstLine="420"/>
              <w:jc w:val="both"/>
            </w:pPr>
            <w:r>
              <w:rPr>
                <w:rFonts w:ascii="仿宋_GB2312" w:hAnsi="仿宋_GB2312" w:cs="仿宋_GB2312" w:eastAsia="仿宋_GB2312"/>
                <w:sz w:val="21"/>
              </w:rPr>
              <w:t>植物景观是绿地最重要、最广泛的景观要素。本项目植物配置根据淳化气候与土壤条件特征，采用一定比例的开花树种，尽量达到绿化美化的目标。</w:t>
            </w:r>
          </w:p>
          <w:p>
            <w:pPr>
              <w:pStyle w:val="null3"/>
              <w:jc w:val="both"/>
            </w:pPr>
            <w:r>
              <w:rPr>
                <w:rFonts w:ascii="仿宋_GB2312" w:hAnsi="仿宋_GB2312" w:cs="仿宋_GB2312" w:eastAsia="仿宋_GB2312"/>
                <w:sz w:val="21"/>
                <w:b/>
              </w:rPr>
              <w:t>(二)主要景观植物简介</w:t>
            </w:r>
          </w:p>
          <w:p>
            <w:pPr>
              <w:pStyle w:val="null3"/>
              <w:ind w:firstLine="420"/>
              <w:jc w:val="both"/>
            </w:pPr>
            <w:r>
              <w:rPr>
                <w:rFonts w:ascii="仿宋_GB2312" w:hAnsi="仿宋_GB2312" w:cs="仿宋_GB2312" w:eastAsia="仿宋_GB2312"/>
                <w:sz w:val="21"/>
              </w:rPr>
              <w:t>项目共选择</w:t>
            </w:r>
            <w:r>
              <w:rPr>
                <w:rFonts w:ascii="仿宋_GB2312" w:hAnsi="仿宋_GB2312" w:cs="仿宋_GB2312" w:eastAsia="仿宋_GB2312"/>
                <w:sz w:val="21"/>
              </w:rPr>
              <w:t>11个植物品种进行绿化营造，其中乔木树种8种、灌木2种、花草1种。</w:t>
            </w:r>
          </w:p>
          <w:p>
            <w:pPr>
              <w:pStyle w:val="null3"/>
              <w:ind w:firstLine="422"/>
              <w:jc w:val="both"/>
            </w:pPr>
            <w:r>
              <w:rPr>
                <w:rFonts w:ascii="仿宋_GB2312" w:hAnsi="仿宋_GB2312" w:cs="仿宋_GB2312" w:eastAsia="仿宋_GB2312"/>
                <w:sz w:val="21"/>
                <w:b/>
              </w:rPr>
              <w:t>(1)白皮松(Pinus bungeana)</w:t>
            </w:r>
          </w:p>
          <w:p>
            <w:pPr>
              <w:pStyle w:val="null3"/>
              <w:ind w:firstLine="420"/>
              <w:jc w:val="both"/>
            </w:pPr>
            <w:r>
              <w:rPr>
                <w:rFonts w:ascii="仿宋_GB2312" w:hAnsi="仿宋_GB2312" w:cs="仿宋_GB2312" w:eastAsia="仿宋_GB2312"/>
                <w:sz w:val="21"/>
              </w:rPr>
              <w:t>松科、松属植物。为常绿乔木</w:t>
            </w:r>
            <w:r>
              <w:rPr>
                <w:rFonts w:ascii="仿宋_GB2312" w:hAnsi="仿宋_GB2312" w:cs="仿宋_GB2312" w:eastAsia="仿宋_GB2312"/>
                <w:sz w:val="21"/>
              </w:rPr>
              <w:t>；</w:t>
            </w:r>
            <w:r>
              <w:rPr>
                <w:rFonts w:ascii="仿宋_GB2312" w:hAnsi="仿宋_GB2312" w:cs="仿宋_GB2312" w:eastAsia="仿宋_GB2312"/>
                <w:sz w:val="21"/>
              </w:rPr>
              <w:t>树皮呈白色或褐白相间，薄片状脱落，内皮粉白色，老树树皮通体洁白，极具辨识度</w:t>
            </w:r>
            <w:r>
              <w:rPr>
                <w:rFonts w:ascii="仿宋_GB2312" w:hAnsi="仿宋_GB2312" w:cs="仿宋_GB2312" w:eastAsia="仿宋_GB2312"/>
                <w:sz w:val="21"/>
              </w:rPr>
              <w:t>；</w:t>
            </w:r>
            <w:r>
              <w:rPr>
                <w:rFonts w:ascii="仿宋_GB2312" w:hAnsi="仿宋_GB2312" w:cs="仿宋_GB2312" w:eastAsia="仿宋_GB2312"/>
                <w:sz w:val="21"/>
              </w:rPr>
              <w:t>一年生枝灰绿色，无毛，冬芽红褐色，无树脂。针叶三针一束，叶鞘早落，叶片粗硬。白皮松多生长在海拔</w:t>
            </w:r>
            <w:r>
              <w:rPr>
                <w:rFonts w:ascii="仿宋_GB2312" w:hAnsi="仿宋_GB2312" w:cs="仿宋_GB2312" w:eastAsia="仿宋_GB2312"/>
                <w:sz w:val="21"/>
              </w:rPr>
              <w:t>500-1800米的山地林区，喜光，耐半阴</w:t>
            </w:r>
            <w:r>
              <w:rPr>
                <w:rFonts w:ascii="仿宋_GB2312" w:hAnsi="仿宋_GB2312" w:cs="仿宋_GB2312" w:eastAsia="仿宋_GB2312"/>
                <w:sz w:val="21"/>
              </w:rPr>
              <w:t>；</w:t>
            </w:r>
            <w:r>
              <w:rPr>
                <w:rFonts w:ascii="仿宋_GB2312" w:hAnsi="仿宋_GB2312" w:cs="仿宋_GB2312" w:eastAsia="仿宋_GB2312"/>
                <w:sz w:val="21"/>
              </w:rPr>
              <w:t>耐寒性强，不耐水湿，忌低洼积水，耐干旱、耐土壤瘠薄，对土壤要求不严，在中性、酸性及石灰性土壤中均可正常生长，深根性树种，抗风能力强，生长速度偏慢，寿命悠长，同时具备较强的抗污染、抗烟尘能力。</w:t>
            </w:r>
          </w:p>
          <w:p>
            <w:pPr>
              <w:pStyle w:val="null3"/>
              <w:ind w:firstLine="420"/>
              <w:jc w:val="both"/>
            </w:pPr>
            <w:r>
              <w:rPr>
                <w:rFonts w:ascii="仿宋_GB2312" w:hAnsi="仿宋_GB2312" w:cs="仿宋_GB2312" w:eastAsia="仿宋_GB2312"/>
                <w:sz w:val="21"/>
              </w:rPr>
              <w:t>白皮松树形挺拔苍劲，树干白皮斑驳素雅，四季常绿，姿态古雅优美</w:t>
            </w:r>
            <w:r>
              <w:rPr>
                <w:rFonts w:ascii="仿宋_GB2312" w:hAnsi="仿宋_GB2312" w:cs="仿宋_GB2312" w:eastAsia="仿宋_GB2312"/>
                <w:sz w:val="21"/>
              </w:rPr>
              <w:t>;白皮松适应性强、树姿独特、抗性突出，是优良的园林绿化、观赏树种。宜做孤赏树、行道树、庭荫树及风景林树种，也是厂矿区、城市绿地、古典园林配植的优质树种。观赏特性白皮松常年浓绿，树干色泽别致，观干、观形效果俱佳，常孤植、丛植于庭院、公园、景区，也广泛用于道路绿化、荒山造林及生态防护绿化。</w:t>
            </w:r>
          </w:p>
          <w:p>
            <w:pPr>
              <w:pStyle w:val="null3"/>
              <w:ind w:firstLine="422"/>
              <w:jc w:val="both"/>
            </w:pPr>
            <w:r>
              <w:rPr>
                <w:rFonts w:ascii="仿宋_GB2312" w:hAnsi="仿宋_GB2312" w:cs="仿宋_GB2312" w:eastAsia="仿宋_GB2312"/>
                <w:sz w:val="21"/>
                <w:b/>
              </w:rPr>
              <w:t>(2) 樱花 (Cerasus yedoensis)</w:t>
            </w:r>
          </w:p>
          <w:p>
            <w:pPr>
              <w:pStyle w:val="null3"/>
              <w:ind w:firstLine="420"/>
              <w:jc w:val="both"/>
            </w:pPr>
            <w:r>
              <w:rPr>
                <w:rFonts w:ascii="仿宋_GB2312" w:hAnsi="仿宋_GB2312" w:cs="仿宋_GB2312" w:eastAsia="仿宋_GB2312"/>
                <w:sz w:val="21"/>
              </w:rPr>
              <w:t>蔷薇科樱属，落叶乔木。几种植物的统称，在《中国植物志》新修订的名称中专指</w:t>
            </w:r>
            <w:r>
              <w:rPr>
                <w:rFonts w:ascii="仿宋_GB2312" w:hAnsi="仿宋_GB2312" w:cs="仿宋_GB2312" w:eastAsia="仿宋_GB2312"/>
                <w:sz w:val="21"/>
              </w:rPr>
              <w:t>“东京樱花”，亦称“日本樱花”。樱花原产北半球温带环喜马拉雅山地区，在世界各地都有生长，主要在日本国生长。花每枝3到5朵，成伞状花序，花瓣先端缺刻，花色多为白色、粉红色。花常于3月与叶同放或叶后开花，随季节变化，樱花花色幽香艳丽，常用于园林观赏。樱花可分单瓣和复瓣两类，单瓣类能开花结果，复瓣类多半不结果。樱花为温带、亚热带树种，性喜阳光和温暖湿润的气候条件，有一定抗寒能力。对土壤的要求不严，宜在疏松肥沃、排水良好的砂质壤土生长，但不耐盐碱土。根系较浅，忌积水低洼地。有一定的耐寒和耐旱力，但对烟及风抗力弱</w:t>
            </w:r>
          </w:p>
          <w:p>
            <w:pPr>
              <w:pStyle w:val="null3"/>
              <w:ind w:firstLine="422"/>
              <w:jc w:val="both"/>
            </w:pPr>
            <w:r>
              <w:rPr>
                <w:rFonts w:ascii="仿宋_GB2312" w:hAnsi="仿宋_GB2312" w:cs="仿宋_GB2312" w:eastAsia="仿宋_GB2312"/>
                <w:sz w:val="21"/>
                <w:b/>
              </w:rPr>
              <w:t>(3) 高杆卫矛 (Euonymus alatus )</w:t>
            </w:r>
          </w:p>
          <w:p>
            <w:pPr>
              <w:pStyle w:val="null3"/>
              <w:ind w:firstLine="420"/>
              <w:jc w:val="both"/>
            </w:pPr>
            <w:r>
              <w:rPr>
                <w:rFonts w:ascii="仿宋_GB2312" w:hAnsi="仿宋_GB2312" w:cs="仿宋_GB2312" w:eastAsia="仿宋_GB2312"/>
                <w:sz w:val="21"/>
              </w:rPr>
              <w:t>卫矛科、卫矛属植物，为卫矛的园艺造型品种</w:t>
            </w:r>
            <w:r>
              <w:rPr>
                <w:rFonts w:ascii="仿宋_GB2312" w:hAnsi="仿宋_GB2312" w:cs="仿宋_GB2312" w:eastAsia="仿宋_GB2312"/>
                <w:sz w:val="21"/>
              </w:rPr>
              <w:t>(高杆+球形冠)，属落叶灌木或小乔木。植株高度1-3米，主干直立明显(高杆)，树皮灰绿色，光滑;小枝四棱形，具2-4 列宽阔木栓翅，冬芽圆形;叶片对生，卵状椭圆形，边缘有细锯齿，两面光滑无毛，叶柄短。高杆卫矛多生长于山谷、林缘及岩石旁，喜光，稍耐半阴;耐寒性强(耐-15°C低温)，耐旱，不耐积水，对土壤要求不严，中性、酸性及石灰性土壤均可生长，耐轻度盐碱，萌芽力强，极耐修剪，生长速度中等，抗污染、抗烟尘能力突出。</w:t>
            </w:r>
          </w:p>
          <w:p>
            <w:pPr>
              <w:pStyle w:val="null3"/>
              <w:ind w:firstLine="420"/>
              <w:jc w:val="both"/>
            </w:pPr>
            <w:r>
              <w:rPr>
                <w:rFonts w:ascii="仿宋_GB2312" w:hAnsi="仿宋_GB2312" w:cs="仿宋_GB2312" w:eastAsia="仿宋_GB2312"/>
                <w:sz w:val="21"/>
              </w:rPr>
              <w:t>高杆卫矛树形规整，主干挺拔，冠形圆润，四季可赏</w:t>
            </w:r>
            <w:r>
              <w:rPr>
                <w:rFonts w:ascii="仿宋_GB2312" w:hAnsi="仿宋_GB2312" w:cs="仿宋_GB2312" w:eastAsia="仿宋_GB2312"/>
                <w:sz w:val="21"/>
              </w:rPr>
              <w:t>:春季嫩叶翠绿，秋季叶片紫红，艳丽夺目;5-6月开白绿色小花，7-10月结紫红色蒴果，开裂后露出橙红色假种皮，形似红珠，挂枝持久。高杆卫矛适应性强、造型美观、季相分明，是优良的园林绿化与造型树种。宜做行道树、庭荫树、园景树及造型球配植，也广泛用于居民区、厂矿区、公园绿篱及古典园林点缀，是城市绿化中常用的骨干花灌木。</w:t>
            </w:r>
          </w:p>
          <w:p>
            <w:pPr>
              <w:pStyle w:val="null3"/>
              <w:ind w:firstLine="422"/>
              <w:jc w:val="both"/>
            </w:pPr>
            <w:r>
              <w:rPr>
                <w:rFonts w:ascii="仿宋_GB2312" w:hAnsi="仿宋_GB2312" w:cs="仿宋_GB2312" w:eastAsia="仿宋_GB2312"/>
                <w:sz w:val="21"/>
                <w:b/>
              </w:rPr>
              <w:t>(4)</w:t>
            </w:r>
            <w:r>
              <w:rPr>
                <w:rFonts w:ascii="仿宋_GB2312" w:hAnsi="仿宋_GB2312" w:cs="仿宋_GB2312" w:eastAsia="仿宋_GB2312"/>
                <w:sz w:val="21"/>
                <w:b/>
              </w:rPr>
              <w:t>高杆月季</w:t>
            </w:r>
            <w:r>
              <w:rPr>
                <w:rFonts w:ascii="仿宋_GB2312" w:hAnsi="仿宋_GB2312" w:cs="仿宋_GB2312" w:eastAsia="仿宋_GB2312"/>
                <w:sz w:val="21"/>
                <w:b/>
              </w:rPr>
              <w:t>(Rosa chinensis Jacq.)</w:t>
            </w:r>
          </w:p>
          <w:p>
            <w:pPr>
              <w:pStyle w:val="null3"/>
              <w:ind w:firstLine="420"/>
              <w:jc w:val="both"/>
            </w:pPr>
            <w:r>
              <w:rPr>
                <w:rFonts w:ascii="仿宋_GB2312" w:hAnsi="仿宋_GB2312" w:cs="仿宋_GB2312" w:eastAsia="仿宋_GB2312"/>
                <w:sz w:val="21"/>
              </w:rPr>
              <w:t>蔷薇科、蔷薇属植物，为月季的园艺嫁接品种</w:t>
            </w:r>
            <w:r>
              <w:rPr>
                <w:rFonts w:ascii="仿宋_GB2312" w:hAnsi="仿宋_GB2312" w:cs="仿宋_GB2312" w:eastAsia="仿宋_GB2312"/>
                <w:sz w:val="21"/>
              </w:rPr>
              <w:t>(又称树状月季)，属常绿或半常绿灌木。植株高1-2米，主干直立光洁(高杆)，树皮灰褐色;小枝粗壮，具短粗钩状皮刺。奇数羽状复叶，小叶3-5枚，叶片宽卵形至卵状长圆形，边缘有锐锯齿，叶面深绿有光泽。高杆月季多生长于向阳坡地、庭院及园林绿地，喜光，不耐阴;耐寒性较强(耐-10°C低温)，耐旱，忌低洼积水，喜疏松肥沃、排水良好的微酸性沙壤土，对土壤适应性较广，耐轻度盐碱，萌芽力强，耐修剪，生长速度中等，抗污染能力较好。</w:t>
            </w:r>
          </w:p>
          <w:p>
            <w:pPr>
              <w:pStyle w:val="null3"/>
              <w:ind w:firstLine="420"/>
              <w:jc w:val="both"/>
            </w:pPr>
            <w:r>
              <w:rPr>
                <w:rFonts w:ascii="仿宋_GB2312" w:hAnsi="仿宋_GB2312" w:cs="仿宋_GB2312" w:eastAsia="仿宋_GB2312"/>
                <w:sz w:val="21"/>
              </w:rPr>
              <w:t>高杆月季树形挺拔优美，冠幅饱满圆润，花期极长</w:t>
            </w:r>
            <w:r>
              <w:rPr>
                <w:rFonts w:ascii="仿宋_GB2312" w:hAnsi="仿宋_GB2312" w:cs="仿宋_GB2312" w:eastAsia="仿宋_GB2312"/>
                <w:sz w:val="21"/>
              </w:rPr>
              <w:t>:从4 月持续至10月，一年可多次开花;花型丰富(重瓣、半重瓣)，花色艳丽，涵盖红、粉、黄、白、复色等，部分品种带浓郁芳香;叶片四季浓绿，观赏期长。高杆月季适应性强、花量大、花色艳、季相效果突出，是优良的园林绿化与观花树种。宜做行道树、庭荫树、园景树及造型孤植树，也广泛用于居民区、公园、景区、厂区及庭院美化，是城市花化、香化的骨干树种。</w:t>
            </w:r>
          </w:p>
          <w:p>
            <w:pPr>
              <w:pStyle w:val="null3"/>
              <w:ind w:firstLine="422"/>
              <w:jc w:val="both"/>
            </w:pPr>
            <w:r>
              <w:rPr>
                <w:rFonts w:ascii="仿宋_GB2312" w:hAnsi="仿宋_GB2312" w:cs="仿宋_GB2312" w:eastAsia="仿宋_GB2312"/>
                <w:sz w:val="21"/>
                <w:b/>
              </w:rPr>
              <w:t>(5)</w:t>
            </w:r>
            <w:r>
              <w:rPr>
                <w:rFonts w:ascii="仿宋_GB2312" w:hAnsi="仿宋_GB2312" w:cs="仿宋_GB2312" w:eastAsia="仿宋_GB2312"/>
                <w:sz w:val="21"/>
                <w:b/>
              </w:rPr>
              <w:t>玉</w:t>
            </w:r>
            <w:r>
              <w:rPr>
                <w:rFonts w:ascii="仿宋_GB2312" w:hAnsi="仿宋_GB2312" w:cs="仿宋_GB2312" w:eastAsia="仿宋_GB2312"/>
                <w:sz w:val="21"/>
                <w:b/>
              </w:rPr>
              <w:t>兰</w:t>
            </w:r>
            <w:r>
              <w:rPr>
                <w:rFonts w:ascii="仿宋_GB2312" w:hAnsi="仿宋_GB2312" w:cs="仿宋_GB2312" w:eastAsia="仿宋_GB2312"/>
                <w:sz w:val="21"/>
                <w:b/>
              </w:rPr>
              <w:t xml:space="preserve"> </w:t>
            </w:r>
            <w:r>
              <w:rPr>
                <w:rFonts w:ascii="仿宋_GB2312" w:hAnsi="仿宋_GB2312" w:cs="仿宋_GB2312" w:eastAsia="仿宋_GB2312"/>
                <w:sz w:val="21"/>
                <w:b/>
              </w:rPr>
              <w:t>(Yulania denudata)</w:t>
            </w:r>
          </w:p>
          <w:p>
            <w:pPr>
              <w:pStyle w:val="null3"/>
              <w:ind w:firstLine="420"/>
              <w:jc w:val="both"/>
            </w:pPr>
            <w:r>
              <w:rPr>
                <w:rFonts w:ascii="仿宋_GB2312" w:hAnsi="仿宋_GB2312" w:cs="仿宋_GB2312" w:eastAsia="仿宋_GB2312"/>
                <w:sz w:val="21"/>
              </w:rPr>
              <w:t>木兰科、玉兰属植物，为落叶乔木。树皮深灰色，粗糙开裂</w:t>
            </w:r>
            <w:r>
              <w:rPr>
                <w:rFonts w:ascii="仿宋_GB2312" w:hAnsi="仿宋_GB2312" w:cs="仿宋_GB2312" w:eastAsia="仿宋_GB2312"/>
                <w:sz w:val="21"/>
              </w:rPr>
              <w:t>;小枝粗壮，淡灰褐色，冬芽密被淡灰绿色长毛。叶片倒卵形，叶端突尖，叶面深绿，叶背淡绿。玉兰自然分布于山地林间，喜光，稍耐半阴;耐寒性强，忌积水涝洼，喜湿润肥沃、排水通畅的微酸性土壤，也能在轻度碱性土中生长。根系肉质，不耐移栽，萌芽力中等，生长速度偏快，抗烟尘、抗有害气体能力良好。</w:t>
            </w:r>
          </w:p>
          <w:p>
            <w:pPr>
              <w:pStyle w:val="null3"/>
              <w:ind w:firstLine="420"/>
              <w:jc w:val="both"/>
            </w:pPr>
            <w:r>
              <w:rPr>
                <w:rFonts w:ascii="仿宋_GB2312" w:hAnsi="仿宋_GB2312" w:cs="仿宋_GB2312" w:eastAsia="仿宋_GB2312"/>
                <w:sz w:val="21"/>
              </w:rPr>
              <w:t>玉兰树姿端庄典雅，花叶并茂，季相特色鲜明</w:t>
            </w:r>
            <w:r>
              <w:rPr>
                <w:rFonts w:ascii="仿宋_GB2312" w:hAnsi="仿宋_GB2312" w:cs="仿宋_GB2312" w:eastAsia="仿宋_GB2312"/>
                <w:sz w:val="21"/>
              </w:rPr>
              <w:t>:早春先花后叶，花朵硕大洁白、亭亭玉立，花香淡雅;夏季枝叶繁茂，浓荫覆地;秋季叶片泛黄，景致清新。它观赏性佳、适应性较好，是经典的园林绿化观花树种。宜作庭荫树、园景树、行道树，常孤植、丛植于庭院、公园、景区，也可用于厂区、居住区绿化及景观造景。</w:t>
            </w:r>
          </w:p>
          <w:p>
            <w:pPr>
              <w:pStyle w:val="null3"/>
              <w:ind w:firstLine="422"/>
              <w:jc w:val="both"/>
            </w:pPr>
            <w:r>
              <w:rPr>
                <w:rFonts w:ascii="仿宋_GB2312" w:hAnsi="仿宋_GB2312" w:cs="仿宋_GB2312" w:eastAsia="仿宋_GB2312"/>
                <w:sz w:val="21"/>
                <w:b/>
              </w:rPr>
              <w:t>(6)石楠球 (Photinia serratifolia)</w:t>
            </w:r>
          </w:p>
          <w:p>
            <w:pPr>
              <w:pStyle w:val="null3"/>
              <w:ind w:firstLine="420"/>
              <w:jc w:val="both"/>
            </w:pPr>
            <w:r>
              <w:rPr>
                <w:rFonts w:ascii="仿宋_GB2312" w:hAnsi="仿宋_GB2312" w:cs="仿宋_GB2312" w:eastAsia="仿宋_GB2312"/>
                <w:sz w:val="21"/>
              </w:rPr>
              <w:t>蔷薇科、石楠属植物，为石楠修剪培育而成的造型灌木。树冠呈规整圆球状，主干较短，枝条密集</w:t>
            </w:r>
            <w:r>
              <w:rPr>
                <w:rFonts w:ascii="仿宋_GB2312" w:hAnsi="仿宋_GB2312" w:cs="仿宋_GB2312" w:eastAsia="仿宋_GB2312"/>
                <w:sz w:val="21"/>
              </w:rPr>
              <w:t>;树皮灰褐色，嫩枝被柔毛。叶片革质，长椭圆形，边缘有细锯齿，叶面光亮。石楠球原生多见于山坡、杂木林，喜光，亦耐半阴;耐寒性较好，耐旱，忌积水，对土壤要求不严，在肥沃湿润的微酸性土壤中长势最佳，耐轻度盐碱。萌芽力与萌蘖力极强，极耐修剪，生长速度中等，抗烟尘、抗有害气体能力优异。</w:t>
            </w:r>
          </w:p>
          <w:p>
            <w:pPr>
              <w:pStyle w:val="null3"/>
              <w:ind w:firstLine="420"/>
              <w:jc w:val="both"/>
            </w:pPr>
            <w:r>
              <w:rPr>
                <w:rFonts w:ascii="仿宋_GB2312" w:hAnsi="仿宋_GB2312" w:cs="仿宋_GB2312" w:eastAsia="仿宋_GB2312"/>
                <w:sz w:val="21"/>
              </w:rPr>
              <w:t>石楠球株型饱满紧凑，四季常绿，观赏效果持久</w:t>
            </w:r>
            <w:r>
              <w:rPr>
                <w:rFonts w:ascii="仿宋_GB2312" w:hAnsi="仿宋_GB2312" w:cs="仿宋_GB2312" w:eastAsia="仿宋_GB2312"/>
                <w:sz w:val="21"/>
              </w:rPr>
              <w:t>:春季新叶艳红，夏季绿叶浓亮，4-5月开白色繁密小花，秋冬结红色果实，缀满枝头。其造型规整、易养护、抗性强，是常用的园林绿化造型树种。宜作园景配植、绿篱、花坛镶边、道路隔离带景观，也广泛用于居住区、公园、厂区及广场绿化造景。</w:t>
            </w:r>
          </w:p>
          <w:p>
            <w:pPr>
              <w:pStyle w:val="null3"/>
              <w:ind w:firstLine="422"/>
              <w:jc w:val="both"/>
            </w:pPr>
            <w:r>
              <w:rPr>
                <w:rFonts w:ascii="仿宋_GB2312" w:hAnsi="仿宋_GB2312" w:cs="仿宋_GB2312" w:eastAsia="仿宋_GB2312"/>
                <w:sz w:val="21"/>
                <w:b/>
              </w:rPr>
              <w:t>(7)</w:t>
            </w:r>
            <w:r>
              <w:rPr>
                <w:rFonts w:ascii="仿宋_GB2312" w:hAnsi="仿宋_GB2312" w:cs="仿宋_GB2312" w:eastAsia="仿宋_GB2312"/>
                <w:sz w:val="21"/>
                <w:b/>
              </w:rPr>
              <w:t>红叶李</w:t>
            </w:r>
            <w:r>
              <w:rPr>
                <w:rFonts w:ascii="仿宋_GB2312" w:hAnsi="仿宋_GB2312" w:cs="仿宋_GB2312" w:eastAsia="仿宋_GB2312"/>
                <w:sz w:val="21"/>
                <w:b/>
              </w:rPr>
              <w:t>(Prunus cerasifera f. atropurpurea)</w:t>
            </w:r>
            <w:r>
              <w:rPr>
                <w:rFonts w:ascii="仿宋_GB2312" w:hAnsi="仿宋_GB2312" w:cs="仿宋_GB2312" w:eastAsia="仿宋_GB2312"/>
                <w:sz w:val="21"/>
                <w:b/>
              </w:rPr>
              <w:t xml:space="preserve"> </w:t>
            </w:r>
          </w:p>
          <w:p>
            <w:pPr>
              <w:pStyle w:val="null3"/>
              <w:ind w:firstLine="420"/>
              <w:jc w:val="both"/>
            </w:pPr>
            <w:r>
              <w:rPr>
                <w:rFonts w:ascii="仿宋_GB2312" w:hAnsi="仿宋_GB2312" w:cs="仿宋_GB2312" w:eastAsia="仿宋_GB2312"/>
                <w:sz w:val="21"/>
              </w:rPr>
              <w:t>蔷薇科、李属植物，为落叶小乔木。树皮灰褐色，枝干光滑</w:t>
            </w:r>
            <w:r>
              <w:rPr>
                <w:rFonts w:ascii="仿宋_GB2312" w:hAnsi="仿宋_GB2312" w:cs="仿宋_GB2312" w:eastAsia="仿宋_GB2312"/>
                <w:sz w:val="21"/>
              </w:rPr>
              <w:t>;小枝细弱，整体常年呈紫红色。叶片单叶互生，卵形至倒卵形，叶缘具细锯齿，全株叶片自春至秋均为紫红色，色彩艳丽。红叶李自然生长于山坡、路旁及林缘地带，喜光，光照越充足叶色越鲜亮;稍耐寒，耐旱能力较强，不耐水涝，适宜疏松肥沃、排水良好的土壤，对土质要求不高，可适应轻度盐碱土。萌芽力强，耐修剪，生长速度中等，抗污染性能良好。红叶李树姿优美，叶色独特，季相丰富:早春先花后叶，花朵粉白素雅，花叶相映;生长期满树紫红，是经典的彩叶树种。它观赏性强、养护简便、适配场景广，是优质园林景观树种。宜作行道树、庭荫树、园景树，常孤植、丛植于公园、庭院、道路两侧，也可搭配其他绿植造景，广泛应用于居住区、厂区及乡村绿化。</w:t>
            </w:r>
          </w:p>
          <w:p>
            <w:pPr>
              <w:pStyle w:val="null3"/>
              <w:ind w:firstLine="422"/>
              <w:jc w:val="both"/>
            </w:pPr>
            <w:r>
              <w:rPr>
                <w:rFonts w:ascii="仿宋_GB2312" w:hAnsi="仿宋_GB2312" w:cs="仿宋_GB2312" w:eastAsia="仿宋_GB2312"/>
                <w:sz w:val="21"/>
                <w:b/>
              </w:rPr>
              <w:t>(8)云杉 (Picea asperata)</w:t>
            </w:r>
          </w:p>
          <w:p>
            <w:pPr>
              <w:pStyle w:val="null3"/>
              <w:ind w:firstLine="420"/>
              <w:jc w:val="both"/>
            </w:pPr>
            <w:r>
              <w:rPr>
                <w:rFonts w:ascii="仿宋_GB2312" w:hAnsi="仿宋_GB2312" w:cs="仿宋_GB2312" w:eastAsia="仿宋_GB2312"/>
                <w:sz w:val="21"/>
              </w:rPr>
              <w:t>松科、云杉属植物，为常绿乔木。树冠尖塔形，大枝平展，小枝略下垂</w:t>
            </w:r>
            <w:r>
              <w:rPr>
                <w:rFonts w:ascii="仿宋_GB2312" w:hAnsi="仿宋_GB2312" w:cs="仿宋_GB2312" w:eastAsia="仿宋_GB2312"/>
                <w:sz w:val="21"/>
              </w:rPr>
              <w:t>;树皮淡灰褐色，呈薄鳞片状开裂;叶片为四棱状条形，质地坚硬，四季浓绿。云杉多生长于高海拔山地及阴湿林区，耐阴性强，耐寒能力极强，喜凉爽湿润环境，不耐高温与积水，适宜在土层深厚、排水良好的微酸性土壤生长，也可耐受轻度贫瘠。根系发达，抗风性佳，生长速度偏慢，寿命长，具备良好的抗烟尘、抗污染能力。</w:t>
            </w:r>
          </w:p>
          <w:p>
            <w:pPr>
              <w:pStyle w:val="null3"/>
              <w:ind w:firstLine="420"/>
              <w:jc w:val="both"/>
            </w:pPr>
            <w:r>
              <w:rPr>
                <w:rFonts w:ascii="仿宋_GB2312" w:hAnsi="仿宋_GB2312" w:cs="仿宋_GB2312" w:eastAsia="仿宋_GB2312"/>
                <w:sz w:val="21"/>
              </w:rPr>
              <w:t>云杉树形挺拔规整，层次分明，终年常绿，树姿古朴典雅，四季皆有景致</w:t>
            </w:r>
            <w:r>
              <w:rPr>
                <w:rFonts w:ascii="仿宋_GB2312" w:hAnsi="仿宋_GB2312" w:cs="仿宋_GB2312" w:eastAsia="仿宋_GB2312"/>
                <w:sz w:val="21"/>
              </w:rPr>
              <w:t>;云杉姿态优美、适应性强、抗性突出，是优良的常绿观赏树种。宜做孤赏树、园景树、行道树及风景林树种，也常用于营造防风林、隔音绿篱，广泛应用于公园、庭院、广场、居民区及山地生态绿化。</w:t>
            </w:r>
          </w:p>
          <w:p>
            <w:pPr>
              <w:pStyle w:val="null3"/>
              <w:ind w:firstLine="422"/>
              <w:jc w:val="both"/>
            </w:pPr>
            <w:r>
              <w:rPr>
                <w:rFonts w:ascii="仿宋_GB2312" w:hAnsi="仿宋_GB2312" w:cs="仿宋_GB2312" w:eastAsia="仿宋_GB2312"/>
                <w:sz w:val="21"/>
                <w:b/>
              </w:rPr>
              <w:t>(9)迎春花(Jasminum nudiflorum)</w:t>
            </w:r>
          </w:p>
          <w:p>
            <w:pPr>
              <w:pStyle w:val="null3"/>
              <w:ind w:firstLine="420"/>
              <w:jc w:val="both"/>
            </w:pPr>
            <w:r>
              <w:rPr>
                <w:rFonts w:ascii="仿宋_GB2312" w:hAnsi="仿宋_GB2312" w:cs="仿宋_GB2312" w:eastAsia="仿宋_GB2312"/>
                <w:sz w:val="21"/>
              </w:rPr>
              <w:t>木犀科、素馨属植物，为落叶灌木。枝条细长呈拱形下垂，嫩枝绿色，老枝灰褐色</w:t>
            </w:r>
            <w:r>
              <w:rPr>
                <w:rFonts w:ascii="仿宋_GB2312" w:hAnsi="仿宋_GB2312" w:cs="仿宋_GB2312" w:eastAsia="仿宋_GB2312"/>
                <w:sz w:val="21"/>
              </w:rPr>
              <w:t>;叶片对生，三出复叶，小叶卵形至长卵形，边缘全缘。迎春花常生于山坡、沟谷及路旁，喜光，稍耐半阴;耐寒性强，耐旱，怕积水，对土壤要求不严，在疏松肥沃的沙质壤土中生长最佳，耐轻度瘠薄。萌蘖力极强，极耐修剪，生长速度较快，抗污染能力良好。</w:t>
            </w:r>
          </w:p>
          <w:p>
            <w:pPr>
              <w:pStyle w:val="null3"/>
              <w:ind w:firstLine="420"/>
              <w:jc w:val="both"/>
            </w:pPr>
            <w:r>
              <w:rPr>
                <w:rFonts w:ascii="仿宋_GB2312" w:hAnsi="仿宋_GB2312" w:cs="仿宋_GB2312" w:eastAsia="仿宋_GB2312"/>
                <w:sz w:val="21"/>
              </w:rPr>
              <w:t>迎春花枝蔓婀娜，早春先花后叶，金黄色小花缀满枝头，明艳动人，是早春标志性观花植物</w:t>
            </w:r>
            <w:r>
              <w:rPr>
                <w:rFonts w:ascii="仿宋_GB2312" w:hAnsi="仿宋_GB2312" w:cs="仿宋_GB2312" w:eastAsia="仿宋_GB2312"/>
                <w:sz w:val="21"/>
              </w:rPr>
              <w:t>;其长势强健、养护简单、观赏性强，是优质的园林造景树种。宜作花篱、地被、坡地绿化、山石配植，也可丛植于庭院、公园、河岸、道路两旁，广泛用于居住区、广场及厂区景观营造。</w:t>
            </w:r>
          </w:p>
          <w:p>
            <w:pPr>
              <w:pStyle w:val="null3"/>
              <w:ind w:firstLine="422"/>
              <w:jc w:val="both"/>
            </w:pPr>
            <w:r>
              <w:rPr>
                <w:rFonts w:ascii="仿宋_GB2312" w:hAnsi="仿宋_GB2312" w:cs="仿宋_GB2312" w:eastAsia="仿宋_GB2312"/>
                <w:sz w:val="21"/>
                <w:b/>
              </w:rPr>
              <w:t>(10) 连翘 (Forsythia suspensa)</w:t>
            </w:r>
          </w:p>
          <w:p>
            <w:pPr>
              <w:pStyle w:val="null3"/>
              <w:ind w:firstLine="420"/>
              <w:jc w:val="both"/>
            </w:pPr>
            <w:r>
              <w:rPr>
                <w:rFonts w:ascii="仿宋_GB2312" w:hAnsi="仿宋_GB2312" w:cs="仿宋_GB2312" w:eastAsia="仿宋_GB2312"/>
                <w:sz w:val="21"/>
              </w:rPr>
              <w:t>木犀科、连翘属植物，为落叶灌木。枝条细长柔软，呈拱形下垂，小枝黄褐色，节间中空</w:t>
            </w:r>
            <w:r>
              <w:rPr>
                <w:rFonts w:ascii="仿宋_GB2312" w:hAnsi="仿宋_GB2312" w:cs="仿宋_GB2312" w:eastAsia="仿宋_GB2312"/>
                <w:sz w:val="21"/>
              </w:rPr>
              <w:t>;单叶对生，叶片卵形至椭圆状卵形，边缘具粗锯齿。连翘多生长于山坡、林缘及路旁，喜光，稍耐半阴;耐寒性强，耐旱，忌积水，对土壤适应性广，在中性、微酸及轻度盐碱土中均可生长，耐土壤贫瘠。萌蘖力强，耐修剪，生长速度较快，抗烟尘、抗污染</w:t>
            </w:r>
          </w:p>
          <w:p>
            <w:pPr>
              <w:pStyle w:val="null3"/>
              <w:ind w:firstLine="420"/>
              <w:jc w:val="both"/>
            </w:pPr>
            <w:r>
              <w:rPr>
                <w:rFonts w:ascii="仿宋_GB2312" w:hAnsi="仿宋_GB2312" w:cs="仿宋_GB2312" w:eastAsia="仿宋_GB2312"/>
                <w:sz w:val="21"/>
              </w:rPr>
              <w:t>能力较好。</w:t>
            </w:r>
          </w:p>
          <w:p>
            <w:pPr>
              <w:pStyle w:val="null3"/>
              <w:ind w:firstLine="420"/>
              <w:jc w:val="both"/>
            </w:pPr>
            <w:r>
              <w:rPr>
                <w:rFonts w:ascii="仿宋_GB2312" w:hAnsi="仿宋_GB2312" w:cs="仿宋_GB2312" w:eastAsia="仿宋_GB2312"/>
                <w:sz w:val="21"/>
              </w:rPr>
              <w:t>连翘株型舒展洒脱，早春先花后叶，满枝金黄，花姿烂漫，是早春主要观花灌木</w:t>
            </w:r>
            <w:r>
              <w:rPr>
                <w:rFonts w:ascii="仿宋_GB2312" w:hAnsi="仿宋_GB2312" w:cs="仿宋_GB2312" w:eastAsia="仿宋_GB2312"/>
                <w:sz w:val="21"/>
              </w:rPr>
              <w:t>;其适应性强、管护粗放、景观效果突出，是经典园林绿化树种。宜作花篱、丛植造景、边坡绿化、山石点缀，也常配植于公园、庭院、道路两侧，广泛应用于居民区、厂区及乡村生态绿化。</w:t>
            </w:r>
          </w:p>
          <w:p>
            <w:pPr>
              <w:pStyle w:val="null3"/>
              <w:ind w:firstLine="422"/>
              <w:jc w:val="both"/>
            </w:pPr>
            <w:r>
              <w:rPr>
                <w:rFonts w:ascii="仿宋_GB2312" w:hAnsi="仿宋_GB2312" w:cs="仿宋_GB2312" w:eastAsia="仿宋_GB2312"/>
                <w:sz w:val="21"/>
                <w:b/>
              </w:rPr>
              <w:t>(11)混播草</w:t>
            </w:r>
          </w:p>
          <w:p>
            <w:pPr>
              <w:pStyle w:val="null3"/>
              <w:ind w:firstLine="420"/>
              <w:jc w:val="both"/>
            </w:pPr>
            <w:r>
              <w:rPr>
                <w:rFonts w:ascii="仿宋_GB2312" w:hAnsi="仿宋_GB2312" w:cs="仿宋_GB2312" w:eastAsia="仿宋_GB2312"/>
                <w:sz w:val="21"/>
              </w:rPr>
              <w:t>禾本科多种草本组合，为多年生草本草坪植物。由两种及以上优良草种配比混生，植株低矮致密，根系交错发达，叶片纤细柔软，色泽均匀翠绿。混播草适生于各类园林绿地，喜光，部分品种耐轻度遮阴</w:t>
            </w:r>
            <w:r>
              <w:rPr>
                <w:rFonts w:ascii="仿宋_GB2312" w:hAnsi="仿宋_GB2312" w:cs="仿宋_GB2312" w:eastAsia="仿宋_GB2312"/>
                <w:sz w:val="21"/>
              </w:rPr>
              <w:t>;耐寒、耐旱，有一定耐践踏能力，忌长期积水，对土壤要求宽泛，在疏松肥沃地块长势更优，耐轻度贫瘠与盐碱。再生能力强，耐修剪，养护难度低，整体抗性优于单一草种，固土、防尘效果良好。</w:t>
            </w:r>
          </w:p>
          <w:p>
            <w:pPr>
              <w:pStyle w:val="null3"/>
              <w:ind w:firstLine="420"/>
              <w:jc w:val="both"/>
            </w:pPr>
            <w:r>
              <w:rPr>
                <w:rFonts w:ascii="仿宋_GB2312" w:hAnsi="仿宋_GB2312" w:cs="仿宋_GB2312" w:eastAsia="仿宋_GB2312"/>
                <w:sz w:val="21"/>
              </w:rPr>
              <w:t>混播草草层平整美观，四季常绿期更长，景观稳定性佳，耐踩踏、恢复快，是优质草坪植被。宜铺设于广场、公园、运动场、庭院绿地，也用作道路护坡、厂区及居住区地面绿化，还可搭配乔灌木营造复合景观。</w:t>
            </w:r>
          </w:p>
          <w:p>
            <w:pPr>
              <w:pStyle w:val="null3"/>
              <w:jc w:val="both"/>
            </w:pPr>
            <w:r>
              <w:rPr>
                <w:rFonts w:ascii="仿宋_GB2312" w:hAnsi="仿宋_GB2312" w:cs="仿宋_GB2312" w:eastAsia="仿宋_GB2312"/>
                <w:sz w:val="21"/>
                <w:b/>
              </w:rPr>
              <w:t>(三)绿化设计类型</w:t>
            </w:r>
          </w:p>
          <w:p>
            <w:pPr>
              <w:pStyle w:val="null3"/>
              <w:ind w:firstLine="420"/>
              <w:jc w:val="both"/>
            </w:pPr>
            <w:r>
              <w:rPr>
                <w:rFonts w:ascii="仿宋_GB2312" w:hAnsi="仿宋_GB2312" w:cs="仿宋_GB2312" w:eastAsia="仿宋_GB2312"/>
                <w:sz w:val="21"/>
              </w:rPr>
              <w:t>根据外业实际调查结果，将项目绿化区域区划为</w:t>
            </w:r>
            <w:r>
              <w:rPr>
                <w:rFonts w:ascii="仿宋_GB2312" w:hAnsi="仿宋_GB2312" w:cs="仿宋_GB2312" w:eastAsia="仿宋_GB2312"/>
                <w:sz w:val="21"/>
              </w:rPr>
              <w:t>7个作业小班。其</w:t>
            </w:r>
            <w:r>
              <w:rPr>
                <w:rFonts w:ascii="仿宋_GB2312" w:hAnsi="仿宋_GB2312" w:cs="仿宋_GB2312" w:eastAsia="仿宋_GB2312"/>
                <w:sz w:val="21"/>
              </w:rPr>
              <w:t>中：</w:t>
            </w:r>
          </w:p>
          <w:p>
            <w:pPr>
              <w:pStyle w:val="null3"/>
              <w:ind w:firstLine="422"/>
              <w:jc w:val="both"/>
            </w:pPr>
            <w:r>
              <w:rPr>
                <w:rFonts w:ascii="仿宋_GB2312" w:hAnsi="仿宋_GB2312" w:cs="仿宋_GB2312" w:eastAsia="仿宋_GB2312"/>
                <w:sz w:val="21"/>
                <w:b/>
              </w:rPr>
              <w:t>(1)1号小班</w:t>
            </w:r>
          </w:p>
          <w:p>
            <w:pPr>
              <w:pStyle w:val="null3"/>
              <w:ind w:firstLine="420"/>
              <w:jc w:val="both"/>
            </w:pPr>
            <w:r>
              <w:rPr>
                <w:rFonts w:ascii="仿宋_GB2312" w:hAnsi="仿宋_GB2312" w:cs="仿宋_GB2312" w:eastAsia="仿宋_GB2312"/>
                <w:sz w:val="21"/>
              </w:rPr>
              <w:t>地块面积</w:t>
            </w:r>
            <w:r>
              <w:rPr>
                <w:rFonts w:ascii="仿宋_GB2312" w:hAnsi="仿宋_GB2312" w:cs="仿宋_GB2312" w:eastAsia="仿宋_GB2312"/>
                <w:sz w:val="21"/>
              </w:rPr>
              <w:t>217m</w:t>
            </w:r>
            <w:r>
              <w:rPr>
                <w:rFonts w:ascii="仿宋_GB2312" w:hAnsi="仿宋_GB2312" w:cs="仿宋_GB2312" w:eastAsia="仿宋_GB2312"/>
                <w:sz w:val="21"/>
                <w:vertAlign w:val="superscript"/>
              </w:rPr>
              <w:t>2</w:t>
            </w:r>
            <w:r>
              <w:rPr>
                <w:rFonts w:ascii="仿宋_GB2312" w:hAnsi="仿宋_GB2312" w:cs="仿宋_GB2312" w:eastAsia="仿宋_GB2312"/>
                <w:sz w:val="21"/>
              </w:rPr>
              <w:t>，可作业面积</w:t>
            </w:r>
            <w:r>
              <w:rPr>
                <w:rFonts w:ascii="仿宋_GB2312" w:hAnsi="仿宋_GB2312" w:cs="仿宋_GB2312" w:eastAsia="仿宋_GB2312"/>
                <w:sz w:val="21"/>
              </w:rPr>
              <w:t>200m</w:t>
            </w:r>
            <w:r>
              <w:rPr>
                <w:rFonts w:ascii="仿宋_GB2312" w:hAnsi="仿宋_GB2312" w:cs="仿宋_GB2312" w:eastAsia="仿宋_GB2312"/>
                <w:sz w:val="21"/>
                <w:vertAlign w:val="superscript"/>
              </w:rPr>
              <w:t>2</w:t>
            </w:r>
            <w:r>
              <w:rPr>
                <w:rFonts w:ascii="仿宋_GB2312" w:hAnsi="仿宋_GB2312" w:cs="仿宋_GB2312" w:eastAsia="仿宋_GB2312"/>
                <w:sz w:val="21"/>
              </w:rPr>
              <w:t>，栽植树种为白皮松，株距</w:t>
            </w:r>
            <w:r>
              <w:rPr>
                <w:rFonts w:ascii="仿宋_GB2312" w:hAnsi="仿宋_GB2312" w:cs="仿宋_GB2312" w:eastAsia="仿宋_GB2312"/>
                <w:sz w:val="21"/>
              </w:rPr>
              <w:t>1m，穴状整地，整地规格为0.6x0.6x0.6m。</w:t>
            </w:r>
          </w:p>
          <w:p>
            <w:pPr>
              <w:pStyle w:val="null3"/>
              <w:ind w:firstLine="422"/>
              <w:jc w:val="both"/>
            </w:pPr>
            <w:r>
              <w:rPr>
                <w:rFonts w:ascii="仿宋_GB2312" w:hAnsi="仿宋_GB2312" w:cs="仿宋_GB2312" w:eastAsia="仿宋_GB2312"/>
                <w:sz w:val="21"/>
                <w:b/>
              </w:rPr>
              <w:t>(2)2号小班</w:t>
            </w:r>
          </w:p>
          <w:p>
            <w:pPr>
              <w:pStyle w:val="null3"/>
              <w:ind w:firstLine="420"/>
              <w:jc w:val="both"/>
            </w:pPr>
            <w:r>
              <w:rPr>
                <w:rFonts w:ascii="仿宋_GB2312" w:hAnsi="仿宋_GB2312" w:cs="仿宋_GB2312" w:eastAsia="仿宋_GB2312"/>
                <w:sz w:val="21"/>
              </w:rPr>
              <w:t>地块面积</w:t>
            </w:r>
            <w:r>
              <w:rPr>
                <w:rFonts w:ascii="仿宋_GB2312" w:hAnsi="仿宋_GB2312" w:cs="仿宋_GB2312" w:eastAsia="仿宋_GB2312"/>
                <w:sz w:val="21"/>
              </w:rPr>
              <w:t>477m</w:t>
            </w:r>
            <w:r>
              <w:rPr>
                <w:rFonts w:ascii="仿宋_GB2312" w:hAnsi="仿宋_GB2312" w:cs="仿宋_GB2312" w:eastAsia="仿宋_GB2312"/>
                <w:sz w:val="21"/>
                <w:vertAlign w:val="superscript"/>
              </w:rPr>
              <w:t>2</w:t>
            </w:r>
            <w:r>
              <w:rPr>
                <w:rFonts w:ascii="仿宋_GB2312" w:hAnsi="仿宋_GB2312" w:cs="仿宋_GB2312" w:eastAsia="仿宋_GB2312"/>
                <w:sz w:val="21"/>
              </w:rPr>
              <w:t>，可作业面积</w:t>
            </w:r>
            <w:r>
              <w:rPr>
                <w:rFonts w:ascii="仿宋_GB2312" w:hAnsi="仿宋_GB2312" w:cs="仿宋_GB2312" w:eastAsia="仿宋_GB2312"/>
                <w:sz w:val="21"/>
              </w:rPr>
              <w:t>455m</w:t>
            </w:r>
            <w:r>
              <w:rPr>
                <w:rFonts w:ascii="仿宋_GB2312" w:hAnsi="仿宋_GB2312" w:cs="仿宋_GB2312" w:eastAsia="仿宋_GB2312"/>
                <w:sz w:val="21"/>
                <w:vertAlign w:val="superscript"/>
              </w:rPr>
              <w:t>2</w:t>
            </w:r>
            <w:r>
              <w:rPr>
                <w:rFonts w:ascii="仿宋_GB2312" w:hAnsi="仿宋_GB2312" w:cs="仿宋_GB2312" w:eastAsia="仿宋_GB2312"/>
                <w:sz w:val="21"/>
              </w:rPr>
              <w:t>，栽植树种为白皮松、连翘，白皮松株行距</w:t>
            </w:r>
            <w:r>
              <w:rPr>
                <w:rFonts w:ascii="仿宋_GB2312" w:hAnsi="仿宋_GB2312" w:cs="仿宋_GB2312" w:eastAsia="仿宋_GB2312"/>
                <w:sz w:val="21"/>
              </w:rPr>
              <w:t>1x1m、连翘16株/m</w:t>
            </w:r>
            <w:r>
              <w:rPr>
                <w:rFonts w:ascii="仿宋_GB2312" w:hAnsi="仿宋_GB2312" w:cs="仿宋_GB2312" w:eastAsia="仿宋_GB2312"/>
                <w:sz w:val="21"/>
                <w:vertAlign w:val="superscript"/>
              </w:rPr>
              <w:t>2</w:t>
            </w:r>
            <w:r>
              <w:rPr>
                <w:rFonts w:ascii="仿宋_GB2312" w:hAnsi="仿宋_GB2312" w:cs="仿宋_GB2312" w:eastAsia="仿宋_GB2312"/>
                <w:sz w:val="21"/>
              </w:rPr>
              <w:t>，鱼鳞坑整地，白皮松整地规格</w:t>
            </w:r>
            <w:r>
              <w:rPr>
                <w:rFonts w:ascii="仿宋_GB2312" w:hAnsi="仿宋_GB2312" w:cs="仿宋_GB2312" w:eastAsia="仿宋_GB2312"/>
                <w:sz w:val="21"/>
              </w:rPr>
              <w:t>0.5x0.4x0.3m，连翘整地规格0.2x0.2x0.10m。</w:t>
            </w:r>
          </w:p>
          <w:p>
            <w:pPr>
              <w:pStyle w:val="null3"/>
              <w:ind w:firstLine="422"/>
              <w:jc w:val="both"/>
            </w:pPr>
            <w:r>
              <w:rPr>
                <w:rFonts w:ascii="仿宋_GB2312" w:hAnsi="仿宋_GB2312" w:cs="仿宋_GB2312" w:eastAsia="仿宋_GB2312"/>
                <w:sz w:val="21"/>
                <w:b/>
              </w:rPr>
              <w:t>(3)3号小班</w:t>
            </w:r>
          </w:p>
          <w:p>
            <w:pPr>
              <w:pStyle w:val="null3"/>
              <w:ind w:firstLine="420"/>
              <w:jc w:val="both"/>
            </w:pPr>
            <w:r>
              <w:rPr>
                <w:rFonts w:ascii="仿宋_GB2312" w:hAnsi="仿宋_GB2312" w:cs="仿宋_GB2312" w:eastAsia="仿宋_GB2312"/>
                <w:sz w:val="21"/>
              </w:rPr>
              <w:t>地块面积</w:t>
            </w:r>
            <w:r>
              <w:rPr>
                <w:rFonts w:ascii="仿宋_GB2312" w:hAnsi="仿宋_GB2312" w:cs="仿宋_GB2312" w:eastAsia="仿宋_GB2312"/>
                <w:sz w:val="21"/>
              </w:rPr>
              <w:t>565m</w:t>
            </w:r>
            <w:r>
              <w:rPr>
                <w:rFonts w:ascii="仿宋_GB2312" w:hAnsi="仿宋_GB2312" w:cs="仿宋_GB2312" w:eastAsia="仿宋_GB2312"/>
                <w:sz w:val="21"/>
                <w:vertAlign w:val="superscript"/>
              </w:rPr>
              <w:t>2</w:t>
            </w:r>
            <w:r>
              <w:rPr>
                <w:rFonts w:ascii="仿宋_GB2312" w:hAnsi="仿宋_GB2312" w:cs="仿宋_GB2312" w:eastAsia="仿宋_GB2312"/>
                <w:sz w:val="21"/>
              </w:rPr>
              <w:t>，可作业面积</w:t>
            </w:r>
            <w:r>
              <w:rPr>
                <w:rFonts w:ascii="仿宋_GB2312" w:hAnsi="仿宋_GB2312" w:cs="仿宋_GB2312" w:eastAsia="仿宋_GB2312"/>
                <w:sz w:val="21"/>
              </w:rPr>
              <w:t>520m</w:t>
            </w:r>
            <w:r>
              <w:rPr>
                <w:rFonts w:ascii="仿宋_GB2312" w:hAnsi="仿宋_GB2312" w:cs="仿宋_GB2312" w:eastAsia="仿宋_GB2312"/>
                <w:sz w:val="21"/>
                <w:vertAlign w:val="superscript"/>
              </w:rPr>
              <w:t>2</w:t>
            </w:r>
            <w:r>
              <w:rPr>
                <w:rFonts w:ascii="仿宋_GB2312" w:hAnsi="仿宋_GB2312" w:cs="仿宋_GB2312" w:eastAsia="仿宋_GB2312"/>
                <w:sz w:val="21"/>
              </w:rPr>
              <w:t>，栽植树种为白皮松、迎春花，白皮松株行距</w:t>
            </w:r>
            <w:r>
              <w:rPr>
                <w:rFonts w:ascii="仿宋_GB2312" w:hAnsi="仿宋_GB2312" w:cs="仿宋_GB2312" w:eastAsia="仿宋_GB2312"/>
                <w:sz w:val="21"/>
              </w:rPr>
              <w:t>1x1m、迎春花25株/m</w:t>
            </w:r>
            <w:r>
              <w:rPr>
                <w:rFonts w:ascii="仿宋_GB2312" w:hAnsi="仿宋_GB2312" w:cs="仿宋_GB2312" w:eastAsia="仿宋_GB2312"/>
                <w:sz w:val="21"/>
                <w:vertAlign w:val="superscript"/>
              </w:rPr>
              <w:t>2</w:t>
            </w:r>
            <w:r>
              <w:rPr>
                <w:rFonts w:ascii="仿宋_GB2312" w:hAnsi="仿宋_GB2312" w:cs="仿宋_GB2312" w:eastAsia="仿宋_GB2312"/>
                <w:sz w:val="21"/>
              </w:rPr>
              <w:t>，鱼鳞坑整地，白皮松整地规格</w:t>
            </w:r>
            <w:r>
              <w:rPr>
                <w:rFonts w:ascii="仿宋_GB2312" w:hAnsi="仿宋_GB2312" w:cs="仿宋_GB2312" w:eastAsia="仿宋_GB2312"/>
                <w:sz w:val="21"/>
              </w:rPr>
              <w:t>0.5x0.4x0.3m，迎春花整地规格0.15x0.15x0.10m。</w:t>
            </w:r>
          </w:p>
          <w:p>
            <w:pPr>
              <w:pStyle w:val="null3"/>
              <w:ind w:firstLine="422"/>
              <w:jc w:val="both"/>
            </w:pPr>
            <w:r>
              <w:rPr>
                <w:rFonts w:ascii="仿宋_GB2312" w:hAnsi="仿宋_GB2312" w:cs="仿宋_GB2312" w:eastAsia="仿宋_GB2312"/>
                <w:sz w:val="21"/>
                <w:b/>
              </w:rPr>
              <w:t>(4)4号小班</w:t>
            </w:r>
          </w:p>
          <w:p>
            <w:pPr>
              <w:pStyle w:val="null3"/>
              <w:ind w:firstLine="420"/>
              <w:jc w:val="both"/>
            </w:pPr>
            <w:r>
              <w:rPr>
                <w:rFonts w:ascii="仿宋_GB2312" w:hAnsi="仿宋_GB2312" w:cs="仿宋_GB2312" w:eastAsia="仿宋_GB2312"/>
                <w:sz w:val="21"/>
              </w:rPr>
              <w:t>地块面积</w:t>
            </w:r>
            <w:r>
              <w:rPr>
                <w:rFonts w:ascii="仿宋_GB2312" w:hAnsi="仿宋_GB2312" w:cs="仿宋_GB2312" w:eastAsia="仿宋_GB2312"/>
                <w:sz w:val="21"/>
              </w:rPr>
              <w:t>1820m</w:t>
            </w:r>
            <w:r>
              <w:rPr>
                <w:rFonts w:ascii="仿宋_GB2312" w:hAnsi="仿宋_GB2312" w:cs="仿宋_GB2312" w:eastAsia="仿宋_GB2312"/>
                <w:sz w:val="21"/>
                <w:vertAlign w:val="superscript"/>
              </w:rPr>
              <w:t>2</w:t>
            </w:r>
            <w:r>
              <w:rPr>
                <w:rFonts w:ascii="仿宋_GB2312" w:hAnsi="仿宋_GB2312" w:cs="仿宋_GB2312" w:eastAsia="仿宋_GB2312"/>
                <w:sz w:val="21"/>
              </w:rPr>
              <w:t>，可作业面积</w:t>
            </w:r>
            <w:r>
              <w:rPr>
                <w:rFonts w:ascii="仿宋_GB2312" w:hAnsi="仿宋_GB2312" w:cs="仿宋_GB2312" w:eastAsia="仿宋_GB2312"/>
                <w:sz w:val="21"/>
              </w:rPr>
              <w:t>1200m</w:t>
            </w:r>
            <w:r>
              <w:rPr>
                <w:rFonts w:ascii="仿宋_GB2312" w:hAnsi="仿宋_GB2312" w:cs="仿宋_GB2312" w:eastAsia="仿宋_GB2312"/>
                <w:sz w:val="21"/>
                <w:vertAlign w:val="superscript"/>
              </w:rPr>
              <w:t>2</w:t>
            </w:r>
            <w:r>
              <w:rPr>
                <w:rFonts w:ascii="仿宋_GB2312" w:hAnsi="仿宋_GB2312" w:cs="仿宋_GB2312" w:eastAsia="仿宋_GB2312"/>
                <w:sz w:val="21"/>
              </w:rPr>
              <w:t>，栽植树种为白皮松，株行距</w:t>
            </w:r>
            <w:r>
              <w:rPr>
                <w:rFonts w:ascii="仿宋_GB2312" w:hAnsi="仿宋_GB2312" w:cs="仿宋_GB2312" w:eastAsia="仿宋_GB2312"/>
                <w:sz w:val="21"/>
              </w:rPr>
              <w:t>1x2m，鱼鳞坑整地，整地规格0.5x0.4x0.3m。</w:t>
            </w:r>
          </w:p>
          <w:p>
            <w:pPr>
              <w:pStyle w:val="null3"/>
              <w:ind w:firstLine="422"/>
              <w:jc w:val="both"/>
            </w:pPr>
            <w:r>
              <w:rPr>
                <w:rFonts w:ascii="仿宋_GB2312" w:hAnsi="仿宋_GB2312" w:cs="仿宋_GB2312" w:eastAsia="仿宋_GB2312"/>
                <w:sz w:val="21"/>
                <w:b/>
              </w:rPr>
              <w:t>(5)5号小班</w:t>
            </w:r>
          </w:p>
          <w:p>
            <w:pPr>
              <w:pStyle w:val="null3"/>
              <w:ind w:firstLine="420"/>
              <w:jc w:val="both"/>
            </w:pPr>
            <w:r>
              <w:rPr>
                <w:rFonts w:ascii="仿宋_GB2312" w:hAnsi="仿宋_GB2312" w:cs="仿宋_GB2312" w:eastAsia="仿宋_GB2312"/>
                <w:sz w:val="21"/>
              </w:rPr>
              <w:t>地块面积</w:t>
            </w:r>
            <w:r>
              <w:rPr>
                <w:rFonts w:ascii="仿宋_GB2312" w:hAnsi="仿宋_GB2312" w:cs="仿宋_GB2312" w:eastAsia="仿宋_GB2312"/>
                <w:sz w:val="21"/>
              </w:rPr>
              <w:t>595m</w:t>
            </w:r>
            <w:r>
              <w:rPr>
                <w:rFonts w:ascii="仿宋_GB2312" w:hAnsi="仿宋_GB2312" w:cs="仿宋_GB2312" w:eastAsia="仿宋_GB2312"/>
                <w:sz w:val="21"/>
                <w:vertAlign w:val="superscript"/>
              </w:rPr>
              <w:t>2</w:t>
            </w:r>
            <w:r>
              <w:rPr>
                <w:rFonts w:ascii="仿宋_GB2312" w:hAnsi="仿宋_GB2312" w:cs="仿宋_GB2312" w:eastAsia="仿宋_GB2312"/>
                <w:sz w:val="21"/>
              </w:rPr>
              <w:t>，可作业面积</w:t>
            </w:r>
            <w:r>
              <w:rPr>
                <w:rFonts w:ascii="仿宋_GB2312" w:hAnsi="仿宋_GB2312" w:cs="仿宋_GB2312" w:eastAsia="仿宋_GB2312"/>
                <w:sz w:val="21"/>
              </w:rPr>
              <w:t>520m</w:t>
            </w:r>
            <w:r>
              <w:rPr>
                <w:rFonts w:ascii="仿宋_GB2312" w:hAnsi="仿宋_GB2312" w:cs="仿宋_GB2312" w:eastAsia="仿宋_GB2312"/>
                <w:sz w:val="21"/>
                <w:vertAlign w:val="superscript"/>
              </w:rPr>
              <w:t>2</w:t>
            </w:r>
            <w:r>
              <w:rPr>
                <w:rFonts w:ascii="仿宋_GB2312" w:hAnsi="仿宋_GB2312" w:cs="仿宋_GB2312" w:eastAsia="仿宋_GB2312"/>
                <w:sz w:val="21"/>
              </w:rPr>
              <w:t>，栽植树种为白皮松、高杆月季、樱花、连翘、迎春花，白皮松株行距</w:t>
            </w:r>
            <w:r>
              <w:rPr>
                <w:rFonts w:ascii="仿宋_GB2312" w:hAnsi="仿宋_GB2312" w:cs="仿宋_GB2312" w:eastAsia="仿宋_GB2312"/>
                <w:sz w:val="21"/>
              </w:rPr>
              <w:t>1x1m、高杆月季单行株距1m、樱花单列栽植株距2m、连翘11株/m</w:t>
            </w:r>
            <w:r>
              <w:rPr>
                <w:rFonts w:ascii="仿宋_GB2312" w:hAnsi="仿宋_GB2312" w:cs="仿宋_GB2312" w:eastAsia="仿宋_GB2312"/>
                <w:sz w:val="21"/>
                <w:vertAlign w:val="superscript"/>
              </w:rPr>
              <w:t>2</w:t>
            </w:r>
            <w:r>
              <w:rPr>
                <w:rFonts w:ascii="仿宋_GB2312" w:hAnsi="仿宋_GB2312" w:cs="仿宋_GB2312" w:eastAsia="仿宋_GB2312"/>
                <w:sz w:val="21"/>
              </w:rPr>
              <w:t>、迎春花</w:t>
            </w:r>
            <w:r>
              <w:rPr>
                <w:rFonts w:ascii="仿宋_GB2312" w:hAnsi="仿宋_GB2312" w:cs="仿宋_GB2312" w:eastAsia="仿宋_GB2312"/>
                <w:sz w:val="21"/>
              </w:rPr>
              <w:t>16-20株/m</w:t>
            </w:r>
            <w:r>
              <w:rPr>
                <w:rFonts w:ascii="仿宋_GB2312" w:hAnsi="仿宋_GB2312" w:cs="仿宋_GB2312" w:eastAsia="仿宋_GB2312"/>
                <w:sz w:val="21"/>
                <w:vertAlign w:val="superscript"/>
              </w:rPr>
              <w:t>2</w:t>
            </w:r>
            <w:r>
              <w:rPr>
                <w:rFonts w:ascii="仿宋_GB2312" w:hAnsi="仿宋_GB2312" w:cs="仿宋_GB2312" w:eastAsia="仿宋_GB2312"/>
                <w:sz w:val="21"/>
              </w:rPr>
              <w:t>，鱼鳞坑整地，白皮松、高杆月季、樱花整地规格</w:t>
            </w:r>
            <w:r>
              <w:rPr>
                <w:rFonts w:ascii="仿宋_GB2312" w:hAnsi="仿宋_GB2312" w:cs="仿宋_GB2312" w:eastAsia="仿宋_GB2312"/>
                <w:sz w:val="21"/>
              </w:rPr>
              <w:t>0.5x0.4x0.3m，连翘整地规格0.2x0.2x0.10m，迎春花整地规格0.15x0.15x0.10m。</w:t>
            </w:r>
          </w:p>
          <w:p>
            <w:pPr>
              <w:pStyle w:val="null3"/>
              <w:ind w:firstLine="422"/>
              <w:jc w:val="both"/>
            </w:pPr>
            <w:r>
              <w:rPr>
                <w:rFonts w:ascii="仿宋_GB2312" w:hAnsi="仿宋_GB2312" w:cs="仿宋_GB2312" w:eastAsia="仿宋_GB2312"/>
                <w:sz w:val="21"/>
                <w:b/>
              </w:rPr>
              <w:t>(6)6号小班</w:t>
            </w:r>
          </w:p>
          <w:p>
            <w:pPr>
              <w:pStyle w:val="null3"/>
              <w:ind w:firstLine="420"/>
              <w:jc w:val="both"/>
            </w:pPr>
            <w:r>
              <w:rPr>
                <w:rFonts w:ascii="仿宋_GB2312" w:hAnsi="仿宋_GB2312" w:cs="仿宋_GB2312" w:eastAsia="仿宋_GB2312"/>
                <w:sz w:val="21"/>
              </w:rPr>
              <w:t>地块面积</w:t>
            </w:r>
            <w:r>
              <w:rPr>
                <w:rFonts w:ascii="仿宋_GB2312" w:hAnsi="仿宋_GB2312" w:cs="仿宋_GB2312" w:eastAsia="仿宋_GB2312"/>
                <w:sz w:val="21"/>
              </w:rPr>
              <w:t>411m</w:t>
            </w:r>
            <w:r>
              <w:rPr>
                <w:rFonts w:ascii="仿宋_GB2312" w:hAnsi="仿宋_GB2312" w:cs="仿宋_GB2312" w:eastAsia="仿宋_GB2312"/>
                <w:sz w:val="21"/>
                <w:vertAlign w:val="superscript"/>
              </w:rPr>
              <w:t>2</w:t>
            </w:r>
            <w:r>
              <w:rPr>
                <w:rFonts w:ascii="仿宋_GB2312" w:hAnsi="仿宋_GB2312" w:cs="仿宋_GB2312" w:eastAsia="仿宋_GB2312"/>
                <w:sz w:val="21"/>
              </w:rPr>
              <w:t>，可作业面积</w:t>
            </w:r>
            <w:r>
              <w:rPr>
                <w:rFonts w:ascii="仿宋_GB2312" w:hAnsi="仿宋_GB2312" w:cs="仿宋_GB2312" w:eastAsia="仿宋_GB2312"/>
                <w:sz w:val="21"/>
              </w:rPr>
              <w:t>310m</w:t>
            </w:r>
            <w:r>
              <w:rPr>
                <w:rFonts w:ascii="仿宋_GB2312" w:hAnsi="仿宋_GB2312" w:cs="仿宋_GB2312" w:eastAsia="仿宋_GB2312"/>
                <w:sz w:val="21"/>
                <w:vertAlign w:val="superscript"/>
              </w:rPr>
              <w:t>2</w:t>
            </w:r>
            <w:r>
              <w:rPr>
                <w:rFonts w:ascii="仿宋_GB2312" w:hAnsi="仿宋_GB2312" w:cs="仿宋_GB2312" w:eastAsia="仿宋_GB2312"/>
                <w:sz w:val="21"/>
              </w:rPr>
              <w:t>，栽植树种为白皮松、樱花、高杆卫矛，白皮松株行距</w:t>
            </w:r>
            <w:r>
              <w:rPr>
                <w:rFonts w:ascii="仿宋_GB2312" w:hAnsi="仿宋_GB2312" w:cs="仿宋_GB2312" w:eastAsia="仿宋_GB2312"/>
                <w:sz w:val="21"/>
              </w:rPr>
              <w:t>1x2米、樱花单列栽植株距2米、高杆卫矛单列栽植2株距2米，白皮松鱼鳞坑整地，整地规格0.5x0.4x0.3m，樱花穴状整地、规格0.6x0.5x0.4m，高杆卫矛穴状整地、规格0.6x0.6x 0.6m.</w:t>
            </w:r>
          </w:p>
          <w:p>
            <w:pPr>
              <w:pStyle w:val="null3"/>
              <w:ind w:firstLine="422"/>
              <w:jc w:val="both"/>
            </w:pPr>
            <w:r>
              <w:rPr>
                <w:rFonts w:ascii="仿宋_GB2312" w:hAnsi="仿宋_GB2312" w:cs="仿宋_GB2312" w:eastAsia="仿宋_GB2312"/>
                <w:sz w:val="21"/>
                <w:b/>
              </w:rPr>
              <w:t>(7)7号小班</w:t>
            </w:r>
          </w:p>
          <w:p>
            <w:pPr>
              <w:pStyle w:val="null3"/>
              <w:ind w:firstLine="420"/>
              <w:jc w:val="both"/>
            </w:pPr>
            <w:r>
              <w:rPr>
                <w:rFonts w:ascii="仿宋_GB2312" w:hAnsi="仿宋_GB2312" w:cs="仿宋_GB2312" w:eastAsia="仿宋_GB2312"/>
                <w:sz w:val="21"/>
              </w:rPr>
              <w:t>地块面积</w:t>
            </w:r>
            <w:r>
              <w:rPr>
                <w:rFonts w:ascii="仿宋_GB2312" w:hAnsi="仿宋_GB2312" w:cs="仿宋_GB2312" w:eastAsia="仿宋_GB2312"/>
                <w:sz w:val="21"/>
              </w:rPr>
              <w:t>1462</w:t>
            </w:r>
            <w:r>
              <w:rPr>
                <w:rFonts w:ascii="仿宋_GB2312" w:hAnsi="仿宋_GB2312" w:cs="仿宋_GB2312" w:eastAsia="仿宋_GB2312"/>
                <w:sz w:val="21"/>
              </w:rPr>
              <w:t>m</w:t>
            </w:r>
            <w:r>
              <w:rPr>
                <w:rFonts w:ascii="仿宋_GB2312" w:hAnsi="仿宋_GB2312" w:cs="仿宋_GB2312" w:eastAsia="仿宋_GB2312"/>
                <w:sz w:val="21"/>
                <w:vertAlign w:val="superscript"/>
              </w:rPr>
              <w:t>2</w:t>
            </w:r>
            <w:r>
              <w:rPr>
                <w:rFonts w:ascii="仿宋_GB2312" w:hAnsi="仿宋_GB2312" w:cs="仿宋_GB2312" w:eastAsia="仿宋_GB2312"/>
                <w:sz w:val="21"/>
              </w:rPr>
              <w:t>，可作业面积</w:t>
            </w:r>
            <w:r>
              <w:rPr>
                <w:rFonts w:ascii="仿宋_GB2312" w:hAnsi="仿宋_GB2312" w:cs="仿宋_GB2312" w:eastAsia="仿宋_GB2312"/>
                <w:sz w:val="21"/>
              </w:rPr>
              <w:t>1400</w:t>
            </w:r>
            <w:r>
              <w:rPr>
                <w:rFonts w:ascii="仿宋_GB2312" w:hAnsi="仿宋_GB2312" w:cs="仿宋_GB2312" w:eastAsia="仿宋_GB2312"/>
                <w:sz w:val="21"/>
              </w:rPr>
              <w:t>m</w:t>
            </w:r>
            <w:r>
              <w:rPr>
                <w:rFonts w:ascii="仿宋_GB2312" w:hAnsi="仿宋_GB2312" w:cs="仿宋_GB2312" w:eastAsia="仿宋_GB2312"/>
                <w:sz w:val="21"/>
                <w:vertAlign w:val="superscript"/>
              </w:rPr>
              <w:t>2</w:t>
            </w:r>
            <w:r>
              <w:rPr>
                <w:rFonts w:ascii="仿宋_GB2312" w:hAnsi="仿宋_GB2312" w:cs="仿宋_GB2312" w:eastAsia="仿宋_GB2312"/>
                <w:sz w:val="21"/>
              </w:rPr>
              <w:t>，栽植树种为樱花、高杆卫矛、高杆月季、石楠球、红叶李、云杉、玉兰、混播草，节点绿化搭配栽植</w:t>
            </w:r>
            <w:r>
              <w:rPr>
                <w:rFonts w:ascii="仿宋_GB2312" w:hAnsi="仿宋_GB2312" w:cs="仿宋_GB2312" w:eastAsia="仿宋_GB2312"/>
                <w:sz w:val="21"/>
              </w:rPr>
              <w:t>(详见平面设计图)，穴状整地，整地规格为0.6x0.6x0.6m。</w:t>
            </w:r>
          </w:p>
          <w:p>
            <w:pPr>
              <w:pStyle w:val="null3"/>
              <w:jc w:val="both"/>
            </w:pPr>
            <w:r>
              <w:rPr>
                <w:rFonts w:ascii="仿宋_GB2312" w:hAnsi="仿宋_GB2312" w:cs="仿宋_GB2312" w:eastAsia="仿宋_GB2312"/>
                <w:sz w:val="21"/>
                <w:b/>
              </w:rPr>
              <w:t>七、施工及要求</w:t>
            </w:r>
          </w:p>
          <w:p>
            <w:pPr>
              <w:pStyle w:val="null3"/>
              <w:jc w:val="both"/>
            </w:pPr>
            <w:r>
              <w:rPr>
                <w:rFonts w:ascii="仿宋_GB2312" w:hAnsi="仿宋_GB2312" w:cs="仿宋_GB2312" w:eastAsia="仿宋_GB2312"/>
                <w:sz w:val="21"/>
                <w:b/>
              </w:rPr>
              <w:t>(一)绿化地平整、清理</w:t>
            </w:r>
          </w:p>
          <w:p>
            <w:pPr>
              <w:pStyle w:val="null3"/>
              <w:ind w:firstLine="420"/>
              <w:jc w:val="both"/>
            </w:pPr>
            <w:r>
              <w:rPr>
                <w:rFonts w:ascii="仿宋_GB2312" w:hAnsi="仿宋_GB2312" w:cs="仿宋_GB2312" w:eastAsia="仿宋_GB2312"/>
                <w:sz w:val="21"/>
              </w:rPr>
              <w:t>种植地表应按绿化工程设计基本要求平整绿化地面，同时清除砾石、杂草杂物等</w:t>
            </w:r>
            <w:r>
              <w:rPr>
                <w:rFonts w:ascii="仿宋_GB2312" w:hAnsi="仿宋_GB2312" w:cs="仿宋_GB2312" w:eastAsia="仿宋_GB2312"/>
                <w:sz w:val="21"/>
              </w:rPr>
              <w:t>;土地平整要根据项目绿化作业地块地形和周围环境状况等进行，做到因地制宜，填挖方量按照实际计算，坑穴规格严格按照设计表格要求。</w:t>
            </w:r>
          </w:p>
          <w:p>
            <w:pPr>
              <w:pStyle w:val="null3"/>
              <w:jc w:val="both"/>
            </w:pPr>
            <w:r>
              <w:rPr>
                <w:rFonts w:ascii="仿宋_GB2312" w:hAnsi="仿宋_GB2312" w:cs="仿宋_GB2312" w:eastAsia="仿宋_GB2312"/>
                <w:sz w:val="21"/>
                <w:b/>
              </w:rPr>
              <w:t>(二)苗木规格</w:t>
            </w:r>
          </w:p>
          <w:p>
            <w:pPr>
              <w:pStyle w:val="null3"/>
              <w:ind w:firstLine="420"/>
              <w:jc w:val="both"/>
            </w:pPr>
            <w:r>
              <w:rPr>
                <w:rFonts w:ascii="仿宋_GB2312" w:hAnsi="仿宋_GB2312" w:cs="仿宋_GB2312" w:eastAsia="仿宋_GB2312"/>
                <w:sz w:val="21"/>
              </w:rPr>
              <w:t>苗木必须坚持</w:t>
            </w:r>
            <w:r>
              <w:rPr>
                <w:rFonts w:ascii="仿宋_GB2312" w:hAnsi="仿宋_GB2312" w:cs="仿宋_GB2312" w:eastAsia="仿宋_GB2312"/>
                <w:sz w:val="21"/>
              </w:rPr>
              <w:t>“一签两证”的苗木供应制度。严格按照I、</w:t>
            </w:r>
            <w:r>
              <w:rPr>
                <w:rFonts w:ascii="仿宋_GB2312" w:hAnsi="仿宋_GB2312" w:cs="仿宋_GB2312" w:eastAsia="仿宋_GB2312"/>
                <w:sz w:val="21"/>
              </w:rPr>
              <w:t>II</w:t>
            </w:r>
            <w:r>
              <w:rPr>
                <w:rFonts w:ascii="仿宋_GB2312" w:hAnsi="仿宋_GB2312" w:cs="仿宋_GB2312" w:eastAsia="仿宋_GB2312"/>
                <w:sz w:val="21"/>
              </w:rPr>
              <w:t>级苗木标准把好苗木质量关，必须无机械损伤，无病虫害、枯梢。对苗木进行前期技术处理，以保证苗木符合设计要求，截干乔木锯口处要干净、光滑、无撕裂或分裂，正常截口应用蜡或漆封盖</w:t>
            </w:r>
            <w:r>
              <w:rPr>
                <w:rFonts w:ascii="仿宋_GB2312" w:hAnsi="仿宋_GB2312" w:cs="仿宋_GB2312" w:eastAsia="仿宋_GB2312"/>
                <w:sz w:val="21"/>
              </w:rPr>
              <w:t>;对粗大乔木需用无纺布缠绕，以防止日蚀和晒伤;根据实际对部分苗木使用生根粉等措施。(具体苗木品种规格见附表2)</w:t>
            </w:r>
          </w:p>
          <w:p>
            <w:pPr>
              <w:pStyle w:val="null3"/>
              <w:ind w:firstLine="420"/>
              <w:jc w:val="both"/>
            </w:pPr>
            <w:r>
              <w:rPr>
                <w:rFonts w:ascii="仿宋_GB2312" w:hAnsi="仿宋_GB2312" w:cs="仿宋_GB2312" w:eastAsia="仿宋_GB2312"/>
                <w:sz w:val="21"/>
              </w:rPr>
              <w:t>在保证树木能移植成活和满足交通运输的前提下，应尽量保留树木原有的冠幅，利于绿化尽快见效。</w:t>
            </w:r>
          </w:p>
          <w:p>
            <w:pPr>
              <w:pStyle w:val="null3"/>
              <w:jc w:val="both"/>
            </w:pPr>
            <w:r>
              <w:rPr>
                <w:rFonts w:ascii="仿宋_GB2312" w:hAnsi="仿宋_GB2312" w:cs="仿宋_GB2312" w:eastAsia="仿宋_GB2312"/>
                <w:sz w:val="21"/>
                <w:b/>
              </w:rPr>
              <w:t>(三)土球</w:t>
            </w:r>
          </w:p>
          <w:p>
            <w:pPr>
              <w:pStyle w:val="null3"/>
              <w:ind w:firstLine="420"/>
              <w:jc w:val="both"/>
            </w:pPr>
            <w:r>
              <w:rPr>
                <w:rFonts w:ascii="仿宋_GB2312" w:hAnsi="仿宋_GB2312" w:cs="仿宋_GB2312" w:eastAsia="仿宋_GB2312"/>
                <w:sz w:val="21"/>
              </w:rPr>
              <w:t>落叶乔木类土球直径应为胸径的</w:t>
            </w:r>
            <w:r>
              <w:rPr>
                <w:rFonts w:ascii="仿宋_GB2312" w:hAnsi="仿宋_GB2312" w:cs="仿宋_GB2312" w:eastAsia="仿宋_GB2312"/>
                <w:sz w:val="21"/>
              </w:rPr>
              <w:t>6-8倍，常绿乔木类土球直径应为胸径的7-10倍，灌木类土球直径应为冠幅的1/3左右，裸根苗不需要带土球。</w:t>
            </w:r>
          </w:p>
          <w:p>
            <w:pPr>
              <w:pStyle w:val="null3"/>
              <w:ind w:firstLine="420"/>
              <w:jc w:val="both"/>
            </w:pPr>
            <w:r>
              <w:rPr>
                <w:rFonts w:ascii="仿宋_GB2312" w:hAnsi="仿宋_GB2312" w:cs="仿宋_GB2312" w:eastAsia="仿宋_GB2312"/>
                <w:sz w:val="21"/>
              </w:rPr>
              <w:t>各类花卉苗木参照国家标准一、二级以上的苗木。</w:t>
            </w:r>
          </w:p>
          <w:p>
            <w:pPr>
              <w:pStyle w:val="null3"/>
              <w:jc w:val="both"/>
            </w:pPr>
            <w:r>
              <w:rPr>
                <w:rFonts w:ascii="仿宋_GB2312" w:hAnsi="仿宋_GB2312" w:cs="仿宋_GB2312" w:eastAsia="仿宋_GB2312"/>
                <w:sz w:val="21"/>
                <w:b/>
              </w:rPr>
              <w:t>(四)坑穴和播种要求</w:t>
            </w:r>
          </w:p>
          <w:p>
            <w:pPr>
              <w:pStyle w:val="null3"/>
              <w:ind w:firstLine="420"/>
              <w:jc w:val="both"/>
            </w:pPr>
            <w:r>
              <w:rPr>
                <w:rFonts w:ascii="仿宋_GB2312" w:hAnsi="仿宋_GB2312" w:cs="仿宋_GB2312" w:eastAsia="仿宋_GB2312"/>
                <w:sz w:val="21"/>
              </w:rPr>
              <w:t>采用穴状及鱼鳞坑整地方法</w:t>
            </w:r>
            <w:r>
              <w:rPr>
                <w:rFonts w:ascii="仿宋_GB2312" w:hAnsi="仿宋_GB2312" w:cs="仿宋_GB2312" w:eastAsia="仿宋_GB2312"/>
                <w:sz w:val="21"/>
              </w:rPr>
              <w:t>(具体整地规格及方式为见附表1)。播种草本要求要精细化操作，平整地面并用耙子来回翻耙土壤，使之均匀疏散。对一些立地条件差的地段采用“抽槽换土”的方法进行整地挖坑。整地时要对造林地块的原生植被进行保护，防止造成新的水土流失。</w:t>
            </w:r>
          </w:p>
          <w:p>
            <w:pPr>
              <w:pStyle w:val="null3"/>
              <w:jc w:val="both"/>
            </w:pPr>
            <w:r>
              <w:rPr>
                <w:rFonts w:ascii="仿宋_GB2312" w:hAnsi="仿宋_GB2312" w:cs="仿宋_GB2312" w:eastAsia="仿宋_GB2312"/>
                <w:sz w:val="21"/>
                <w:b/>
              </w:rPr>
              <w:t>(五)浇水</w:t>
            </w:r>
          </w:p>
          <w:p>
            <w:pPr>
              <w:pStyle w:val="null3"/>
              <w:ind w:firstLine="420"/>
              <w:jc w:val="both"/>
            </w:pPr>
            <w:r>
              <w:rPr>
                <w:rFonts w:ascii="仿宋_GB2312" w:hAnsi="仿宋_GB2312" w:cs="仿宋_GB2312" w:eastAsia="仿宋_GB2312"/>
                <w:sz w:val="21"/>
              </w:rPr>
              <w:t>栽植后要及时浇水，头遍水要浇透，然后根据气候和墒情再继续浇水，一般浇水</w:t>
            </w:r>
            <w:r>
              <w:rPr>
                <w:rFonts w:ascii="仿宋_GB2312" w:hAnsi="仿宋_GB2312" w:cs="仿宋_GB2312" w:eastAsia="仿宋_GB2312"/>
                <w:sz w:val="21"/>
              </w:rPr>
              <w:t>2次以上。水下渗后封堰。天气过于干燥时，需注意及时浇灌水。常绿树栽植后要向枝叶喷水，10天内要每天枝叶喷水3次，直至新枝萌芽。喷水是常绿树种成活的关键，不能忽视。花卉草坪浇水不能用大水漫灌或者喷灌，可用小水喷洒。</w:t>
            </w:r>
          </w:p>
          <w:p>
            <w:pPr>
              <w:pStyle w:val="null3"/>
              <w:jc w:val="both"/>
            </w:pPr>
            <w:r>
              <w:rPr>
                <w:rFonts w:ascii="仿宋_GB2312" w:hAnsi="仿宋_GB2312" w:cs="仿宋_GB2312" w:eastAsia="仿宋_GB2312"/>
                <w:sz w:val="21"/>
                <w:b/>
              </w:rPr>
              <w:t>(六)养护补植</w:t>
            </w:r>
          </w:p>
          <w:p>
            <w:pPr>
              <w:pStyle w:val="null3"/>
              <w:ind w:firstLine="420"/>
              <w:jc w:val="both"/>
            </w:pPr>
            <w:r>
              <w:rPr>
                <w:rFonts w:ascii="仿宋_GB2312" w:hAnsi="仿宋_GB2312" w:cs="仿宋_GB2312" w:eastAsia="仿宋_GB2312"/>
                <w:sz w:val="21"/>
              </w:rPr>
              <w:t>养护应及时更新复壮受损苗木，对死树进行补植补栽，并按设计和植物生态特性如喜阳、喜阴、耐旱、耐湿等分别养护、且据植物生长不同阶段及时调整。保持丰富的层次和群落结构。在养护期内负责清杂物、浇水保持土壤湿润、修剪整形、抹不定芽、防风、防病虫等。</w:t>
            </w:r>
          </w:p>
          <w:p>
            <w:pPr>
              <w:pStyle w:val="null3"/>
              <w:ind w:firstLine="420"/>
            </w:pPr>
            <w:r>
              <w:rPr>
                <w:rFonts w:ascii="仿宋_GB2312" w:hAnsi="仿宋_GB2312" w:cs="仿宋_GB2312" w:eastAsia="仿宋_GB2312"/>
                <w:sz w:val="21"/>
                <w:b/>
              </w:rPr>
              <w:t>（七）施工进度</w:t>
            </w:r>
          </w:p>
          <w:p>
            <w:pPr>
              <w:pStyle w:val="null3"/>
              <w:ind w:firstLine="420"/>
              <w:jc w:val="both"/>
            </w:pPr>
            <w:r>
              <w:rPr>
                <w:rFonts w:ascii="仿宋_GB2312" w:hAnsi="仿宋_GB2312" w:cs="仿宋_GB2312" w:eastAsia="仿宋_GB2312"/>
                <w:sz w:val="21"/>
              </w:rPr>
              <w:t>1、计划工期2个月；</w:t>
            </w:r>
          </w:p>
          <w:p>
            <w:pPr>
              <w:pStyle w:val="null3"/>
              <w:ind w:firstLine="420"/>
              <w:jc w:val="both"/>
            </w:pPr>
            <w:r>
              <w:rPr>
                <w:rFonts w:ascii="仿宋_GB2312" w:hAnsi="仿宋_GB2312" w:cs="仿宋_GB2312" w:eastAsia="仿宋_GB2312"/>
              </w:rPr>
              <w:t>2、养护期自竣工验收完成后一年。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符合国家及地方现行验收规范“合格”标准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法人授权委托书、被授权人身份证（法定代表人直接参加除外，但须出示法定代表人身份证）；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出具参加政府采购活动前三年内，在经营活动中没有重大违法记录的书面声明；履行合同所必需的设备和专业技术能力的书面声明；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的财务报告（包括“四表一注”，即资产负债表、利润表、现金流量表、所有者权益变动表及其附注，成立时间至提交投标文件截止时间不足一年的可提供成立后任意时段的资产负债表）或其磋商会议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供应商提供近半年内已缴纳的至少一个月的纳税证明或完税证明，纳税证明或完税证明上应有代收机构或税务机关的公章法免税的供应商应提供相关文件证明；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供应商提供近半年内已缴存的至少一个月的社会保障资金缴存单据或社保机构开具的社会保险参保缴费情况证明，依法不需要缴纳社会保障资金的供应商应提供相关文件证明；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信誉证明</w:t>
            </w:r>
          </w:p>
        </w:tc>
        <w:tc>
          <w:tcPr>
            <w:tcW w:type="dxa" w:w="3322"/>
          </w:tcPr>
          <w:p>
            <w:pPr>
              <w:pStyle w:val="null3"/>
            </w:pPr>
            <w:r>
              <w:rPr>
                <w:rFonts w:ascii="仿宋_GB2312" w:hAnsi="仿宋_GB2312" w:cs="仿宋_GB2312" w:eastAsia="仿宋_GB2312"/>
              </w:rPr>
              <w:t>供应商不得被列入“中国执行信息公开网”（http://zxgk.court.gov.cn） 失信被执行人，不得被列入“信用中国”网站（www.creditchina.gov.cn）重大税收违法失信主体，不得被列入“中国政府采购网”（www.ccgp.gov.cn）政府采购严重违法失信行为记录名单中被财政部门禁止参加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供应商单位负责人为同一人或者存在控股、管理关系的不同单位，不得参加同一合同项下的政府采购；为采购项目提供整体设计、规范编制或者项目管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商务、技术偏离表 技术服务合同条款及其他商务要求应答表 强制优先采购产品承诺函 响应文件封面 残疾人福利性单位声明函 报价函 首次磋商报价一览表 标的清单 供应商类似项目业绩一览表 供应商承诺书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已标价工程量清单 报价函 首次磋商报价一览表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应符合本项目工程量清单以及清单说明的要求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不存在法律、法规和磋商文件规定的其他无效磋商情形</w:t>
            </w:r>
          </w:p>
        </w:tc>
        <w:tc>
          <w:tcPr>
            <w:tcW w:type="dxa" w:w="1661"/>
          </w:tcPr>
          <w:p>
            <w:pPr>
              <w:pStyle w:val="null3"/>
            </w:pPr>
            <w:r>
              <w:rPr>
                <w:rFonts w:ascii="仿宋_GB2312" w:hAnsi="仿宋_GB2312" w:cs="仿宋_GB2312" w:eastAsia="仿宋_GB2312"/>
              </w:rPr>
              <w:t>响应文件封面 供应商认为需要提交的其他资料</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对工程整体有深刻认识，表述清晰完整，造林绿化总体组织是否符合实际，具有可行的、植被恢复方案（林地清理、整地方式、造林时间、苗木运输、造林方法补植补造、抚育管理等方面）进行综合评审。 A.方案详尽，合理可行，逻辑清楚，针对性及可行性强，得（15-20]分； B.方案详尽，基本合理可行，逻辑基本清楚，针对性及可行性较强，得（10-15]分； C.方案较完善，有一定的逻辑性、针对性、可行性（5-10]分；D.方案内容简单笼统，得（0-5]分； E.其他或未提供不得分。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根据工程情况，编制进度计划，对供应商提供的进度计划安排进行综合评审。 A.进度安排合理可行，各环节有序衔接，完全满足需求得（4-6]分； B.进度安排较合理，基本满足需求，得（2-4]分； C.进度安排合理性较差，对项目满足度较欠缺得（0-2]分； D.其他或未提供不得分。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质量防治措施</w:t>
            </w:r>
          </w:p>
        </w:tc>
        <w:tc>
          <w:tcPr>
            <w:tcW w:type="dxa" w:w="2492"/>
          </w:tcPr>
          <w:p>
            <w:pPr>
              <w:pStyle w:val="null3"/>
            </w:pPr>
            <w:r>
              <w:rPr>
                <w:rFonts w:ascii="仿宋_GB2312" w:hAnsi="仿宋_GB2312" w:cs="仿宋_GB2312" w:eastAsia="仿宋_GB2312"/>
              </w:rPr>
              <w:t>质量目标是否明确、通病治理措施是否有效，是否有完善健全的质量保证体系和防治措施（包括但不限于病虫害防治、防牲畜破坏、自然灾害等方面）进行综合评审。 A.质量目标明确、通病治理措施有效，有完善健全的质量保证体系和防治措施的得（4-6]分； B.质量目标清晰、通病治理措施一般，质量保证体系和防治措施基本满足采购需求的得（2-4]分； C.质量目标不清晰、没有通病治理措施，质量保证体系和防治措施差的得（0-2]分； D.其他或未提供不得分。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安全文明环保措施</w:t>
            </w:r>
          </w:p>
        </w:tc>
        <w:tc>
          <w:tcPr>
            <w:tcW w:type="dxa" w:w="2492"/>
          </w:tcPr>
          <w:p>
            <w:pPr>
              <w:pStyle w:val="null3"/>
            </w:pPr>
            <w:r>
              <w:rPr>
                <w:rFonts w:ascii="仿宋_GB2312" w:hAnsi="仿宋_GB2312" w:cs="仿宋_GB2312" w:eastAsia="仿宋_GB2312"/>
              </w:rPr>
              <w:t>依据供应商对树种供应、起运及栽植过程中采取的安全、环保、文明等措施进行综合评审。 A.安全、环保、文明等方案措施全面，能确保本项目顺利进行的得（4-6]分； B.安全、环保、文明等方案措施一般，基本满足本项目需求的得（2-4]分； C.安全、环保、文明等方案措施较差，不能确保本项目顺利进行的得（0-2]分； D.其他或未提供不得分。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针对本项目的树种成活率、树种的养护、补植方案等保障措施进行综合评审。 A.树种成活率高、树种养护得当、补植方案科学合理的得（6-8]分； B.树种成活率基本满足需求、树种养护措施一般、补植方案基本可行的得（2-6]分； C.树种成活率低、树种养护措施一般、补植方案较差的得（0-2]分； D.其他或未提供不得分。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管护措施</w:t>
            </w:r>
          </w:p>
        </w:tc>
        <w:tc>
          <w:tcPr>
            <w:tcW w:type="dxa" w:w="2492"/>
          </w:tcPr>
          <w:p>
            <w:pPr>
              <w:pStyle w:val="null3"/>
            </w:pPr>
            <w:r>
              <w:rPr>
                <w:rFonts w:ascii="仿宋_GB2312" w:hAnsi="仿宋_GB2312" w:cs="仿宋_GB2312" w:eastAsia="仿宋_GB2312"/>
              </w:rPr>
              <w:t>依据树种特性、种类、季节、土壤干湿程度，采取的管护措施进行综合评审。 A.管护措施科学合理、全面完善得（4-6]分； B.管护措施较合理、较完善得（2-4]分； C.管护措施一般，完善性较差得（0-2]分； D.其他或未提供不得分。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项目机构人员配备合理，岗位职责明确，能够根据本项目的实际需求提供专业全面的技术服务人员，有具体的人员明细表，包括姓名、地址、联系电话、岗位及专业证书等内容。 A.项目机构人员架构清晰、职责明确、安排合理、专业性强的得（6-8]分； B.项目机构人员架构清晰，职责明确，提供的专业人员基本满足本项目的实际需求，分工较合理的得（4-6]分； C.项目机构配备差、专业服务人员少、不符合项目整体需求，不能使项目正常运作的得（0-4]分； D.其他或未提供不得分。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设备设施及辅助设施情况</w:t>
            </w:r>
          </w:p>
        </w:tc>
        <w:tc>
          <w:tcPr>
            <w:tcW w:type="dxa" w:w="2492"/>
          </w:tcPr>
          <w:p>
            <w:pPr>
              <w:pStyle w:val="null3"/>
            </w:pPr>
            <w:r>
              <w:rPr>
                <w:rFonts w:ascii="仿宋_GB2312" w:hAnsi="仿宋_GB2312" w:cs="仿宋_GB2312" w:eastAsia="仿宋_GB2312"/>
              </w:rPr>
              <w:t>根据项目拟使用的设备、辅助设施是否完备，是否满足本项目需求进行综合评审。 A.设备、辅助设施提供完善的得（3-5]分； B.设备、辅助设施提供基本完善的得（1-3]分； C.设备、辅助设施提供不完善的得（0-1]分； D.其他或未提供不得分。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根据供应商提供的重难点分析情况进行综合评审。 A.对本项目重难点认识深刻，表述全面准确，可操作性强得（3-4]分； B.重难点表述较全面、较准确，可操作性较强得（1-3]分； C.重难点表述不全面、可操作性差得（0-1]分； D.其他或未提供不得分。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项目应急预案</w:t>
            </w:r>
          </w:p>
        </w:tc>
        <w:tc>
          <w:tcPr>
            <w:tcW w:type="dxa" w:w="2492"/>
          </w:tcPr>
          <w:p>
            <w:pPr>
              <w:pStyle w:val="null3"/>
            </w:pPr>
            <w:r>
              <w:rPr>
                <w:rFonts w:ascii="仿宋_GB2312" w:hAnsi="仿宋_GB2312" w:cs="仿宋_GB2312" w:eastAsia="仿宋_GB2312"/>
              </w:rPr>
              <w:t>针对项目实际情况有完整的应急救援预案，包括但不限于雨季造林应急预案、森林防火预案等方面进行综合评审。 A.应急救援预案针对性强得（3-5]分； B.应急救援预案针对性较强得（1-3]分； C.应急救援预案一般得（0-1]分； D.其他或未提供不得分。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近三年以来供应商有类似项目业绩的，每有一份得2分，最多得6分。 备注：供应商须提供合同文本复印件，合同复印件须包括合同首页、合同标的页、合同金额所在页、签字盖章页并加盖公章。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首次磋商报价一览表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满足磋商文件要求且最终磋商报价最低的为基准价,其价格分为满分。其他供应商的价格分统一按照下列公式计算:最终磋商报价得分=(基准价/最终磋商报价)x20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详见附件：首次磋商报价一览表</w:t>
      </w:r>
    </w:p>
    <w:p>
      <w:pPr>
        <w:pStyle w:val="null3"/>
        <w:ind w:firstLine="960"/>
      </w:pPr>
      <w:r>
        <w:rPr>
          <w:rFonts w:ascii="仿宋_GB2312" w:hAnsi="仿宋_GB2312" w:cs="仿宋_GB2312" w:eastAsia="仿宋_GB2312"/>
        </w:rPr>
        <w:t>详见附件：商务、技术偏离表</w:t>
      </w:r>
    </w:p>
    <w:p>
      <w:pPr>
        <w:pStyle w:val="null3"/>
        <w:ind w:firstLine="960"/>
      </w:pPr>
      <w:r>
        <w:rPr>
          <w:rFonts w:ascii="仿宋_GB2312" w:hAnsi="仿宋_GB2312" w:cs="仿宋_GB2312" w:eastAsia="仿宋_GB2312"/>
        </w:rPr>
        <w:t>详见附件：技术标</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详见附件：供应商认为需要提交的其他资料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