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版本号：ZMZB2026XKD-180.1B120260703001</w:t>
      </w:r>
      <w:r>
        <w:br/>
      </w:r>
      <w:r>
        <w:br/>
      </w:r>
      <w:r>
        <w:br/>
      </w:r>
      <w:r>
        <w:br/>
      </w:r>
      <w:r>
        <w:br/>
      </w:r>
    </w:p>
    <w:p>
      <w:pPr>
        <w:pStyle w:val="null3"/>
        <w:jc w:val="center"/>
        <w:outlineLvl w:val="0"/>
      </w:pPr>
      <w:r>
        <w:rPr>
          <w:rFonts w:ascii="仿宋_GB2312" w:hAnsi="仿宋_GB2312" w:cs="仿宋_GB2312" w:eastAsia="仿宋_GB2312"/>
          <w:sz w:val="48"/>
          <w:b/>
        </w:rPr>
        <w:t>谈 判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岩石混凝土长时流变性能测试仪采购项目(二次)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ZMZB2026XKD-180.1B1</w:t>
      </w:r>
      <w:r>
        <w:br/>
      </w:r>
      <w:r>
        <w:br/>
      </w:r>
      <w:r>
        <w:br/>
      </w:r>
    </w:p>
    <w:p>
      <w:pPr>
        <w:pStyle w:val="null3"/>
        <w:jc w:val="center"/>
        <w:outlineLvl w:val="2"/>
      </w:pPr>
      <w:r>
        <w:rPr>
          <w:rFonts w:ascii="仿宋_GB2312" w:hAnsi="仿宋_GB2312" w:cs="仿宋_GB2312" w:eastAsia="仿宋_GB2312"/>
          <w:sz w:val="28"/>
          <w:b/>
        </w:rPr>
        <w:t>西安科技大学</w:t>
      </w:r>
    </w:p>
    <w:p>
      <w:pPr>
        <w:pStyle w:val="null3"/>
        <w:jc w:val="center"/>
        <w:outlineLvl w:val="2"/>
      </w:pPr>
      <w:r>
        <w:rPr>
          <w:rFonts w:ascii="仿宋_GB2312" w:hAnsi="仿宋_GB2312" w:cs="仿宋_GB2312" w:eastAsia="仿宋_GB2312"/>
          <w:sz w:val="28"/>
          <w:b/>
        </w:rPr>
        <w:t>陕西卓佲项目管理有限公司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2026年07月03日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pPr>
      <w:r>
        <w:rPr>
          <w:rFonts w:ascii="仿宋_GB2312" w:hAnsi="仿宋_GB2312" w:cs="仿宋_GB2312" w:eastAsia="仿宋_GB2312"/>
        </w:rPr>
        <w:t>陕西卓佲项目管理有限公司</w:t>
      </w:r>
      <w:r>
        <w:rPr>
          <w:rFonts w:ascii="仿宋_GB2312" w:hAnsi="仿宋_GB2312" w:cs="仿宋_GB2312" w:eastAsia="仿宋_GB2312"/>
        </w:rPr>
        <w:t>（以下简称“代理机构”）受</w:t>
      </w:r>
      <w:r>
        <w:rPr>
          <w:rFonts w:ascii="仿宋_GB2312" w:hAnsi="仿宋_GB2312" w:cs="仿宋_GB2312" w:eastAsia="仿宋_GB2312"/>
        </w:rPr>
        <w:t>西安科技大学</w:t>
      </w:r>
      <w:r>
        <w:rPr>
          <w:rFonts w:ascii="仿宋_GB2312" w:hAnsi="仿宋_GB2312" w:cs="仿宋_GB2312" w:eastAsia="仿宋_GB2312"/>
        </w:rPr>
        <w:t>委托，拟对</w:t>
      </w:r>
      <w:r>
        <w:rPr>
          <w:rFonts w:ascii="仿宋_GB2312" w:hAnsi="仿宋_GB2312" w:cs="仿宋_GB2312" w:eastAsia="仿宋_GB2312"/>
        </w:rPr>
        <w:t>岩石混凝土长时流变性能测试仪采购项目(二次)</w:t>
      </w:r>
      <w:r>
        <w:rPr>
          <w:rFonts w:ascii="仿宋_GB2312" w:hAnsi="仿宋_GB2312" w:cs="仿宋_GB2312" w:eastAsia="仿宋_GB2312"/>
        </w:rPr>
        <w:t>采用竞争性谈判采购方式进行采购，兹邀请供应商参加本项目的竞争性谈判。</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ZMZB2026XKD-180.1B1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岩石混凝土长时流变性能测试仪采购项目(二次)</w:t>
      </w:r>
    </w:p>
    <w:p>
      <w:pPr>
        <w:pStyle w:val="null3"/>
        <w:outlineLvl w:val="2"/>
      </w:pPr>
      <w:r>
        <w:rPr>
          <w:rFonts w:ascii="仿宋_GB2312" w:hAnsi="仿宋_GB2312" w:cs="仿宋_GB2312" w:eastAsia="仿宋_GB2312"/>
          <w:sz w:val="28"/>
          <w:b/>
        </w:rPr>
        <w:t>三、谈判项目简介：</w:t>
      </w:r>
    </w:p>
    <w:p>
      <w:pPr>
        <w:pStyle w:val="null3"/>
        <w:ind w:firstLine="480"/>
      </w:pPr>
      <w:r>
        <w:rPr>
          <w:rFonts w:ascii="仿宋_GB2312" w:hAnsi="仿宋_GB2312" w:cs="仿宋_GB2312" w:eastAsia="仿宋_GB2312"/>
        </w:rPr>
        <w:t>岩石混凝土长时流变性能测试仪采购项目(二次)</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本次采购采取公告征集邀请谈判的供应商。</w:t>
      </w:r>
    </w:p>
    <w:p>
      <w:pPr>
        <w:pStyle w:val="null3"/>
      </w:pPr>
      <w:r>
        <w:rPr>
          <w:rFonts w:ascii="仿宋_GB2312" w:hAnsi="仿宋_GB2312" w:cs="仿宋_GB2312" w:eastAsia="仿宋_GB2312"/>
        </w:rPr>
        <w:t xml:space="preserve"> 公告征集：本次竞争性谈判邀请在“陕西省政府采购网（www.ccgp-shaanxi.gov.cn）”上以公告形式发布，兹邀请符合本次采购要求的供应商参加本项目的竞争性谈判。</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采购包1（岩石混凝土长时流变性能测试仪采购项目）：属于专门面向中小企业采购。</w:t>
      </w:r>
    </w:p>
    <w:p>
      <w:pPr>
        <w:pStyle w:val="null3"/>
        <w:ind w:firstLine="440"/>
        <w:jc w:val="left"/>
      </w:pPr>
      <w:r>
        <w:rPr>
          <w:rFonts w:ascii="仿宋_GB2312" w:hAnsi="仿宋_GB2312" w:cs="仿宋_GB2312" w:eastAsia="仿宋_GB2312"/>
          <w:sz w:val="22"/>
        </w:rPr>
        <w:t>注：监狱企业和残疾人福利性单位视同小微企业，符合中小企业划分标准的个体工商户视同中小企业。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1、具有独立承担民事责任能力的法人、其他组织或自然人：提供合法有效的统一社会信用代码营业执照（事业单位提供事业单位法人证书，自然人应提供身份证）</w:t>
      </w:r>
    </w:p>
    <w:p>
      <w:pPr>
        <w:pStyle w:val="null3"/>
      </w:pPr>
      <w:r>
        <w:rPr>
          <w:rFonts w:ascii="仿宋_GB2312" w:hAnsi="仿宋_GB2312" w:cs="仿宋_GB2312" w:eastAsia="仿宋_GB2312"/>
        </w:rPr>
        <w:t>2、财务状况证明：供应商提供2024年度或2025年度经审计完整的财务审计报告（成立时间至提交投标文件截止时间不足一年的可提供成立后任意时段的资产负债表），或其开标前六个月内银行出具的资信证明，或财政部门认可的政府采购专业担保机构出具的投标担保函</w:t>
      </w:r>
    </w:p>
    <w:p>
      <w:pPr>
        <w:pStyle w:val="null3"/>
      </w:pPr>
      <w:r>
        <w:rPr>
          <w:rFonts w:ascii="仿宋_GB2312" w:hAnsi="仿宋_GB2312" w:cs="仿宋_GB2312" w:eastAsia="仿宋_GB2312"/>
        </w:rPr>
        <w:t>3、税收缴纳证明：提供2025年7月1日以来任意时间段的依法缴纳税收的相关凭据（时间以税款所属日期为准），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4、社会保障资金缴纳证明：提供2025年7月1日以来任意时间段的社会保障资金缴存单据或社保机构开具的社会保险参保缴费情况证明。依法不需要缴纳社会保障资金的供应商应提供相关文件证明</w:t>
      </w:r>
    </w:p>
    <w:p>
      <w:pPr>
        <w:pStyle w:val="null3"/>
      </w:pPr>
      <w:r>
        <w:rPr>
          <w:rFonts w:ascii="仿宋_GB2312" w:hAnsi="仿宋_GB2312" w:cs="仿宋_GB2312" w:eastAsia="仿宋_GB2312"/>
        </w:rPr>
        <w:t>5、具有履行合同所必需的设备和专业技术能力的书面声明：具有履行合同所必需的设备和专业技术能力的书面声明</w:t>
      </w:r>
    </w:p>
    <w:p>
      <w:pPr>
        <w:pStyle w:val="null3"/>
      </w:pPr>
      <w:r>
        <w:rPr>
          <w:rFonts w:ascii="仿宋_GB2312" w:hAnsi="仿宋_GB2312" w:cs="仿宋_GB2312" w:eastAsia="仿宋_GB2312"/>
        </w:rPr>
        <w:t>6、法定代表人授权书：非法定代表人参加投标的，须提供法定代表人委托授权书及被授权人身份证，法定代表人参加投标时,只需提供法定代表人身份证</w:t>
      </w:r>
    </w:p>
    <w:p>
      <w:pPr>
        <w:pStyle w:val="null3"/>
      </w:pPr>
      <w:r>
        <w:rPr>
          <w:rFonts w:ascii="仿宋_GB2312" w:hAnsi="仿宋_GB2312" w:cs="仿宋_GB2312" w:eastAsia="仿宋_GB2312"/>
        </w:rPr>
        <w:t>7、参加政府采购活动前3年内在经营活动中没有重大违法记录的书面声明：参加政府采购活动前3年内在经营活动中没有重大违法记录的书面声明</w:t>
      </w:r>
    </w:p>
    <w:p>
      <w:pPr>
        <w:pStyle w:val="null3"/>
      </w:pPr>
      <w:r>
        <w:rPr>
          <w:rFonts w:ascii="仿宋_GB2312" w:hAnsi="仿宋_GB2312" w:cs="仿宋_GB2312" w:eastAsia="仿宋_GB2312"/>
        </w:rPr>
        <w:t>8、本项目不允许联合体谈判：提供非联合体声明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七、竞争性谈判文件获取时间、方式及地址</w:t>
      </w:r>
    </w:p>
    <w:p>
      <w:pPr>
        <w:pStyle w:val="null3"/>
        <w:ind w:firstLine="480"/>
      </w:pPr>
      <w:r>
        <w:rPr>
          <w:rFonts w:ascii="仿宋_GB2312" w:hAnsi="仿宋_GB2312" w:cs="仿宋_GB2312" w:eastAsia="仿宋_GB2312"/>
        </w:rPr>
        <w:t>（一）谈判文件获取时间：详见采购公告或邀请书</w:t>
      </w:r>
    </w:p>
    <w:p>
      <w:pPr>
        <w:pStyle w:val="null3"/>
        <w:ind w:firstLine="480"/>
      </w:pPr>
      <w:r>
        <w:rPr>
          <w:rFonts w:ascii="仿宋_GB2312" w:hAnsi="仿宋_GB2312" w:cs="仿宋_GB2312" w:eastAsia="仿宋_GB2312"/>
        </w:rPr>
        <w:t xml:space="preserve"> （二）在谈判文件获取开始时间前，采购人或代理机构将本项目谈判文件上传至项目电子化交易系统，向供应商提供。供应商通过项目电子化交易系统获取谈判文件。成功获取谈判文件的，供应商将收到已获取谈判文件的回执函。未成功获取谈判文件的供应商，不得参与本次采购活动，不得对谈判文件提起质疑。</w:t>
      </w:r>
    </w:p>
    <w:p>
      <w:pPr>
        <w:pStyle w:val="null3"/>
        <w:ind w:firstLine="480"/>
      </w:pPr>
      <w:r>
        <w:rPr>
          <w:rFonts w:ascii="仿宋_GB2312" w:hAnsi="仿宋_GB2312" w:cs="仿宋_GB2312" w:eastAsia="仿宋_GB2312"/>
        </w:rPr>
        <w:t xml:space="preserve"> 成功获取谈判文件后，采购人或代理机构进行澄清或者修改的，澄清或者修改的内容可能影响响应文件编制的，采购人或代理机构将通过项目电子化交易系统发布澄清或者修改后的谈判文件，供应商应当重新获取谈判文件；澄清或者修改后的谈判文件发布日期距提交响应文件截止日期不足3个工作日的，采购人或代理机构顺延提交响应文件的截止时间。供应商未重新获取谈判文件或者未按照澄清或者修改后的谈判文件编制响应文件进行响应的，自行承担不利后果。</w:t>
      </w:r>
    </w:p>
    <w:p>
      <w:pPr>
        <w:pStyle w:val="null3"/>
        <w:jc w:val="left"/>
      </w:pPr>
      <w:r>
        <w:rPr>
          <w:rFonts w:ascii="仿宋_GB2312" w:hAnsi="仿宋_GB2312" w:cs="仿宋_GB2312" w:eastAsia="仿宋_GB2312"/>
        </w:rPr>
        <w:t>注：获取的谈判文件主体格式包括pdf、word两种格式版本，其中以pdf格式为准。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九、谈判方式</w:t>
      </w:r>
    </w:p>
    <w:p>
      <w:pPr>
        <w:pStyle w:val="null3"/>
        <w:ind w:firstLine="480"/>
      </w:pPr>
      <w:r>
        <w:rPr>
          <w:rFonts w:ascii="仿宋_GB2312" w:hAnsi="仿宋_GB2312" w:cs="仿宋_GB2312" w:eastAsia="仿宋_GB2312"/>
        </w:rPr>
        <w:t xml:space="preserve"> 本项目谈判小组与供应商通过项目电子化交易系统以在线方式进行谈判。谈判会议由谈判小组在线主持，供应商代表在线参加。供应商应随时关注项目电子化交易系统信息，及时参与在线谈判。供应商登录项目电子化交易系统，与谈判小组进行在线谈判、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西安科技大学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西安市雁塔路58号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029-83858191</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陕西卓佲项目管理有限公司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西安市雁塔区科技路30号合力紫郡大厦B座21层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 xml:space="preserve"> 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米文佳 杨帆</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17778966063</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采购包1：850,000.00元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最低评标价法(详见第六章)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如以联合体响应的，联合体各方均应当具备本谈判文件要求的资格条件和能力。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的不同供应商参加同一合同项下采购活动的，以其中通过资格审查、符合性审查且报价最低的参加评审；报价相同的，由采购人或者采购人委托谈判小组按照随机抽取方式确定一个参加谈判的供应商，其他响应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和相关证明材料，应当加盖供应商公章，在谈判小组要求的时间内通过项目电子化交易系统进行提交，否则提交的相关材料无效，视为不能证明其响应报价合理性。供应商不能证明其响应报价合理性的，谈判小组应当将其响应文件作为无效处理。</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谈判保证金</w:t>
            </w:r>
          </w:p>
        </w:tc>
        <w:tc>
          <w:tcPr>
            <w:tcW w:type="dxa" w:w="5004"/>
          </w:tcPr>
          <w:p>
            <w:pPr>
              <w:pStyle w:val="null3"/>
            </w:pPr>
            <w:r>
              <w:rPr>
                <w:rFonts w:ascii="仿宋_GB2312" w:hAnsi="仿宋_GB2312" w:cs="仿宋_GB2312" w:eastAsia="仿宋_GB2312"/>
              </w:rPr>
              <w:t>采购包1保证金金额：17,000.00元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开户名称：陕西卓佲项目管理有限公司</w:t>
            </w:r>
          </w:p>
          <w:p>
            <w:pPr>
              <w:pStyle w:val="null3"/>
            </w:pPr>
            <w:r>
              <w:rPr>
                <w:rFonts w:ascii="仿宋_GB2312" w:hAnsi="仿宋_GB2312" w:cs="仿宋_GB2312" w:eastAsia="仿宋_GB2312"/>
              </w:rPr>
              <w:t>开户银行：中国民生银行股份有限公司西安高新开发区支行</w:t>
            </w:r>
          </w:p>
          <w:p>
            <w:pPr>
              <w:pStyle w:val="null3"/>
            </w:pPr>
            <w:r>
              <w:rPr>
                <w:rFonts w:ascii="仿宋_GB2312" w:hAnsi="仿宋_GB2312" w:cs="仿宋_GB2312" w:eastAsia="仿宋_GB2312"/>
              </w:rPr>
              <w:t>银行账号：647840417</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说明：供应商成交后凭成交通知书向采购人缴纳成交金额的5%作为履约保证金，验收合格支付货款后，5%履约保证金无质量问题一次性无息退还。</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中标（成交）金额50万元以下定额收取：4687元；50万元（含）以上的项目中标服务费参照国家发展和改革委员会《招标代理服务收费暂行办法》（计价格[2002]1980号）文件规定标准的0.775折计取； 供应商将招标代理服务费计入响应报价但不单独列明，成交单位在领取成交通知书前，须向采购代理机构一次性支付招标代理服务费；代理服务费以转账、电汇或现金等形式交纳。</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本谈判文件所称的“以上”、“以下”、“内”、“以内”、“不少于”包括本数；所称的“不足”、“低于”、“超过”不包括本数。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一、本竞争性谈判文件仅适用于本次竞争性谈判采购项目。</w:t>
      </w:r>
    </w:p>
    <w:p>
      <w:pPr>
        <w:pStyle w:val="null3"/>
        <w:ind w:firstLine="480"/>
      </w:pPr>
      <w:r>
        <w:rPr>
          <w:rFonts w:ascii="仿宋_GB2312" w:hAnsi="仿宋_GB2312" w:cs="仿宋_GB2312" w:eastAsia="仿宋_GB2312"/>
        </w:rPr>
        <w:t>二、本竞争性谈判文件的最终解释权由</w:t>
      </w:r>
      <w:r>
        <w:rPr>
          <w:rFonts w:ascii="仿宋_GB2312" w:hAnsi="仿宋_GB2312" w:cs="仿宋_GB2312" w:eastAsia="仿宋_GB2312"/>
        </w:rPr>
        <w:t>西安科技大学</w:t>
      </w:r>
      <w:r>
        <w:rPr>
          <w:rFonts w:ascii="仿宋_GB2312" w:hAnsi="仿宋_GB2312" w:cs="仿宋_GB2312" w:eastAsia="仿宋_GB2312"/>
        </w:rPr>
        <w:t>和</w:t>
      </w:r>
      <w:r>
        <w:rPr>
          <w:rFonts w:ascii="仿宋_GB2312" w:hAnsi="仿宋_GB2312" w:cs="仿宋_GB2312" w:eastAsia="仿宋_GB2312"/>
        </w:rPr>
        <w:t>陕西卓佲项目管理有限公司</w:t>
      </w:r>
      <w:r>
        <w:rPr>
          <w:rFonts w:ascii="仿宋_GB2312" w:hAnsi="仿宋_GB2312" w:cs="仿宋_GB2312" w:eastAsia="仿宋_GB2312"/>
        </w:rPr>
        <w:t>享有。竞争性谈判文件中供应商参加本次政府采购活动应当具备的条件、技术清单、参数、商务及其他要求由</w:t>
      </w:r>
      <w:r>
        <w:rPr>
          <w:rFonts w:ascii="仿宋_GB2312" w:hAnsi="仿宋_GB2312" w:cs="仿宋_GB2312" w:eastAsia="仿宋_GB2312"/>
        </w:rPr>
        <w:t>西安科技大学</w:t>
      </w:r>
      <w:r>
        <w:rPr>
          <w:rFonts w:ascii="仿宋_GB2312" w:hAnsi="仿宋_GB2312" w:cs="仿宋_GB2312" w:eastAsia="仿宋_GB2312"/>
        </w:rPr>
        <w:t>负责解释。除上述竞争性谈判文件内容，其他内容由</w:t>
      </w:r>
      <w:r>
        <w:rPr>
          <w:rFonts w:ascii="仿宋_GB2312" w:hAnsi="仿宋_GB2312" w:cs="仿宋_GB2312" w:eastAsia="仿宋_GB2312"/>
        </w:rPr>
        <w:t>陕西卓佲项目管理有限公司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一、“采购人”是指依法进行政府采购的各级国家机关、事业单位、团体组织。本次谈判的采购人是</w:t>
      </w:r>
      <w:r>
        <w:rPr>
          <w:rFonts w:ascii="仿宋_GB2312" w:hAnsi="仿宋_GB2312" w:cs="仿宋_GB2312" w:eastAsia="仿宋_GB2312"/>
        </w:rPr>
        <w:t>西安科技大学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二、“供应商”是指在按照采购公告规定获取谈判文件，拟参加响应和向采购人提供货物、工程或服务的法人、其他组织或自然人。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三、“代理机构”是指集中采购机构和集中采购机构以外的代理机构。本项目的代理机构是</w:t>
      </w:r>
      <w:r>
        <w:rPr>
          <w:rFonts w:ascii="仿宋_GB2312" w:hAnsi="仿宋_GB2312" w:cs="仿宋_GB2312" w:eastAsia="仿宋_GB2312"/>
        </w:rPr>
        <w:t>陕西卓佲项目管理有限公司</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五、“电子评审”是指通过项目电子化交易系统在线完成资格审查小组、谈判小组组建，开展资格和符合性审查、出具谈判报告、推荐成交候选供应商等活动。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供应商应自行承担参加竞争性谈判采购活动的全部费用。</w:t>
      </w:r>
    </w:p>
    <w:p>
      <w:pPr>
        <w:pStyle w:val="null3"/>
        <w:outlineLvl w:val="2"/>
      </w:pPr>
      <w:r>
        <w:rPr>
          <w:rFonts w:ascii="仿宋_GB2312" w:hAnsi="仿宋_GB2312" w:cs="仿宋_GB2312" w:eastAsia="仿宋_GB2312"/>
          <w:sz w:val="28"/>
          <w:b/>
        </w:rPr>
        <w:t>2.3竞争性谈判文件</w:t>
      </w:r>
    </w:p>
    <w:p>
      <w:pPr>
        <w:pStyle w:val="null3"/>
        <w:outlineLvl w:val="3"/>
      </w:pPr>
      <w:r>
        <w:rPr>
          <w:rFonts w:ascii="仿宋_GB2312" w:hAnsi="仿宋_GB2312" w:cs="仿宋_GB2312" w:eastAsia="仿宋_GB2312"/>
          <w:sz w:val="24"/>
          <w:b/>
        </w:rPr>
        <w:t xml:space="preserve"> 2.3.1竞争性谈判文件的构成</w:t>
      </w:r>
    </w:p>
    <w:p>
      <w:pPr>
        <w:pStyle w:val="null3"/>
        <w:ind w:firstLine="480"/>
      </w:pPr>
      <w:r>
        <w:rPr>
          <w:rFonts w:ascii="仿宋_GB2312" w:hAnsi="仿宋_GB2312" w:cs="仿宋_GB2312" w:eastAsia="仿宋_GB2312"/>
        </w:rPr>
        <w:t xml:space="preserve"> 一、竞争性谈判文件是供应商准备响应文件和参加谈判的依据，同时也是评审的重要依据。竞争性谈判文件用以阐明采购项目所需的资质、技术清单、参数及报价等要求、谈判程序、有关规定和注意事项以及合同草案条款等。本竞争性谈判文件包括以下内容：</w:t>
      </w:r>
    </w:p>
    <w:p>
      <w:pPr>
        <w:pStyle w:val="null3"/>
        <w:ind w:firstLine="480"/>
      </w:pPr>
      <w:r>
        <w:rPr>
          <w:rFonts w:ascii="仿宋_GB2312" w:hAnsi="仿宋_GB2312" w:cs="仿宋_GB2312" w:eastAsia="仿宋_GB2312"/>
        </w:rPr>
        <w:t>（一）竞争性谈判邀请；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（三）谈判项目技术、服务、商务及其他要求；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（五）谈判过程中可实质性变动的内容；</w:t>
      </w:r>
    </w:p>
    <w:p>
      <w:pPr>
        <w:pStyle w:val="null3"/>
        <w:ind w:firstLine="480"/>
      </w:pPr>
      <w:r>
        <w:rPr>
          <w:rFonts w:ascii="仿宋_GB2312" w:hAnsi="仿宋_GB2312" w:cs="仿宋_GB2312" w:eastAsia="仿宋_GB2312"/>
        </w:rPr>
        <w:t>（六）谈判办法；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二、供应商应认真阅读和充分理解谈判文件中所有的事项、格式条款和规范要求。供应商没有对谈判文件全面作出实质性响应所产生的风险由供应商承担。</w:t>
      </w:r>
    </w:p>
    <w:p>
      <w:pPr>
        <w:pStyle w:val="null3"/>
        <w:outlineLvl w:val="3"/>
      </w:pPr>
      <w:r>
        <w:rPr>
          <w:rFonts w:ascii="仿宋_GB2312" w:hAnsi="仿宋_GB2312" w:cs="仿宋_GB2312" w:eastAsia="仿宋_GB2312"/>
          <w:sz w:val="24"/>
          <w:b/>
        </w:rPr>
        <w:t xml:space="preserve"> 2.3.2竞争性谈判文件的澄清和修改</w:t>
      </w:r>
    </w:p>
    <w:p>
      <w:pPr>
        <w:pStyle w:val="null3"/>
        <w:ind w:firstLine="480"/>
      </w:pPr>
      <w:r>
        <w:rPr>
          <w:rFonts w:ascii="仿宋_GB2312" w:hAnsi="仿宋_GB2312" w:cs="仿宋_GB2312" w:eastAsia="仿宋_GB2312"/>
        </w:rPr>
        <w:t>一、在提交首次响应文件截止时间前，采购人或者代理机构可以对已发出的谈判文件进行必要的澄清或者修改。</w:t>
      </w:r>
    </w:p>
    <w:p>
      <w:pPr>
        <w:pStyle w:val="null3"/>
      </w:pPr>
      <w:r>
        <w:rPr>
          <w:rFonts w:ascii="仿宋_GB2312" w:hAnsi="仿宋_GB2312" w:cs="仿宋_GB2312" w:eastAsia="仿宋_GB2312"/>
        </w:rPr>
        <w:t>二、澄清或者修改的内容为谈判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谈判文件，供应商应依据更正后的谈判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2.4.1响应文件的语言（实质性要求）</w:t>
      </w:r>
    </w:p>
    <w:p>
      <w:pPr>
        <w:pStyle w:val="null3"/>
        <w:ind w:firstLine="480"/>
      </w:pPr>
      <w:r>
        <w:rPr>
          <w:rFonts w:ascii="仿宋_GB2312" w:hAnsi="仿宋_GB2312" w:cs="仿宋_GB2312" w:eastAsia="仿宋_GB2312"/>
        </w:rPr>
        <w:t xml:space="preserve"> 一、供应商提交的响应文件以及供应商与谈判小组在谈判过程中的所有来往书面文件均须使用中文。响应文件中如附有外文资料，主要部分要对应翻译成中文并附在相关外文资料后面。未翻译的外文资料，谈判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除谈判文件中另有规定外，本项目均采用国家法定的计量单位。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四、构成本谈判文件的各组成部分，未经采购人书面同意，供应商不得擅自复印或用于非本谈判项目所需的其他目的。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供应商应按照谈判文件的规定和要求编制响应文件。</w:t>
      </w:r>
    </w:p>
    <w:p>
      <w:pPr>
        <w:pStyle w:val="null3"/>
        <w:ind w:firstLine="480"/>
        <w:jc w:val="left"/>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一、供应商应按照谈判文件第七章中提供的“响应文件格式”填写相关内容。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一、供应商的报价是其响应谈判项目要求的全部工作内容的价格体现，包括供应商完成本项目所需的一切费用。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谈判文件第六章谈判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一、响应文件应当根据谈判文件进行编制。供应商应通过陕西省政府采购网-办事指南-CA及签章服务下载投标（响应）客户端，使用客户端编制响应文件。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二、供应商应按照客户端操作要求，对应谈判文件的每项资格、符合性要求，逐一对应进行响应；未逐一对应进行响应或者响应内容不符合谈判文件对应项的要求的，其响应文件作无效处理。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谈判文件澄清或者修改的内容可能影响响应文件编制的，代理机构将重新发布澄清或者修改后的谈判文件，供应商应重新获取澄清或者修改后的谈判文件，按照澄清或者修改后的谈判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2.5开启、资格审查、谈判和确定成交供应商</w:t>
      </w:r>
    </w:p>
    <w:p>
      <w:pPr>
        <w:pStyle w:val="null3"/>
        <w:outlineLvl w:val="3"/>
      </w:pPr>
      <w:r>
        <w:rPr>
          <w:rFonts w:ascii="仿宋_GB2312" w:hAnsi="仿宋_GB2312" w:cs="仿宋_GB2312" w:eastAsia="仿宋_GB2312"/>
          <w:sz w:val="24"/>
          <w:b/>
        </w:rPr>
        <w:t>2.5.1谈判开启程序</w:t>
      </w:r>
    </w:p>
    <w:p>
      <w:pPr>
        <w:pStyle w:val="null3"/>
        <w:ind w:firstLine="480"/>
      </w:pPr>
      <w:r>
        <w:rPr>
          <w:rFonts w:ascii="仿宋_GB2312" w:hAnsi="仿宋_GB2312" w:cs="仿宋_GB2312" w:eastAsia="仿宋_GB2312"/>
        </w:rPr>
        <w:t xml:space="preserve"> 一、本项目为竞争性谈判项目。网上开启的开始时间为响应文件提交截止时间。成功提交或解密电子响应文件的供应商不足3家的，不予开启，采购人或代理机构将终止采购活动。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二、谈判开启准备工作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详见谈判文件第四章。</w:t>
      </w:r>
    </w:p>
    <w:p>
      <w:pPr>
        <w:pStyle w:val="null3"/>
        <w:outlineLvl w:val="3"/>
      </w:pPr>
      <w:r>
        <w:rPr>
          <w:rFonts w:ascii="仿宋_GB2312" w:hAnsi="仿宋_GB2312" w:cs="仿宋_GB2312" w:eastAsia="仿宋_GB2312"/>
          <w:sz w:val="24"/>
          <w:b/>
        </w:rPr>
        <w:t>2.5.4谈判</w:t>
      </w:r>
    </w:p>
    <w:p>
      <w:pPr>
        <w:pStyle w:val="null3"/>
        <w:ind w:firstLine="480"/>
      </w:pPr>
      <w:r>
        <w:rPr>
          <w:rFonts w:ascii="仿宋_GB2312" w:hAnsi="仿宋_GB2312" w:cs="仿宋_GB2312" w:eastAsia="仿宋_GB2312"/>
        </w:rPr>
        <w:t>详见谈判文件第六章。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一、采购人或者谈判小组确认成交供应商后，代理机构在陕西省政府采购网发布成交结果公告、通过项目电子化交易系统发出成交通知书，成交供应商通过项目电子化交易系统获取成交通知书。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二、采购人和成交供应商签订的采购合同不得对谈判文件确定的事项以及成交供应商的响应文件作实质性修改。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谈判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2"/>
      </w:pPr>
      <w:r>
        <w:rPr>
          <w:rFonts w:ascii="仿宋_GB2312" w:hAnsi="仿宋_GB2312" w:cs="仿宋_GB2312" w:eastAsia="仿宋_GB2312"/>
          <w:sz w:val="28"/>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2"/>
      </w:pPr>
      <w:r>
        <w:rPr>
          <w:rFonts w:ascii="仿宋_GB2312" w:hAnsi="仿宋_GB2312" w:cs="仿宋_GB2312" w:eastAsia="仿宋_GB2312"/>
          <w:sz w:val="28"/>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根据采购文件要求、投标文件及合同约定执行</w:t>
      </w:r>
    </w:p>
    <w:p>
      <w:pPr>
        <w:pStyle w:val="null3"/>
        <w:outlineLvl w:val="2"/>
      </w:pPr>
      <w:r>
        <w:rPr>
          <w:rFonts w:ascii="仿宋_GB2312" w:hAnsi="仿宋_GB2312" w:cs="仿宋_GB2312" w:eastAsia="仿宋_GB2312"/>
          <w:sz w:val="28"/>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2.7.1谈判活动纪律要求</w:t>
      </w:r>
    </w:p>
    <w:p>
      <w:pPr>
        <w:pStyle w:val="null3"/>
        <w:ind w:firstLine="480"/>
      </w:pPr>
      <w:r>
        <w:rPr>
          <w:rFonts w:ascii="仿宋_GB2312" w:hAnsi="仿宋_GB2312" w:cs="仿宋_GB2312" w:eastAsia="仿宋_GB2312"/>
        </w:rPr>
        <w:t xml:space="preserve"> 采购人、代理机构应保证谈判活动在严格保密的情况下进行，采购人、代理机构、供应商和谈判小组成员应当严格遵守政府采购法律法规规章制度和本项目谈判文件以及代理机构现场管理规定，接受采购人委派的监督人员的监督，任何单位和个人不得非法干预和影响谈判过程和结果。</w:t>
      </w:r>
    </w:p>
    <w:p>
      <w:pPr>
        <w:pStyle w:val="null3"/>
        <w:ind w:firstLine="480"/>
      </w:pPr>
      <w:r>
        <w:rPr>
          <w:rFonts w:ascii="仿宋_GB2312" w:hAnsi="仿宋_GB2312" w:cs="仿宋_GB2312" w:eastAsia="仿宋_GB2312"/>
        </w:rPr>
        <w:t>对各供应商的商业秘密，谈判小组成员应予以保密，不得泄露给其他供应商。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供应商参加谈判不得有下列情形：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（二）不同供应商委托同一单位或者个人办理谈判事宜；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五、向采购人或代理机构、谈判小组成员行贿或者提供其他不正当利益；</w:t>
      </w:r>
    </w:p>
    <w:p>
      <w:pPr>
        <w:pStyle w:val="null3"/>
        <w:ind w:firstLine="480"/>
      </w:pPr>
      <w:r>
        <w:rPr>
          <w:rFonts w:ascii="仿宋_GB2312" w:hAnsi="仿宋_GB2312" w:cs="仿宋_GB2312" w:eastAsia="仿宋_GB2312"/>
        </w:rPr>
        <w:t>六、在谈判过程中与采购人或代理机构进行协商谈判；</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八、未按照谈判文件确定的事项签订政府采购合同；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陕西卓佲项目管理有限公司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陕西卓佲项目管理有限公司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陕西卓佲项目管理有限公司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谈判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联系人：米文佳</w:t>
      </w:r>
    </w:p>
    <w:p>
      <w:pPr>
        <w:pStyle w:val="null3"/>
      </w:pPr>
      <w:r>
        <w:rPr>
          <w:rFonts w:ascii="仿宋_GB2312" w:hAnsi="仿宋_GB2312" w:cs="仿宋_GB2312" w:eastAsia="仿宋_GB2312"/>
        </w:rPr>
        <w:t>联系电话：17778966063</w:t>
      </w:r>
    </w:p>
    <w:p>
      <w:pPr>
        <w:pStyle w:val="null3"/>
      </w:pPr>
      <w:r>
        <w:rPr>
          <w:rFonts w:ascii="仿宋_GB2312" w:hAnsi="仿宋_GB2312" w:cs="仿宋_GB2312" w:eastAsia="仿宋_GB2312"/>
        </w:rPr>
        <w:t>地址：西安市雁塔区科技路30号合力紫郡B座21层</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（五）针对质疑事项必要的证明材料（针对谈判文件提出的质疑，需提交从项目电子化交易系统获取的谈判文件回执单）。</w:t>
      </w:r>
    </w:p>
    <w:p>
      <w:pPr>
        <w:pStyle w:val="null3"/>
        <w:ind w:firstLine="480"/>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谈判项目技术、服务、商务及其他要求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对岩石、混凝土开展蠕变渗流实验，可完成岩石单轴、三轴渗流及蠕变实验、混凝土单轴蠕变实验，得到岩石、混凝土长时流变特性。</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850,000.00</w:t>
      </w:r>
    </w:p>
    <w:p>
      <w:pPr>
        <w:pStyle w:val="null3"/>
      </w:pPr>
      <w:r>
        <w:rPr>
          <w:rFonts w:ascii="仿宋_GB2312" w:hAnsi="仿宋_GB2312" w:cs="仿宋_GB2312" w:eastAsia="仿宋_GB2312"/>
        </w:rPr>
        <w:t>采购包最高限价（元）: 850,000.00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岩石混凝土长时流变性能测试仪</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850,000.00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标的名称：岩石混凝土长时流变性能测试仪</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4"/>
              </w:rPr>
              <w:t>1.轴向加载系统</w:t>
            </w:r>
          </w:p>
          <w:p>
            <w:pPr>
              <w:pStyle w:val="null3"/>
            </w:pPr>
            <w:r>
              <w:rPr>
                <w:rFonts w:ascii="仿宋_GB2312" w:hAnsi="仿宋_GB2312" w:cs="仿宋_GB2312" w:eastAsia="仿宋_GB2312"/>
                <w:sz w:val="24"/>
              </w:rPr>
              <w:t>1.1最大试验力≥2000kN；整体铸造门式框架结构，框架刚度≥10GN/m；（提供证明材料，证明材料为产品彩页、官网（功能）截图、检测报告、生产厂家盖章的技术白皮书其中任意一个）</w:t>
            </w:r>
          </w:p>
          <w:p>
            <w:pPr>
              <w:pStyle w:val="null3"/>
            </w:pPr>
            <w:r>
              <w:rPr>
                <w:rFonts w:ascii="仿宋_GB2312" w:hAnsi="仿宋_GB2312" w:cs="仿宋_GB2312" w:eastAsia="仿宋_GB2312"/>
                <w:sz w:val="24"/>
              </w:rPr>
              <w:t>1.2试验力示值精度：≤±1%；（提供证明材料，证明材料为产品彩页、官网（功能）截图、检测报告、生产厂家盖章的技术白皮书其中任意一个）</w:t>
            </w:r>
          </w:p>
          <w:p>
            <w:pPr>
              <w:pStyle w:val="null3"/>
            </w:pPr>
            <w:r>
              <w:rPr>
                <w:rFonts w:ascii="仿宋_GB2312" w:hAnsi="仿宋_GB2312" w:cs="仿宋_GB2312" w:eastAsia="仿宋_GB2312"/>
                <w:sz w:val="24"/>
              </w:rPr>
              <w:t>1.3试验力加载速度：能实现0.1kN/s-20kN/s；</w:t>
            </w:r>
          </w:p>
          <w:p>
            <w:pPr>
              <w:pStyle w:val="null3"/>
            </w:pPr>
            <w:r>
              <w:rPr>
                <w:rFonts w:ascii="仿宋_GB2312" w:hAnsi="仿宋_GB2312" w:cs="仿宋_GB2312" w:eastAsia="仿宋_GB2312"/>
                <w:sz w:val="24"/>
              </w:rPr>
              <w:t>1.4加载油缸位移行程：≥100mm；位移分辨率不低于0.001mm；位移速度能实现0.1mm/min-50mm/min；</w:t>
            </w:r>
          </w:p>
          <w:p>
            <w:pPr>
              <w:pStyle w:val="null3"/>
            </w:pPr>
            <w:r>
              <w:rPr>
                <w:rFonts w:ascii="仿宋_GB2312" w:hAnsi="仿宋_GB2312" w:cs="仿宋_GB2312" w:eastAsia="仿宋_GB2312"/>
                <w:sz w:val="24"/>
              </w:rPr>
              <w:t>1.5轴向加载系统控制器采用高精度数字控制器：控制器CPU应采用 800 MHz；不低于64位内部处理器，不低于24位数模转换器，模拟信号分辨率不低于±10000000码；(提供证明材料，证明材料为产品彩页、官网（功能）截图、检测报告、生产厂家盖章的技术白皮书其中任意一个)</w:t>
            </w:r>
          </w:p>
          <w:p>
            <w:pPr>
              <w:pStyle w:val="null3"/>
            </w:pPr>
            <w:r>
              <w:rPr>
                <w:rFonts w:ascii="仿宋_GB2312" w:hAnsi="仿宋_GB2312" w:cs="仿宋_GB2312" w:eastAsia="仿宋_GB2312"/>
                <w:sz w:val="24"/>
              </w:rPr>
              <w:t>1.6扰动平台功能：最大扰动冲击荷载200kN；频率0～20Hz；</w:t>
            </w:r>
          </w:p>
          <w:p>
            <w:pPr>
              <w:pStyle w:val="null3"/>
            </w:pPr>
            <w:r>
              <w:rPr>
                <w:rFonts w:ascii="仿宋_GB2312" w:hAnsi="仿宋_GB2312" w:cs="仿宋_GB2312" w:eastAsia="仿宋_GB2312"/>
                <w:sz w:val="24"/>
              </w:rPr>
              <w:t>1.7动态伺服阀：动态控制采用单只伺服阀结构，单只伺服阀额定流量不低于80 L/min，伺服阀阶跃响应不高于1.6 ms(100%信号)，最大运行压力不低于35MPa，抗污性能不低于Nas1638-2011《航空液压油清洁度分级标准》中规定的10级。(提供所投动态系统单只伺服阀产品彩页或网站截图等性能证明材料)</w:t>
            </w:r>
          </w:p>
          <w:p>
            <w:pPr>
              <w:pStyle w:val="null3"/>
            </w:pPr>
            <w:r>
              <w:rPr>
                <w:rFonts w:ascii="仿宋_GB2312" w:hAnsi="仿宋_GB2312" w:cs="仿宋_GB2312" w:eastAsia="仿宋_GB2312"/>
                <w:sz w:val="24"/>
              </w:rPr>
              <w:t>2.围压加载系统</w:t>
            </w:r>
          </w:p>
          <w:p>
            <w:pPr>
              <w:pStyle w:val="null3"/>
            </w:pPr>
            <w:r>
              <w:rPr>
                <w:rFonts w:ascii="仿宋_GB2312" w:hAnsi="仿宋_GB2312" w:cs="仿宋_GB2312" w:eastAsia="仿宋_GB2312"/>
                <w:sz w:val="24"/>
              </w:rPr>
              <w:t>2.1最大围压压力≥120MPa；测量精度＜±1% FS；（提供证明材料，证明材料为产品彩页、官网（功能）截图、检测报告、生产厂家盖章的技术白皮书其中任意一个）</w:t>
            </w:r>
          </w:p>
          <w:p>
            <w:pPr>
              <w:pStyle w:val="null3"/>
            </w:pPr>
            <w:r>
              <w:rPr>
                <w:rFonts w:ascii="仿宋_GB2312" w:hAnsi="仿宋_GB2312" w:cs="仿宋_GB2312" w:eastAsia="仿宋_GB2312"/>
                <w:sz w:val="24"/>
              </w:rPr>
              <w:t>2.2围压压力分辨率不低于0.001MPa；</w:t>
            </w:r>
          </w:p>
          <w:p>
            <w:pPr>
              <w:pStyle w:val="null3"/>
            </w:pPr>
            <w:r>
              <w:rPr>
                <w:rFonts w:ascii="仿宋_GB2312" w:hAnsi="仿宋_GB2312" w:cs="仿宋_GB2312" w:eastAsia="仿宋_GB2312"/>
                <w:sz w:val="24"/>
              </w:rPr>
              <w:t>2.3加载速率：能实现0.01MPa/s～1MPa/s；</w:t>
            </w:r>
          </w:p>
          <w:p>
            <w:pPr>
              <w:pStyle w:val="null3"/>
            </w:pPr>
            <w:r>
              <w:rPr>
                <w:rFonts w:ascii="仿宋_GB2312" w:hAnsi="仿宋_GB2312" w:cs="仿宋_GB2312" w:eastAsia="仿宋_GB2312"/>
                <w:sz w:val="24"/>
              </w:rPr>
              <w:t>2.4整体锻造自平衡结构压力室；（提供自平衡结构原理图）</w:t>
            </w:r>
          </w:p>
          <w:p>
            <w:pPr>
              <w:pStyle w:val="null3"/>
            </w:pPr>
            <w:r>
              <w:rPr>
                <w:rFonts w:ascii="仿宋_GB2312" w:hAnsi="仿宋_GB2312" w:cs="仿宋_GB2312" w:eastAsia="仿宋_GB2312"/>
                <w:sz w:val="24"/>
              </w:rPr>
              <w:t>2.5声发射测试通道数量：≥4通道，耐高温高压同轴承压密封接头可拆卸，采用聚醚醚酮（PEEK）材料,单芯镀金铜轴结构，减少声发射噪音干扰。（提供实物图片并加以说明）</w:t>
            </w:r>
          </w:p>
          <w:p>
            <w:pPr>
              <w:pStyle w:val="null3"/>
            </w:pPr>
            <w:r>
              <w:rPr>
                <w:rFonts w:ascii="仿宋_GB2312" w:hAnsi="仿宋_GB2312" w:cs="仿宋_GB2312" w:eastAsia="仿宋_GB2312"/>
                <w:sz w:val="24"/>
              </w:rPr>
              <w:t>3.孔隙水渗流系统</w:t>
            </w:r>
          </w:p>
          <w:p>
            <w:pPr>
              <w:pStyle w:val="null3"/>
            </w:pPr>
            <w:r>
              <w:rPr>
                <w:rFonts w:ascii="仿宋_GB2312" w:hAnsi="仿宋_GB2312" w:cs="仿宋_GB2312" w:eastAsia="仿宋_GB2312"/>
                <w:sz w:val="24"/>
              </w:rPr>
              <w:t>3.1最大渗流水压：≥60MPa；测量精度：＜±1% FS;（提供证明材料，证明材料为产品彩页、官网（功能）截图、检测报告、生产厂家盖章的技术白皮书其中任意一个）</w:t>
            </w:r>
          </w:p>
          <w:p>
            <w:pPr>
              <w:pStyle w:val="null3"/>
            </w:pPr>
            <w:r>
              <w:rPr>
                <w:rFonts w:ascii="仿宋_GB2312" w:hAnsi="仿宋_GB2312" w:cs="仿宋_GB2312" w:eastAsia="仿宋_GB2312"/>
                <w:sz w:val="24"/>
              </w:rPr>
              <w:t>3.2 孔压压力分辨率：不低于0.001MPa；</w:t>
            </w:r>
          </w:p>
          <w:p>
            <w:pPr>
              <w:pStyle w:val="null3"/>
            </w:pPr>
            <w:r>
              <w:rPr>
                <w:rFonts w:ascii="仿宋_GB2312" w:hAnsi="仿宋_GB2312" w:cs="仿宋_GB2312" w:eastAsia="仿宋_GB2312"/>
                <w:sz w:val="24"/>
              </w:rPr>
              <w:t>4.位移测控系统</w:t>
            </w:r>
          </w:p>
          <w:p>
            <w:pPr>
              <w:pStyle w:val="null3"/>
            </w:pPr>
            <w:r>
              <w:rPr>
                <w:rFonts w:ascii="仿宋_GB2312" w:hAnsi="仿宋_GB2312" w:cs="仿宋_GB2312" w:eastAsia="仿宋_GB2312"/>
                <w:sz w:val="24"/>
              </w:rPr>
              <w:t>量程：</w:t>
            </w:r>
            <w:r>
              <w:rPr>
                <w:rFonts w:ascii="仿宋_GB2312" w:hAnsi="仿宋_GB2312" w:cs="仿宋_GB2312" w:eastAsia="仿宋_GB2312"/>
                <w:sz w:val="24"/>
              </w:rPr>
              <w:t>0～100mm（连续）；</w:t>
            </w:r>
            <w:r>
              <w:br/>
            </w:r>
            <w:r>
              <w:rPr>
                <w:rFonts w:ascii="仿宋_GB2312" w:hAnsi="仿宋_GB2312" w:cs="仿宋_GB2312" w:eastAsia="仿宋_GB2312"/>
                <w:sz w:val="24"/>
              </w:rPr>
              <w:t xml:space="preserve"> </w:t>
            </w:r>
            <w:r>
              <w:rPr>
                <w:rFonts w:ascii="仿宋_GB2312" w:hAnsi="仿宋_GB2312" w:cs="仿宋_GB2312" w:eastAsia="仿宋_GB2312"/>
                <w:sz w:val="24"/>
              </w:rPr>
              <w:t>测量分辨率：</w:t>
            </w:r>
            <w:r>
              <w:rPr>
                <w:rFonts w:ascii="仿宋_GB2312" w:hAnsi="仿宋_GB2312" w:cs="仿宋_GB2312" w:eastAsia="仿宋_GB2312"/>
                <w:sz w:val="24"/>
              </w:rPr>
              <w:t>0.0005mm；</w:t>
            </w:r>
            <w:r>
              <w:br/>
            </w:r>
            <w:r>
              <w:rPr>
                <w:rFonts w:ascii="仿宋_GB2312" w:hAnsi="仿宋_GB2312" w:cs="仿宋_GB2312" w:eastAsia="仿宋_GB2312"/>
                <w:sz w:val="24"/>
              </w:rPr>
              <w:t xml:space="preserve"> </w:t>
            </w:r>
            <w:r>
              <w:rPr>
                <w:rFonts w:ascii="仿宋_GB2312" w:hAnsi="仿宋_GB2312" w:cs="仿宋_GB2312" w:eastAsia="仿宋_GB2312"/>
                <w:sz w:val="24"/>
              </w:rPr>
              <w:t>控制速率：</w:t>
            </w:r>
            <w:r>
              <w:rPr>
                <w:rFonts w:ascii="仿宋_GB2312" w:hAnsi="仿宋_GB2312" w:cs="仿宋_GB2312" w:eastAsia="仿宋_GB2312"/>
                <w:sz w:val="24"/>
              </w:rPr>
              <w:t>0.1～50mm/min；</w:t>
            </w:r>
            <w:r>
              <w:br/>
            </w:r>
            <w:r>
              <w:rPr>
                <w:rFonts w:ascii="仿宋_GB2312" w:hAnsi="仿宋_GB2312" w:cs="仿宋_GB2312" w:eastAsia="仿宋_GB2312"/>
                <w:sz w:val="24"/>
              </w:rPr>
              <w:t xml:space="preserve"> </w:t>
            </w:r>
            <w:r>
              <w:rPr>
                <w:rFonts w:ascii="仿宋_GB2312" w:hAnsi="仿宋_GB2312" w:cs="仿宋_GB2312" w:eastAsia="仿宋_GB2312"/>
                <w:sz w:val="24"/>
              </w:rPr>
              <w:t>位移测量精度：采用磁致伸缩位移传感器，精度</w:t>
            </w:r>
            <w:r>
              <w:rPr>
                <w:rFonts w:ascii="仿宋_GB2312" w:hAnsi="仿宋_GB2312" w:cs="仿宋_GB2312" w:eastAsia="仿宋_GB2312"/>
                <w:sz w:val="24"/>
              </w:rPr>
              <w:t>0.003mm；</w:t>
            </w:r>
            <w:r>
              <w:br/>
            </w:r>
            <w:r>
              <w:rPr>
                <w:rFonts w:ascii="仿宋_GB2312" w:hAnsi="仿宋_GB2312" w:cs="仿宋_GB2312" w:eastAsia="仿宋_GB2312"/>
                <w:sz w:val="24"/>
              </w:rPr>
              <w:t xml:space="preserve"> </w:t>
            </w:r>
            <w:r>
              <w:rPr>
                <w:rFonts w:ascii="仿宋_GB2312" w:hAnsi="仿宋_GB2312" w:cs="仿宋_GB2312" w:eastAsia="仿宋_GB2312"/>
                <w:sz w:val="24"/>
              </w:rPr>
              <w:t>5.变形测量系统：</w:t>
            </w:r>
          </w:p>
          <w:p>
            <w:pPr>
              <w:pStyle w:val="null3"/>
            </w:pPr>
            <w:r>
              <w:rPr>
                <w:rFonts w:ascii="仿宋_GB2312" w:hAnsi="仿宋_GB2312" w:cs="仿宋_GB2312" w:eastAsia="仿宋_GB2312"/>
                <w:sz w:val="24"/>
              </w:rPr>
              <w:t>自适应变形测量单元，用于在压力室内高温高压的环境下，由二只</w:t>
            </w:r>
            <w:r>
              <w:rPr>
                <w:rFonts w:ascii="仿宋_GB2312" w:hAnsi="仿宋_GB2312" w:cs="仿宋_GB2312" w:eastAsia="仿宋_GB2312"/>
                <w:sz w:val="24"/>
              </w:rPr>
              <w:t>LVDT传感器测量三轴试样的轴向和环向应变（不接受应变片式传感器）</w:t>
            </w:r>
          </w:p>
          <w:p>
            <w:pPr>
              <w:pStyle w:val="null3"/>
            </w:pPr>
            <w:r>
              <w:rPr>
                <w:rFonts w:ascii="仿宋_GB2312" w:hAnsi="仿宋_GB2312" w:cs="仿宋_GB2312" w:eastAsia="仿宋_GB2312"/>
                <w:sz w:val="24"/>
              </w:rPr>
              <w:t>5.1轴向变形测量范围：能实现0-5mm；采用耐高温不低于150℃，耐压不低于100Mpa的LVDT传感器；</w:t>
            </w:r>
          </w:p>
          <w:p>
            <w:pPr>
              <w:pStyle w:val="null3"/>
            </w:pPr>
            <w:r>
              <w:rPr>
                <w:rFonts w:ascii="仿宋_GB2312" w:hAnsi="仿宋_GB2312" w:cs="仿宋_GB2312" w:eastAsia="仿宋_GB2312"/>
                <w:sz w:val="24"/>
              </w:rPr>
              <w:t>5.2径向变形测量范围：能实现0-3mm(环向引伸计)；采用耐高温不低于150℃，耐压不低于100Mpa的LVDT传感器；</w:t>
            </w:r>
          </w:p>
          <w:p>
            <w:pPr>
              <w:pStyle w:val="null3"/>
            </w:pPr>
            <w:r>
              <w:rPr>
                <w:rFonts w:ascii="仿宋_GB2312" w:hAnsi="仿宋_GB2312" w:cs="仿宋_GB2312" w:eastAsia="仿宋_GB2312"/>
                <w:sz w:val="24"/>
              </w:rPr>
              <w:t>5.3轴向变形/径向变形测量精度：≤±0.5% FS;变形分辨率不低于0.0001mm；</w:t>
            </w:r>
          </w:p>
          <w:p>
            <w:pPr>
              <w:pStyle w:val="null3"/>
            </w:pPr>
            <w:r>
              <w:rPr>
                <w:rFonts w:ascii="仿宋_GB2312" w:hAnsi="仿宋_GB2312" w:cs="仿宋_GB2312" w:eastAsia="仿宋_GB2312"/>
                <w:sz w:val="24"/>
              </w:rPr>
              <w:t>5.4适用标准试样尺寸：Φ50mm（±0.01mm）×100mm（±0.01mm）；</w:t>
            </w:r>
          </w:p>
          <w:p>
            <w:pPr>
              <w:pStyle w:val="null3"/>
            </w:pPr>
            <w:r>
              <w:rPr>
                <w:rFonts w:ascii="仿宋_GB2312" w:hAnsi="仿宋_GB2312" w:cs="仿宋_GB2312" w:eastAsia="仿宋_GB2312"/>
                <w:sz w:val="24"/>
              </w:rPr>
              <w:t>5.5岩样自适应保护装置，具有轴向引伸计自适应调平功能，具有防止试样断裂损坏引伸计功能</w:t>
            </w:r>
            <w:r>
              <w:rPr>
                <w:rFonts w:ascii="仿宋_GB2312" w:hAnsi="仿宋_GB2312" w:cs="仿宋_GB2312" w:eastAsia="仿宋_GB2312"/>
                <w:sz w:val="24"/>
                <w:b/>
              </w:rPr>
              <w:t>（投标时提供视频演示文件，要体现链条引伸计在试样上的安装过程和结构）</w:t>
            </w:r>
            <w:r>
              <w:rPr>
                <w:rFonts w:ascii="仿宋_GB2312" w:hAnsi="仿宋_GB2312" w:cs="仿宋_GB2312" w:eastAsia="仿宋_GB2312"/>
                <w:sz w:val="24"/>
                <w:b/>
              </w:rPr>
              <w:t>；</w:t>
            </w:r>
          </w:p>
          <w:p>
            <w:pPr>
              <w:pStyle w:val="null3"/>
            </w:pPr>
            <w:r>
              <w:rPr>
                <w:rFonts w:ascii="仿宋_GB2312" w:hAnsi="仿宋_GB2312" w:cs="仿宋_GB2312" w:eastAsia="仿宋_GB2312"/>
                <w:sz w:val="24"/>
              </w:rPr>
              <w:t>5.6 混凝土变形测量：光栅测微仪3支，测量范围：0～5mm，测量分辨率：0.001mm；</w:t>
            </w:r>
          </w:p>
          <w:p>
            <w:pPr>
              <w:pStyle w:val="null3"/>
            </w:pPr>
            <w:r>
              <w:rPr>
                <w:rFonts w:ascii="仿宋_GB2312" w:hAnsi="仿宋_GB2312" w:cs="仿宋_GB2312" w:eastAsia="仿宋_GB2312"/>
                <w:sz w:val="24"/>
              </w:rPr>
              <w:t>6.适用标准试样尺寸：</w:t>
            </w:r>
          </w:p>
          <w:p>
            <w:pPr>
              <w:pStyle w:val="null3"/>
            </w:pPr>
            <w:r>
              <w:rPr>
                <w:rFonts w:ascii="仿宋_GB2312" w:hAnsi="仿宋_GB2312" w:cs="仿宋_GB2312" w:eastAsia="仿宋_GB2312"/>
                <w:sz w:val="24"/>
              </w:rPr>
              <w:t>岩石试样尺寸：</w:t>
            </w:r>
            <w:r>
              <w:rPr>
                <w:rFonts w:ascii="仿宋_GB2312" w:hAnsi="仿宋_GB2312" w:cs="仿宋_GB2312" w:eastAsia="仿宋_GB2312"/>
                <w:sz w:val="24"/>
              </w:rPr>
              <w:t>Φ50mm（±0.01mm）×100mm（±0.01mm）；</w:t>
            </w:r>
            <w:r>
              <w:br/>
            </w:r>
            <w:r>
              <w:rPr>
                <w:rFonts w:ascii="仿宋_GB2312" w:hAnsi="仿宋_GB2312" w:cs="仿宋_GB2312" w:eastAsia="仿宋_GB2312"/>
                <w:sz w:val="24"/>
              </w:rPr>
              <w:t xml:space="preserve"> </w:t>
            </w:r>
            <w:r>
              <w:rPr>
                <w:rFonts w:ascii="仿宋_GB2312" w:hAnsi="仿宋_GB2312" w:cs="仿宋_GB2312" w:eastAsia="仿宋_GB2312"/>
                <w:sz w:val="24"/>
              </w:rPr>
              <w:t>混凝土试样尺寸：</w:t>
            </w:r>
            <w:r>
              <w:rPr>
                <w:rFonts w:ascii="仿宋_GB2312" w:hAnsi="仿宋_GB2312" w:cs="仿宋_GB2312" w:eastAsia="仿宋_GB2312"/>
                <w:sz w:val="24"/>
              </w:rPr>
              <w:t>150mm（±0.01mm）×150mm（±0.01mm）×150mm（±0.01mm）；100mm（±0.01mm）×100mm（±0.01mm）×100mm（±0.01mm）</w:t>
            </w:r>
            <w:r>
              <w:br/>
            </w:r>
            <w:r>
              <w:rPr>
                <w:rFonts w:ascii="仿宋_GB2312" w:hAnsi="仿宋_GB2312" w:cs="仿宋_GB2312" w:eastAsia="仿宋_GB2312"/>
                <w:sz w:val="24"/>
              </w:rPr>
              <w:t xml:space="preserve"> </w:t>
            </w:r>
            <w:r>
              <w:rPr>
                <w:rFonts w:ascii="仿宋_GB2312" w:hAnsi="仿宋_GB2312" w:cs="仿宋_GB2312" w:eastAsia="仿宋_GB2312"/>
                <w:sz w:val="24"/>
              </w:rPr>
              <w:t>7.流变系统主要参数</w:t>
            </w:r>
          </w:p>
          <w:p>
            <w:pPr>
              <w:pStyle w:val="null3"/>
            </w:pPr>
            <w:r>
              <w:rPr>
                <w:rFonts w:ascii="仿宋_GB2312" w:hAnsi="仿宋_GB2312" w:cs="仿宋_GB2312" w:eastAsia="仿宋_GB2312"/>
                <w:sz w:val="24"/>
              </w:rPr>
              <w:t>7.1采用静音伺服油源加载，试验时间大于2000小时；静音伺服油源由伺服电机和高精度长时柱塞泵组成；流变系统可单独使用不与其他系统共用控制系统。</w:t>
            </w:r>
          </w:p>
          <w:p>
            <w:pPr>
              <w:pStyle w:val="null3"/>
            </w:pPr>
            <w:r>
              <w:rPr>
                <w:rFonts w:ascii="仿宋_GB2312" w:hAnsi="仿宋_GB2312" w:cs="仿宋_GB2312" w:eastAsia="仿宋_GB2312"/>
                <w:sz w:val="24"/>
              </w:rPr>
              <w:t>7.2加载平台应具有长时稳定保载功能，数据存储连续可靠，控制波动度≤±1%；</w:t>
            </w:r>
          </w:p>
          <w:p>
            <w:pPr>
              <w:pStyle w:val="null3"/>
            </w:pPr>
            <w:r>
              <w:rPr>
                <w:rFonts w:ascii="仿宋_GB2312" w:hAnsi="仿宋_GB2312" w:cs="仿宋_GB2312" w:eastAsia="仿宋_GB2312"/>
                <w:sz w:val="24"/>
              </w:rPr>
              <w:t>7.3流变控制器采用全数字控制器，采集控制、数据处理由在同一主板上、型号一致的两个独立的CPU分别完成，每个CPU采用不低于32位浮点ARM架构设计，支持硬件级浮点数运算；（提供控制器同一主板上的两个CPU型号及照片）</w:t>
            </w:r>
          </w:p>
          <w:p>
            <w:pPr>
              <w:pStyle w:val="null3"/>
            </w:pPr>
            <w:r>
              <w:rPr>
                <w:rFonts w:ascii="仿宋_GB2312" w:hAnsi="仿宋_GB2312" w:cs="仿宋_GB2312" w:eastAsia="仿宋_GB2312"/>
                <w:sz w:val="24"/>
              </w:rPr>
              <w:t>7.4流变控制平台采用不低于7吋液晶触摸屏进行操作及显示，通过触摸屏人机界面能独立完成试验的编程、自动控制及试验数据存储；</w:t>
            </w:r>
          </w:p>
          <w:p>
            <w:pPr>
              <w:pStyle w:val="null3"/>
            </w:pPr>
            <w:r>
              <w:rPr>
                <w:rFonts w:ascii="仿宋_GB2312" w:hAnsi="仿宋_GB2312" w:cs="仿宋_GB2312" w:eastAsia="仿宋_GB2312"/>
                <w:sz w:val="24"/>
              </w:rPr>
              <w:t>7.5流变控制器具有位移、变形及负荷三闭环控制，采用自适应PID控制算法，自动调整控制参数，针对不同材料的试样无需调整PID参数，保证目标值控制的稳定性；（提供控制器操作界面图片证明具有PID自适应功能）</w:t>
            </w:r>
          </w:p>
          <w:p>
            <w:pPr>
              <w:pStyle w:val="null3"/>
            </w:pPr>
            <w:r>
              <w:rPr>
                <w:rFonts w:ascii="仿宋_GB2312" w:hAnsi="仿宋_GB2312" w:cs="仿宋_GB2312" w:eastAsia="仿宋_GB2312"/>
                <w:sz w:val="24"/>
              </w:rPr>
              <w:t>7.6 流变控制器可完成试验程序的自由编辑操作，可分段加载，不少于10段加载路径；控制器具有曲线显示功能；主控制工业系统终端故障时，试验不受主控制工业终端的影响，可脱离终端进行自动控制及试验数据的存储工作，独立完成所有试验功能；（提供证明材料，证明材料为产品彩页、官网（功能）截图、检测报告、生产厂家盖章的技术白皮书其中任意一个）</w:t>
            </w:r>
          </w:p>
          <w:p>
            <w:pPr>
              <w:pStyle w:val="null3"/>
            </w:pPr>
            <w:r>
              <w:rPr>
                <w:rFonts w:ascii="仿宋_GB2312" w:hAnsi="仿宋_GB2312" w:cs="仿宋_GB2312" w:eastAsia="仿宋_GB2312"/>
                <w:sz w:val="24"/>
              </w:rPr>
              <w:t>7.7流变控制器具有断电后再上电自动恢复功能，能够实现断网断电的数据自动保存，恢复上电后试验自动还原并继续试验，不需人工拼接。（提供证明材料，证明材料为产品彩页、官网（功能）截图、检测报告、生产厂家盖章的技术白皮书其中任意一个）；</w:t>
            </w:r>
          </w:p>
          <w:p>
            <w:pPr>
              <w:pStyle w:val="null3"/>
            </w:pPr>
            <w:r>
              <w:rPr>
                <w:rFonts w:ascii="仿宋_GB2312" w:hAnsi="仿宋_GB2312" w:cs="仿宋_GB2312" w:eastAsia="仿宋_GB2312"/>
                <w:sz w:val="24"/>
              </w:rPr>
              <w:t>7.8提供演示视频文件，体现流变系统使用的控制器内部结构、两个同型号CPU、触摸屏操作、多段加载、曲线显示、断电自恢复等功能</w:t>
            </w:r>
            <w:r>
              <w:rPr>
                <w:rFonts w:ascii="仿宋_GB2312" w:hAnsi="仿宋_GB2312" w:cs="仿宋_GB2312" w:eastAsia="仿宋_GB2312"/>
                <w:sz w:val="24"/>
                <w:b/>
              </w:rPr>
              <w:t>（</w:t>
            </w:r>
            <w:r>
              <w:rPr>
                <w:rFonts w:ascii="仿宋_GB2312" w:hAnsi="仿宋_GB2312" w:cs="仿宋_GB2312" w:eastAsia="仿宋_GB2312"/>
                <w:sz w:val="24"/>
                <w:b/>
              </w:rPr>
              <w:t>提供演示视频文件</w:t>
            </w:r>
            <w:r>
              <w:rPr>
                <w:rFonts w:ascii="仿宋_GB2312" w:hAnsi="仿宋_GB2312" w:cs="仿宋_GB2312" w:eastAsia="仿宋_GB2312"/>
                <w:sz w:val="24"/>
                <w:b/>
              </w:rPr>
              <w:t>，</w:t>
            </w:r>
            <w:r>
              <w:rPr>
                <w:rFonts w:ascii="仿宋_GB2312" w:hAnsi="仿宋_GB2312" w:cs="仿宋_GB2312" w:eastAsia="仿宋_GB2312"/>
                <w:sz w:val="24"/>
                <w:b/>
              </w:rPr>
              <w:t>视频文件要连续不得剪辑</w:t>
            </w:r>
            <w:r>
              <w:rPr>
                <w:rFonts w:ascii="仿宋_GB2312" w:hAnsi="仿宋_GB2312" w:cs="仿宋_GB2312" w:eastAsia="仿宋_GB2312"/>
                <w:sz w:val="24"/>
                <w:b/>
              </w:rPr>
              <w:t>）；</w:t>
            </w:r>
          </w:p>
          <w:p>
            <w:pPr>
              <w:pStyle w:val="null3"/>
            </w:pPr>
            <w:r>
              <w:rPr>
                <w:rFonts w:ascii="仿宋_GB2312" w:hAnsi="仿宋_GB2312" w:cs="仿宋_GB2312" w:eastAsia="仿宋_GB2312"/>
                <w:sz w:val="24"/>
              </w:rPr>
              <w:t>8.试验温度：</w:t>
            </w:r>
          </w:p>
          <w:p>
            <w:pPr>
              <w:pStyle w:val="null3"/>
            </w:pPr>
            <w:r>
              <w:rPr>
                <w:rFonts w:ascii="仿宋_GB2312" w:hAnsi="仿宋_GB2312" w:cs="仿宋_GB2312" w:eastAsia="仿宋_GB2312"/>
                <w:sz w:val="24"/>
              </w:rPr>
              <w:t>（</w:t>
            </w:r>
            <w:r>
              <w:rPr>
                <w:rFonts w:ascii="仿宋_GB2312" w:hAnsi="仿宋_GB2312" w:cs="仿宋_GB2312" w:eastAsia="仿宋_GB2312"/>
                <w:sz w:val="24"/>
              </w:rPr>
              <w:t>1）温度范围：RT～150℃；</w:t>
            </w:r>
          </w:p>
          <w:p>
            <w:pPr>
              <w:pStyle w:val="null3"/>
            </w:pPr>
            <w:r>
              <w:rPr>
                <w:rFonts w:ascii="仿宋_GB2312" w:hAnsi="仿宋_GB2312" w:cs="仿宋_GB2312" w:eastAsia="仿宋_GB2312"/>
                <w:sz w:val="24"/>
              </w:rPr>
              <w:t>（</w:t>
            </w:r>
            <w:r>
              <w:rPr>
                <w:rFonts w:ascii="仿宋_GB2312" w:hAnsi="仿宋_GB2312" w:cs="仿宋_GB2312" w:eastAsia="仿宋_GB2312"/>
                <w:sz w:val="24"/>
              </w:rPr>
              <w:t>2）温度分辨率：不低于0.1℃；</w:t>
            </w:r>
          </w:p>
          <w:p>
            <w:pPr>
              <w:pStyle w:val="null3"/>
            </w:pPr>
            <w:r>
              <w:rPr>
                <w:rFonts w:ascii="仿宋_GB2312" w:hAnsi="仿宋_GB2312" w:cs="仿宋_GB2312" w:eastAsia="仿宋_GB2312"/>
                <w:sz w:val="24"/>
              </w:rPr>
              <w:t>（</w:t>
            </w:r>
            <w:r>
              <w:rPr>
                <w:rFonts w:ascii="仿宋_GB2312" w:hAnsi="仿宋_GB2312" w:cs="仿宋_GB2312" w:eastAsia="仿宋_GB2312"/>
                <w:sz w:val="24"/>
              </w:rPr>
              <w:t>3）控温精度：≤±2%</w:t>
            </w:r>
          </w:p>
          <w:p>
            <w:pPr>
              <w:pStyle w:val="null3"/>
            </w:pPr>
            <w:r>
              <w:rPr>
                <w:rFonts w:ascii="仿宋_GB2312" w:hAnsi="仿宋_GB2312" w:cs="仿宋_GB2312" w:eastAsia="仿宋_GB2312"/>
                <w:sz w:val="24"/>
              </w:rPr>
              <w:t>9.软件功能要求：除了基础的数据采集与曲线绘制，软件系统还需要具备以下高阶功能，以提升科研效率和数据分析的深度。</w:t>
            </w:r>
          </w:p>
          <w:p>
            <w:pPr>
              <w:pStyle w:val="null3"/>
            </w:pPr>
            <w:r>
              <w:rPr>
                <w:rFonts w:ascii="仿宋_GB2312" w:hAnsi="仿宋_GB2312" w:cs="仿宋_GB2312" w:eastAsia="仿宋_GB2312"/>
                <w:sz w:val="24"/>
              </w:rPr>
              <w:t>9.1</w:t>
            </w:r>
            <w:r>
              <w:rPr>
                <w:rFonts w:ascii="仿宋_GB2312" w:hAnsi="仿宋_GB2312" w:cs="仿宋_GB2312" w:eastAsia="仿宋_GB2312"/>
                <w:sz w:val="24"/>
              </w:rPr>
              <w:t>非线性蠕变模型参数辨识功能（提供软件截图并说明原理</w:t>
            </w:r>
            <w:r>
              <w:rPr>
                <w:rFonts w:ascii="仿宋_GB2312" w:hAnsi="仿宋_GB2312" w:cs="仿宋_GB2312" w:eastAsia="仿宋_GB2312"/>
                <w:sz w:val="24"/>
              </w:rPr>
              <w:t>）</w:t>
            </w:r>
            <w:r>
              <w:rPr>
                <w:rFonts w:ascii="仿宋_GB2312" w:hAnsi="仿宋_GB2312" w:cs="仿宋_GB2312" w:eastAsia="仿宋_GB2312"/>
                <w:sz w:val="24"/>
              </w:rPr>
              <w:t>；</w:t>
            </w:r>
          </w:p>
          <w:p>
            <w:pPr>
              <w:pStyle w:val="null3"/>
            </w:pPr>
            <w:r>
              <w:rPr>
                <w:rFonts w:ascii="仿宋_GB2312" w:hAnsi="仿宋_GB2312" w:cs="仿宋_GB2312" w:eastAsia="仿宋_GB2312"/>
                <w:sz w:val="24"/>
              </w:rPr>
              <w:t>9.2</w:t>
            </w:r>
            <w:r>
              <w:rPr>
                <w:rFonts w:ascii="仿宋_GB2312" w:hAnsi="仿宋_GB2312" w:cs="仿宋_GB2312" w:eastAsia="仿宋_GB2312"/>
                <w:sz w:val="24"/>
              </w:rPr>
              <w:t>智能算法拟合功能（提供软件截图并说明原理）</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left"/>
            </w:pPr>
            <w:r>
              <w:rPr>
                <w:rFonts w:ascii="仿宋_GB2312" w:hAnsi="仿宋_GB2312" w:cs="仿宋_GB2312" w:eastAsia="仿宋_GB2312"/>
                <w:sz w:val="24"/>
              </w:rPr>
              <w:t>注：</w:t>
            </w:r>
            <w:r>
              <w:rPr>
                <w:rFonts w:ascii="仿宋_GB2312" w:hAnsi="仿宋_GB2312" w:cs="仿宋_GB2312" w:eastAsia="仿宋_GB2312"/>
                <w:sz w:val="24"/>
              </w:rPr>
              <w:t>1、参数不允许负偏离，任意一项负偏离按无效响应处理。</w:t>
            </w:r>
          </w:p>
          <w:p>
            <w:pPr>
              <w:pStyle w:val="null3"/>
            </w:pPr>
            <w:r>
              <w:rPr>
                <w:rFonts w:ascii="仿宋_GB2312" w:hAnsi="仿宋_GB2312" w:cs="仿宋_GB2312" w:eastAsia="仿宋_GB2312"/>
                <w:sz w:val="24"/>
              </w:rPr>
              <w:t>2、文件要求提供证明材料的，证明材料为产品彩页、官网（功能）截图、检测报告、生产厂家盖章的技术白皮书其中任意一个(技术参数与性能指标中对证明材料有要求的以要求的为准)，未提供或提供的证明材料低于文件规定的相应技术参数时视为负偏离。</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合同签订后15天内交货至指定地点并调试完毕。</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西安科技大学指定地点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预付款，结算单位：采购人结算，在付款前必须开具全额增值税发票给采购人。2.国产产品付款方式：（1）中小企业中标付款方式： 签订合同前向学校缴纳5%的履约保证金，合同签订后采购人支付40%合同金额的预付款，达到付款条件起10个工作日内，支付合同总金额的40.0%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进度款，国内产品安装调试经学校验收合格后一次性支付60%合同金额的余款，同时缴纳的5%履约保证金无质量问题一次性无息退还，达到付款条件起10个工作日内，支付合同总金额的60.0%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1、乙方负责安装调试，甲方提供必要的工作条件（水电等）。 2、验收标准和方法：国产产品：（1）初验：货物安装调试合格后，进行试运行测试，通过试运行测试后进入试运行，试运行不少于30日历日。由乙方向甲方提供详细的试运行报告，报告中至少应详细记录各种实测、运行数据。项目试运行且通过乙方自测后提交甲方使用单位进行初验。验收内容按试运行报告，现场查看货物运行情况。初验完成后，乙方填写初验验收报告并经甲方使用单位确认。（2）整体验收即终验：该项目初验完成后，甲方根据使用单位提供的初验验收报告，组织甲方相关人员和专家组成的验收小组对系统设备进行最终验收。验收依据为本合同文本、招投标文件和国内相应的标准、规范，本合同内所列功能参数逐条验收，并符合甲方稳定安全正常使用的需求。验收合格后，甲方填写终验验收单，并由乙方向甲方提交货物所包含的所有资料，以便甲方使用单位日后管理和维护。验收不合格的，限期整改，整改过程中产生的费用和货物发生的一切损失由乙方承担；整改超过二次的，甲方有权单方解除本合同，乙方应无条件退还已收取的全部合同价款，并按合同总价30%向甲方支付违约金，违约金不足弥补甲方损失的，由乙方负责赔偿。</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1、乙方应在设备发运前对其进行满足于运输距离、防震、防锈和防破损装卸要求的包装，以保证货物安全运输到达甲方指定地点。途中发生包装物破损的情况，甲方有权拒收货物。 2、包装上注明货物品种及数量。 3、使用说明书、质量检验证明书、随配附件和工具以及清单与设备一起发送。 4、运输方式：乙方负责运输并承担运输、装卸、倒运及运保费等费用。</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1.质量保证期：1年，售后服务响应时间（质保期内）：即时响应（包括电话响应）；电话响应无法解决 24小时内到达现场。修复时间 48 小时内解决；如在 48 小时内无法修复，则提供部件冗余服务或采取应急措施，提供相同产品或不低于故障产品规格档次的备用产品供采购人使用，以确保货物的正常使用。</w:t>
      </w:r>
    </w:p>
    <w:p>
      <w:pPr>
        <w:pStyle w:val="null3"/>
        <w:outlineLvl w:val="3"/>
      </w:pPr>
      <w:r>
        <w:rPr>
          <w:rFonts w:ascii="仿宋_GB2312" w:hAnsi="仿宋_GB2312" w:cs="仿宋_GB2312" w:eastAsia="仿宋_GB2312"/>
          <w:sz w:val="24"/>
          <w:b/>
        </w:rPr>
        <w:t>3.4.8违约责任及解决争议的方法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1、除本合同约定的违约责任之外，双方按《中华人民共和国民法典》中的相关条款执行。 2、提供的货物不符合合同要求，或者不能满足招标文件技术要求，乙方必须无条件退换直到合格，并承担逾期供货违约责任。否则，甲方有权终止合同，乙方及制造厂商共同退还货款，并支付合同金额30%的违约金，违约金不足以弥补损失的，应继续赔偿损失。 3、除因不可抗力，乙方逾期交货，每天应按合同总价的千分之一向甲方支付违约金。如乙方逾期三十天仍未交齐货物的，甲方有权终止合同，乙方及制造厂商共同退还货款，并按合同总价30%向甲方支付违约金，违约金不足以弥补损失的，应继续赔偿损失。 4、乙方所交货物的类型、版本、参数、功能需求等在使用中如发生不符合合同约定、国家标准，或者所供货物达不到约定技术要求的，或者运行存在较大潜在风险的，导致甲方无法正常使用的，乙方应无条件全额向甲方退还已收取的合同款，并向甲方支付合同总价款30%的违约金，违约金不足以弥补损失的，应继续赔偿损失。 5、乙方所供货物在合理使用期限内，因质量或安装问题造成甲方或第三方人身伤亡、财产损失的，乙方应负责解决并承担赔偿责任，并赔偿甲方所有损失（包含但不限于律师费、诉讼费等一切损失）；乙方应按甲方要求采取退货、换货等方式处理，退换货的一切费用由乙方承担，并应退还甲方支付的合同总货款。 6、若交货后三十日历日内乙方未完成安装调试的，每逾期一日应按合同总价的千分之一向甲方支付违约金。违约金不足以弥补损失的，应继续赔偿甲方损失。</w:t>
      </w:r>
    </w:p>
    <w:p>
      <w:pPr>
        <w:pStyle w:val="null3"/>
        <w:jc w:val="left"/>
        <w:outlineLvl w:val="3"/>
      </w:pPr>
      <w:r>
        <w:rPr>
          <w:rFonts w:ascii="仿宋_GB2312" w:hAnsi="仿宋_GB2312" w:cs="仿宋_GB2312" w:eastAsia="仿宋_GB2312"/>
          <w:sz w:val="24"/>
          <w:b/>
        </w:rPr>
        <w:t>3.5其他要求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结算单位：采购人结算，在付款前必须开具全额增值税发票给采购人。国产产品付款方式：中小企业中标付款方式：签订合同前向学校缴纳5%的履约保证金，合同签订后采购人支付40%合同金额的预付款。国内产品安装调试经学校验收合格后一次性支付60%合同金额的余款，同时缴纳的5%履约保证金无质量问题一次性无息退还。注：商务条款为实质性响应条款，不允许负偏离。2.本项目核心产品为：岩石混凝土长时流变性能测试仪。3.谈判保证金以电子保函形式递交需在开标前给shanxizhuoming_zb@163.com发一份扫描件。4. 视频系统功能演示须知：（1）供应商应将文件中要求视频演示的内容合并生成一份视频演示文件（视频格式为MP4、AVI等）并按要求进行递交。（2）若供应商未制作视频演示文件或视频演示文件无法正常播放或不清晰，则视为放弃本次视频功能演示或演示评审部分不符合要求，按无效响应处理。（3）供应商须于开标前将视频演示文件（请自行加密）发送至邮箱shanxizhuoming_zb@163.com（邮件标题命名格式为“西安科技大学-180R视频演示文件+供应商名称+联系人+联系电话+项目名称”），并于开标后30分钟内将演示文件密码发送至邮箱shanxizhuoming_zb@163.com，否则视为无效响应。 5.供应商需要在线提交所有通过电子化交易平台实施的政府采购项目的投标文件，同时，线下提交纸质投标文件正本壹份、副本贰份，纸质投标文件正副本分别胶装，标明供应商名称密封递交，递交截止时间同在线递交电子投标文件截止时间一致，线下递交文件地点：西安市雁塔区科技路30号合力紫郡大厦B座21层，若电子投标文件与纸质投标文件不一致的，以电子投标文件为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资格审查由采购人或代理机构组建的资格审查小组依据法律法规和谈判文件的规定，对响应文件中的资格证明等进行审查，以确定投标人是否具备投标资格，并出具资格审查报告。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具有独立承担民事责任能力的法人、其他组织或自然人</w:t>
            </w:r>
          </w:p>
        </w:tc>
        <w:tc>
          <w:tcPr>
            <w:tcW w:type="dxa" w:w="3322"/>
          </w:tcPr>
          <w:p>
            <w:pPr>
              <w:pStyle w:val="null3"/>
            </w:pPr>
            <w:r>
              <w:rPr>
                <w:rFonts w:ascii="仿宋_GB2312" w:hAnsi="仿宋_GB2312" w:cs="仿宋_GB2312" w:eastAsia="仿宋_GB2312"/>
              </w:rPr>
              <w:t>提供合法有效的统一社会信用代码营业执照（事业单位提供事业单位法人证书，自然人应提供身份证）</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财务状况证明</w:t>
            </w:r>
          </w:p>
        </w:tc>
        <w:tc>
          <w:tcPr>
            <w:tcW w:type="dxa" w:w="3322"/>
          </w:tcPr>
          <w:p>
            <w:pPr>
              <w:pStyle w:val="null3"/>
            </w:pPr>
            <w:r>
              <w:rPr>
                <w:rFonts w:ascii="仿宋_GB2312" w:hAnsi="仿宋_GB2312" w:cs="仿宋_GB2312" w:eastAsia="仿宋_GB2312"/>
              </w:rPr>
              <w:t>供应商提供2024年度或2025年度经审计完整的财务审计报告（成立时间至提交投标文件截止时间不足一年的可提供成立后任意时段的资产负债表），或其开标前六个月内银行出具的资信证明，或财政部门认可的政府采购专业担保机构出具的投标担保函</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提供2025年7月1日以来任意时间段的依法缴纳税收的相关凭据（时间以税款所属日期为准），凭据应有税务机关或代收机关的公章或业务专用章。依法免税或无须缴纳税收的供应商，应提供相应证明文件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提供2025年7月1日以来任意时间段的社会保障资金缴存单据或社保机构开具的社会保险参保缴费情况证明。依法不需要缴纳社会保障资金的供应商应提供相关文件证明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具有履行合同所必需的设备和专业技术能力的书面声明</w:t>
            </w:r>
          </w:p>
        </w:tc>
        <w:tc>
          <w:tcPr>
            <w:tcW w:type="dxa" w:w="3322"/>
          </w:tcPr>
          <w:p>
            <w:pPr>
              <w:pStyle w:val="null3"/>
            </w:pPr>
            <w:r>
              <w:rPr>
                <w:rFonts w:ascii="仿宋_GB2312" w:hAnsi="仿宋_GB2312" w:cs="仿宋_GB2312" w:eastAsia="仿宋_GB2312"/>
              </w:rPr>
              <w:t>具有履行合同所必需的设备和专业技术能力的书面声明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非法定代表人参加投标的，须提供法定代表人委托授权书及被授权人身份证，法定代表人参加投标时,只需提供法定代表人身份证</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参加政府采购活动前3年内在经营活动中没有重大违法记录的书面声明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本项目不允许联合体谈判</w:t>
            </w:r>
          </w:p>
        </w:tc>
        <w:tc>
          <w:tcPr>
            <w:tcW w:type="dxa" w:w="3322"/>
          </w:tcPr>
          <w:p>
            <w:pPr>
              <w:pStyle w:val="null3"/>
            </w:pPr>
            <w:r>
              <w:rPr>
                <w:rFonts w:ascii="仿宋_GB2312" w:hAnsi="仿宋_GB2312" w:cs="仿宋_GB2312" w:eastAsia="仿宋_GB2312"/>
              </w:rPr>
              <w:t>提供非联合体声明</w:t>
            </w:r>
          </w:p>
        </w:tc>
        <w:tc>
          <w:tcPr>
            <w:tcW w:type="dxa" w:w="1661"/>
          </w:tcPr>
          <w:p>
            <w:pPr>
              <w:pStyle w:val="null3"/>
            </w:pPr>
            <w:r>
              <w:rPr>
                <w:rFonts w:ascii="仿宋_GB2312" w:hAnsi="仿宋_GB2312" w:cs="仿宋_GB2312" w:eastAsia="仿宋_GB2312"/>
              </w:rPr>
              <w:t>供应商资格要求.docx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谈判过程中可实质性变动的内容</w:t>
      </w:r>
    </w:p>
    <w:p>
      <w:pPr>
        <w:pStyle w:val="null3"/>
        <w:ind w:firstLine="480"/>
      </w:pPr>
      <w:r>
        <w:rPr>
          <w:rFonts w:ascii="仿宋_GB2312" w:hAnsi="仿宋_GB2312" w:cs="仿宋_GB2312" w:eastAsia="仿宋_GB2312"/>
        </w:rPr>
        <w:t xml:space="preserve"> 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谈判办法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一、根据《中华人民共和国政府采购法》《中华人民共和国政府采购法实施条例》《政府采购非招标采购方式管理办法》等法律制度，结合本采购项目特点制定本次竞争性谈判评审方法。</w:t>
      </w:r>
    </w:p>
    <w:p>
      <w:pPr>
        <w:pStyle w:val="null3"/>
        <w:ind w:firstLine="480"/>
      </w:pPr>
      <w:r>
        <w:rPr>
          <w:rFonts w:ascii="仿宋_GB2312" w:hAnsi="仿宋_GB2312" w:cs="仿宋_GB2312" w:eastAsia="仿宋_GB2312"/>
        </w:rPr>
        <w:t>二、评审工作由代理机构组织，具体评审事务由依法组建的谈判小组负责。</w:t>
      </w:r>
    </w:p>
    <w:p>
      <w:pPr>
        <w:pStyle w:val="null3"/>
        <w:ind w:firstLine="480"/>
      </w:pPr>
      <w:r>
        <w:rPr>
          <w:rFonts w:ascii="仿宋_GB2312" w:hAnsi="仿宋_GB2312" w:cs="仿宋_GB2312" w:eastAsia="仿宋_GB2312"/>
        </w:rPr>
        <w:t>三、评审工作应遵循客观、公正、审慎的原则，并以相同的谈判程序和标准对待所有的供应商。</w:t>
      </w:r>
    </w:p>
    <w:p>
      <w:pPr>
        <w:pStyle w:val="null3"/>
        <w:ind w:firstLine="480"/>
      </w:pPr>
      <w:r>
        <w:rPr>
          <w:rFonts w:ascii="仿宋_GB2312" w:hAnsi="仿宋_GB2312" w:cs="仿宋_GB2312" w:eastAsia="仿宋_GB2312"/>
        </w:rPr>
        <w:t xml:space="preserve"> 四、本项目采取电子化评审，通过项目电子化交易系统完成评审工作。谈判小组成员、采购人、代理机构和供应商应当按照本谈判文件规定和项目电子化交易系统操作要求开展或者参加评审活动。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6.2谈判小组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一、谈判小组成员应当满足并适应电子化采购评审的工作需要，使用已身份认证并具备签章功能的证书，登录项目电子化交易系统进入项目评审功能模块确认身份、签到、推荐谈判小组组长。</w:t>
      </w:r>
    </w:p>
    <w:p>
      <w:pPr>
        <w:pStyle w:val="null3"/>
        <w:ind w:firstLine="480"/>
      </w:pPr>
      <w:r>
        <w:rPr>
          <w:rFonts w:ascii="仿宋_GB2312" w:hAnsi="仿宋_GB2312" w:cs="仿宋_GB2312" w:eastAsia="仿宋_GB2312"/>
        </w:rPr>
        <w:t xml:space="preserve"> 二、谈判小组成员获取解密后的响应文件，开展评审活动。出现应当回避的情形时，谈判小组成员应当主动回避；代理机构按规定申请补充抽取评审专家；无法及时补充抽取的，采购人或者代理机构应当封存供应商响应文件，按规定重新组建谈判小组，解封响应文件后，开展评审活动。</w:t>
      </w:r>
    </w:p>
    <w:p>
      <w:pPr>
        <w:pStyle w:val="null3"/>
        <w:ind w:firstLine="480"/>
      </w:pPr>
      <w:r>
        <w:rPr>
          <w:rFonts w:ascii="仿宋_GB2312" w:hAnsi="仿宋_GB2312" w:cs="仿宋_GB2312" w:eastAsia="仿宋_GB2312"/>
        </w:rPr>
        <w:t>三、谈判小组按照谈判文件规定的谈判程序、评审方法和标准进行评审，并独立履行下列职责：</w:t>
      </w:r>
    </w:p>
    <w:p>
      <w:pPr>
        <w:pStyle w:val="null3"/>
        <w:ind w:firstLine="480"/>
      </w:pPr>
      <w:r>
        <w:rPr>
          <w:rFonts w:ascii="仿宋_GB2312" w:hAnsi="仿宋_GB2312" w:cs="仿宋_GB2312" w:eastAsia="仿宋_GB2312"/>
        </w:rPr>
        <w:t>（一）熟悉和理解谈判文件；</w:t>
      </w:r>
    </w:p>
    <w:p>
      <w:pPr>
        <w:pStyle w:val="null3"/>
        <w:ind w:firstLine="480"/>
      </w:pPr>
      <w:r>
        <w:rPr>
          <w:rFonts w:ascii="仿宋_GB2312" w:hAnsi="仿宋_GB2312" w:cs="仿宋_GB2312" w:eastAsia="仿宋_GB2312"/>
        </w:rPr>
        <w:t>（二）审查供应商响应文件等是否满足谈判文件要求，并作出评价；</w:t>
      </w:r>
    </w:p>
    <w:p>
      <w:pPr>
        <w:pStyle w:val="null3"/>
        <w:ind w:firstLine="480"/>
      </w:pPr>
      <w:r>
        <w:rPr>
          <w:rFonts w:ascii="仿宋_GB2312" w:hAnsi="仿宋_GB2312" w:cs="仿宋_GB2312" w:eastAsia="仿宋_GB2312"/>
        </w:rPr>
        <w:t xml:space="preserve"> （三）根据需要要求采购组织单位对谈判文件作出解释；根据需要要求供应商对响应文件有关事项作出澄清、说明或者更正；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6.3.1审查谈判文件和停止评审</w:t>
      </w:r>
    </w:p>
    <w:p>
      <w:pPr>
        <w:pStyle w:val="null3"/>
        <w:ind w:firstLine="480"/>
      </w:pPr>
      <w:r>
        <w:rPr>
          <w:rFonts w:ascii="仿宋_GB2312" w:hAnsi="仿宋_GB2312" w:cs="仿宋_GB2312" w:eastAsia="仿宋_GB2312"/>
        </w:rPr>
        <w:t xml:space="preserve"> 一、谈判小组正式评审前，应当对谈判文件进行熟悉和理解，内容主要包括谈判文件中供应商资格条件要求、采购项目技术、服务和商务要求、谈判办法和标准、政府采购政策要求以及政府采购合同主要条款等。</w:t>
      </w:r>
    </w:p>
    <w:p>
      <w:pPr>
        <w:pStyle w:val="null3"/>
        <w:ind w:firstLine="480"/>
      </w:pPr>
      <w:r>
        <w:rPr>
          <w:rFonts w:ascii="仿宋_GB2312" w:hAnsi="仿宋_GB2312" w:cs="仿宋_GB2312" w:eastAsia="仿宋_GB2312"/>
        </w:rPr>
        <w:t>二、本谈判文件有下列情形之一的，谈判小组应当停止评审：</w:t>
      </w:r>
    </w:p>
    <w:p>
      <w:pPr>
        <w:pStyle w:val="null3"/>
        <w:ind w:firstLine="480"/>
      </w:pPr>
      <w:r>
        <w:rPr>
          <w:rFonts w:ascii="仿宋_GB2312" w:hAnsi="仿宋_GB2312" w:cs="仿宋_GB2312" w:eastAsia="仿宋_GB2312"/>
        </w:rPr>
        <w:t>（一）谈判文件的规定存在歧义、重大缺陷的；</w:t>
      </w:r>
    </w:p>
    <w:p>
      <w:pPr>
        <w:pStyle w:val="null3"/>
        <w:ind w:firstLine="480"/>
      </w:pPr>
      <w:r>
        <w:rPr>
          <w:rFonts w:ascii="仿宋_GB2312" w:hAnsi="仿宋_GB2312" w:cs="仿宋_GB2312" w:eastAsia="仿宋_GB2312"/>
        </w:rPr>
        <w:t>（二）谈判文件明显以不合理条件对供应商实行差别待遇或者歧视待遇的；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pPr>
      <w:r>
        <w:rPr>
          <w:rFonts w:ascii="仿宋_GB2312" w:hAnsi="仿宋_GB2312" w:cs="仿宋_GB2312" w:eastAsia="仿宋_GB2312"/>
        </w:rPr>
        <w:t>（五）谈判文件将供应商的资格条件列为评分因素的；</w:t>
      </w:r>
    </w:p>
    <w:p>
      <w:pPr>
        <w:pStyle w:val="null3"/>
        <w:ind w:firstLine="480"/>
      </w:pPr>
      <w:r>
        <w:rPr>
          <w:rFonts w:ascii="仿宋_GB2312" w:hAnsi="仿宋_GB2312" w:cs="仿宋_GB2312" w:eastAsia="仿宋_GB2312"/>
        </w:rPr>
        <w:t>（六）谈判文件载明的成交原则不合法的；</w:t>
      </w:r>
    </w:p>
    <w:p>
      <w:pPr>
        <w:pStyle w:val="null3"/>
        <w:ind w:firstLine="480"/>
        <w:jc w:val="left"/>
      </w:pPr>
      <w:r>
        <w:rPr>
          <w:rFonts w:ascii="仿宋_GB2312" w:hAnsi="仿宋_GB2312" w:cs="仿宋_GB2312" w:eastAsia="仿宋_GB2312"/>
        </w:rPr>
        <w:t>（七）谈判文件有违反国家其他有关强制性规定的情形。</w:t>
      </w:r>
    </w:p>
    <w:p>
      <w:pPr>
        <w:pStyle w:val="null3"/>
        <w:ind w:firstLine="480"/>
      </w:pPr>
      <w:r>
        <w:rPr>
          <w:rFonts w:ascii="仿宋_GB2312" w:hAnsi="仿宋_GB2312" w:cs="仿宋_GB2312" w:eastAsia="仿宋_GB2312"/>
        </w:rPr>
        <w:t xml:space="preserve"> 出现上述应当停止评审情形的，谈判小组应当通过项目电子化交易系统向采购人提交情况说明。除上述情形外，谈判小组不得以任何方式和理由停止评审。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谈判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一、谈判小组依据本谈判文件的实质性要求，对符合资格的响应文件进行审查，以确定其是否满足本谈判文件的实质性要求。本项目的符合性审查事项必须以本谈判文件的明确规定的实质性要求为依据。</w:t>
      </w:r>
    </w:p>
    <w:p>
      <w:pPr>
        <w:pStyle w:val="null3"/>
        <w:ind w:firstLine="480"/>
      </w:pPr>
      <w:r>
        <w:rPr>
          <w:rFonts w:ascii="仿宋_GB2312" w:hAnsi="仿宋_GB2312" w:cs="仿宋_GB2312" w:eastAsia="仿宋_GB2312"/>
        </w:rPr>
        <w:t xml:space="preserve"> 二、在符合性审查过程中，如果出现谈判小组成员意见不一致的情况，按照少数服从多数的原则确定，但不得违背政府采购基本原则和谈判文件规定。</w:t>
      </w:r>
    </w:p>
    <w:p>
      <w:pPr>
        <w:pStyle w:val="null3"/>
        <w:ind w:firstLine="480"/>
      </w:pPr>
      <w:r>
        <w:rPr>
          <w:rFonts w:ascii="仿宋_GB2312" w:hAnsi="仿宋_GB2312" w:cs="仿宋_GB2312" w:eastAsia="仿宋_GB2312"/>
        </w:rPr>
        <w:t>三、谈判小组对所有响应文件进行审查后，确定参加谈判的供应商名单。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响应报价是否超过采购预算或者最高限价</w:t>
            </w:r>
          </w:p>
        </w:tc>
        <w:tc>
          <w:tcPr>
            <w:tcW w:type="dxa" w:w="3322"/>
          </w:tcPr>
          <w:p>
            <w:pPr>
              <w:pStyle w:val="null3"/>
            </w:pPr>
            <w:r>
              <w:rPr>
                <w:rFonts w:ascii="仿宋_GB2312" w:hAnsi="仿宋_GB2312" w:cs="仿宋_GB2312" w:eastAsia="仿宋_GB2312"/>
              </w:rPr>
              <w:t>响应报价未超过采购预算或最高限价 (合格) ，响应报价超过采购预算或最高限价(不合格)</w:t>
            </w:r>
          </w:p>
        </w:tc>
        <w:tc>
          <w:tcPr>
            <w:tcW w:type="dxa" w:w="1661"/>
          </w:tcPr>
          <w:p>
            <w:pPr>
              <w:pStyle w:val="null3"/>
            </w:pPr>
            <w:r>
              <w:rPr>
                <w:rFonts w:ascii="仿宋_GB2312" w:hAnsi="仿宋_GB2312" w:cs="仿宋_GB2312" w:eastAsia="仿宋_GB2312"/>
              </w:rPr>
              <w:t>分项报价表.docx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谈判过程中，谈判小组认为供应商的报价明显低于其他通过符合性审查供应商的报价，有可能影响产品质量或者不能诚信履约的，谈判小组应当要求其在合理的时间内在项目电子化交易系统中上传说明材料，必要时提交相关证明材料。供应商提交的相关证明材料，应当加盖供应商（法定名称）电子印章，在谈判小组要求的时间内通过项目电子化交易系统进行提交，否则提交的相关证明材料无效。供应商不能证明其报价合理性的，谈判小组应当将其响应文件作为无效处理。2.落实《关于推动解决政府采购异常低价问题的通知》财库〔2026〕2号相关要求，出现以下任意情形之一的，评审委员会应当启动异常低价投标(响应）审查程序：（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交货时间（交货期）是否满足采购文件最低要求</w:t>
            </w:r>
          </w:p>
        </w:tc>
        <w:tc>
          <w:tcPr>
            <w:tcW w:type="dxa" w:w="3322"/>
          </w:tcPr>
          <w:p>
            <w:pPr>
              <w:pStyle w:val="null3"/>
            </w:pPr>
            <w:r>
              <w:rPr>
                <w:rFonts w:ascii="仿宋_GB2312" w:hAnsi="仿宋_GB2312" w:cs="仿宋_GB2312" w:eastAsia="仿宋_GB2312"/>
              </w:rPr>
              <w:t>交货时间(期)满足采购文件要求 (合格)，交货时间(期)不满足采购文件要求(不合格)</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质量保修范围和保修期是否满足采购文件最低要求</w:t>
            </w:r>
          </w:p>
        </w:tc>
        <w:tc>
          <w:tcPr>
            <w:tcW w:type="dxa" w:w="3322"/>
          </w:tcPr>
          <w:p>
            <w:pPr>
              <w:pStyle w:val="null3"/>
            </w:pPr>
            <w:r>
              <w:rPr>
                <w:rFonts w:ascii="仿宋_GB2312" w:hAnsi="仿宋_GB2312" w:cs="仿宋_GB2312" w:eastAsia="仿宋_GB2312"/>
              </w:rPr>
              <w:t>质量保修范围和保修期满足采购文件要求(合格)， 质量保修范围和保修期不满足采购文件要求(不合格)</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响应文件有效期是否可以达到采购文件要求</w:t>
            </w:r>
          </w:p>
        </w:tc>
        <w:tc>
          <w:tcPr>
            <w:tcW w:type="dxa" w:w="3322"/>
          </w:tcPr>
          <w:p>
            <w:pPr>
              <w:pStyle w:val="null3"/>
            </w:pPr>
            <w:r>
              <w:rPr>
                <w:rFonts w:ascii="仿宋_GB2312" w:hAnsi="仿宋_GB2312" w:cs="仿宋_GB2312" w:eastAsia="仿宋_GB2312"/>
              </w:rPr>
              <w:t>投标有效期满足采购文件要求(合格)，响应文件无投标有效期或有效期不满足采购文件要求( 不合格)</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标的数量是否满足采购要求</w:t>
            </w:r>
          </w:p>
        </w:tc>
        <w:tc>
          <w:tcPr>
            <w:tcW w:type="dxa" w:w="3322"/>
          </w:tcPr>
          <w:p>
            <w:pPr>
              <w:pStyle w:val="null3"/>
            </w:pPr>
            <w:r>
              <w:rPr>
                <w:rFonts w:ascii="仿宋_GB2312" w:hAnsi="仿宋_GB2312" w:cs="仿宋_GB2312" w:eastAsia="仿宋_GB2312"/>
              </w:rPr>
              <w:t>标的数量满足采购要求（合格），标的数量不满足采购要求（不合格）</w:t>
            </w:r>
          </w:p>
        </w:tc>
        <w:tc>
          <w:tcPr>
            <w:tcW w:type="dxa" w:w="1661"/>
          </w:tcPr>
          <w:p>
            <w:pPr>
              <w:pStyle w:val="null3"/>
            </w:pPr>
            <w:r>
              <w:rPr>
                <w:rFonts w:ascii="仿宋_GB2312" w:hAnsi="仿宋_GB2312" w:cs="仿宋_GB2312" w:eastAsia="仿宋_GB2312"/>
              </w:rPr>
              <w:t>分项报价表.docx 产品技术参数表.docx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法律、法规和采购文件规定的其他无效情形</w:t>
            </w:r>
          </w:p>
        </w:tc>
        <w:tc>
          <w:tcPr>
            <w:tcW w:type="dxa" w:w="3322"/>
          </w:tcPr>
          <w:p>
            <w:pPr>
              <w:pStyle w:val="null3"/>
            </w:pPr>
            <w:r>
              <w:rPr>
                <w:rFonts w:ascii="仿宋_GB2312" w:hAnsi="仿宋_GB2312" w:cs="仿宋_GB2312" w:eastAsia="仿宋_GB2312"/>
              </w:rPr>
              <w:t>不存在法律、法规和采购文件规定的其他无效情形(合格)，存在法律、法规和采购文件规定的其他无效情形(不合格)</w:t>
            </w:r>
          </w:p>
        </w:tc>
        <w:tc>
          <w:tcPr>
            <w:tcW w:type="dxa" w:w="1661"/>
          </w:tcPr>
          <w:p>
            <w:pPr>
              <w:pStyle w:val="null3"/>
            </w:pPr>
            <w:r>
              <w:rPr>
                <w:rFonts w:ascii="仿宋_GB2312" w:hAnsi="仿宋_GB2312" w:cs="仿宋_GB2312" w:eastAsia="仿宋_GB2312"/>
              </w:rPr>
              <w:t>响应文件封面 供应商认为有必要说明的其他问题.docx 响应函 服务方案.docx</w:t>
            </w:r>
          </w:p>
        </w:tc>
      </w:tr>
    </w:tbl>
    <w:p>
      <w:pPr>
        <w:pStyle w:val="null3"/>
        <w:outlineLvl w:val="3"/>
      </w:pPr>
      <w:r>
        <w:rPr>
          <w:rFonts w:ascii="仿宋_GB2312" w:hAnsi="仿宋_GB2312" w:cs="仿宋_GB2312" w:eastAsia="仿宋_GB2312"/>
          <w:sz w:val="24"/>
          <w:b/>
        </w:rPr>
        <w:t>6.3.3谈判</w:t>
      </w:r>
    </w:p>
    <w:p>
      <w:pPr>
        <w:pStyle w:val="null3"/>
        <w:ind w:firstLine="480"/>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pPr>
      <w:r>
        <w:rPr>
          <w:rFonts w:ascii="仿宋_GB2312" w:hAnsi="仿宋_GB2312" w:cs="仿宋_GB2312" w:eastAsia="仿宋_GB2312"/>
        </w:rPr>
        <w:t xml:space="preserve"> 二、谈判小组所有成员集中与单一供应商对技术、服务、合同条款等内容分别进行一轮或多轮的谈判。在谈判中，谈判的任何一方不得透露与谈判有关的其他供应商的技术资料、价格和其他信息。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三、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ind w:firstLine="480"/>
      </w:pPr>
      <w:r>
        <w:rPr>
          <w:rFonts w:ascii="仿宋_GB2312" w:hAnsi="仿宋_GB2312" w:cs="仿宋_GB2312" w:eastAsia="仿宋_GB2312"/>
        </w:rPr>
        <w:t xml:space="preserve"> 四、对谈判文件作出的实质性变动是谈判文件的有效组成部分，谈判小组应通过“承诺”功能，将变动情况通知所有参加谈判的供应商。谈判过程中，谈判小组可以根据谈判情况调整谈判轮次。</w:t>
      </w:r>
    </w:p>
    <w:p>
      <w:pPr>
        <w:pStyle w:val="null3"/>
        <w:ind w:firstLine="480"/>
      </w:pPr>
      <w:r>
        <w:rPr>
          <w:rFonts w:ascii="仿宋_GB2312" w:hAnsi="仿宋_GB2312" w:cs="仿宋_GB2312" w:eastAsia="仿宋_GB2312"/>
        </w:rPr>
        <w:t xml:space="preserve"> 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pPr>
      <w:r>
        <w:rPr>
          <w:rFonts w:ascii="仿宋_GB2312" w:hAnsi="仿宋_GB2312" w:cs="仿宋_GB2312" w:eastAsia="仿宋_GB2312"/>
        </w:rPr>
        <w:t>六、经最终谈判后，响应文件仍有下列情况之一的，应按照无效响应处理：</w:t>
      </w:r>
    </w:p>
    <w:p>
      <w:pPr>
        <w:pStyle w:val="null3"/>
        <w:ind w:firstLine="480"/>
      </w:pPr>
      <w:r>
        <w:rPr>
          <w:rFonts w:ascii="仿宋_GB2312" w:hAnsi="仿宋_GB2312" w:cs="仿宋_GB2312" w:eastAsia="仿宋_GB2312"/>
        </w:rPr>
        <w:t>（一）响应文件仍不能实质响应谈判文件可实质性变动的实质性要求的；</w:t>
      </w:r>
    </w:p>
    <w:p>
      <w:pPr>
        <w:pStyle w:val="null3"/>
        <w:ind w:firstLine="480"/>
      </w:pPr>
      <w:r>
        <w:rPr>
          <w:rFonts w:ascii="仿宋_GB2312" w:hAnsi="仿宋_GB2312" w:cs="仿宋_GB2312" w:eastAsia="仿宋_GB2312"/>
        </w:rPr>
        <w:t>（二）响应文件中仍有谈判文件规定的其他无效响应情形的。</w:t>
      </w:r>
    </w:p>
    <w:p>
      <w:pPr>
        <w:pStyle w:val="null3"/>
        <w:ind w:firstLine="480"/>
      </w:pPr>
      <w:r>
        <w:rPr>
          <w:rFonts w:ascii="仿宋_GB2312" w:hAnsi="仿宋_GB2312" w:cs="仿宋_GB2312" w:eastAsia="仿宋_GB2312"/>
        </w:rPr>
        <w:t xml:space="preserve"> 七、谈判小组对供应商在谈判、评审过程中的书面交换材料，未按要求加盖电子印章或签字的，视同未提交书面交换材料。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八、谈判小组在最终谈判后，对所有响应文件的有效性、完整性和响应程度进行审查后，确定最后报价的供应商名单。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九、谈判过程中，谈判的任何一方不得透露与谈判有关的其他供应商的技术资料、价格和其他信息。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十、谈判过程中，谈判小组发现或者知晓供应商存在违法行为的，应当谈判报告中予以记录，并向本级财政部门报告，依法应将该供应商响应文件作无效处理的，应当作无效处理。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二、谈判小组开启报价后，供应商应随时关注项目电子化交易系统信息提醒，登录项目电子化交易系统，通过“评审等候大厅”进行报价并签章后提交。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三、供应商在未提高响应文件中承诺的标准情况下，其最后报价不得高于对该项目之前的报价，否则，谈判小组将对其响应文件作无效处理，并通过电子化交易系统告知供应商，说明理由。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四、供应商最后报价属于明显低价不正当竞争的，谈判小组应按照“供应商须知前附表”第8项规定处理。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六、供应商未按谈判小组要求在规定时间内提交最后报价的，视为其退出谈判。</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jc w:val="left"/>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（三）供应商的最后报价应符合谈判文件的要求。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十、异常低价审查：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4984"/>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评审点要求概况</w:t>
            </w:r>
          </w:p>
        </w:tc>
        <w:tc>
          <w:tcPr>
            <w:tcW w:type="dxa" w:w="4984"/>
          </w:tcPr>
          <w:p>
            <w:pPr>
              <w:pStyle w:val="null3"/>
            </w:pPr>
            <w:r>
              <w:rPr>
                <w:rFonts w:ascii="仿宋_GB2312" w:hAnsi="仿宋_GB2312" w:cs="仿宋_GB2312" w:eastAsia="仿宋_GB2312"/>
              </w:rPr>
              <w:t xml:space="preserve"> 异常低价的情形</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异常低价审查</w:t>
            </w:r>
          </w:p>
        </w:tc>
        <w:tc>
          <w:tcPr>
            <w:tcW w:type="dxa" w:w="4984"/>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w:t>
              <w:br/>
              <w:t>（1）投标（响应）报价低于全部通过符合性审查供应商投标（响应）报价平均值50%的，即投标（响应）报价&lt;全部通过符合性审查供应商投标（响应）报价平均值×50%。</w:t>
              <w:br/>
              <w:t>（2）投标（响应）报价低于通过符合性审查且报价次低供应商投标（响应）报价50%的，即投标（响应）报价&lt;通过符合性审查且报价次低供应商投标（响应）报价×50%。</w:t>
              <w:br/>
              <w:t>（3）投标（响应）报价低于最高限价45%的，即投标（响应）报价&lt;最高限价×45%。</w:t>
              <w:br/>
              <w:t>（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br/>
              <w:t>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tc>
      </w:tr>
    </w:tbl>
    <w:p>
      <w:pPr>
        <w:pStyle w:val="null3"/>
        <w:ind w:firstLine="480"/>
      </w:pPr>
      <w:r>
        <w:rPr>
          <w:rFonts w:ascii="仿宋_GB2312" w:hAnsi="仿宋_GB2312" w:cs="仿宋_GB2312" w:eastAsia="仿宋_GB2312"/>
        </w:rPr>
        <w:t>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p>
      <w:pPr>
        <w:pStyle w:val="null3"/>
        <w:outlineLvl w:val="3"/>
      </w:pPr>
      <w:r>
        <w:rPr>
          <w:rFonts w:ascii="仿宋_GB2312" w:hAnsi="仿宋_GB2312" w:cs="仿宋_GB2312" w:eastAsia="仿宋_GB2312"/>
          <w:sz w:val="24"/>
          <w:b/>
        </w:rPr>
        <w:t>6.3.5价格扣除</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910"/>
          </w:tcPr>
          <w:p>
            <w:pPr>
              <w:pStyle w:val="null3"/>
            </w:pPr>
            <w:r>
              <w:rPr>
                <w:rFonts w:ascii="仿宋_GB2312" w:hAnsi="仿宋_GB2312" w:cs="仿宋_GB2312" w:eastAsia="仿宋_GB2312"/>
              </w:rPr>
              <w:t>本国产品说明 关于符合本国产品标准的声明函 中国境内生产的组件成本核算基本规则</w:t>
            </w:r>
          </w:p>
        </w:tc>
      </w:tr>
    </w:tbl>
    <w:p>
      <w:pPr>
        <w:pStyle w:val="null3"/>
        <w:outlineLvl w:val="3"/>
      </w:pPr>
      <w:r>
        <w:rPr>
          <w:rFonts w:ascii="仿宋_GB2312" w:hAnsi="仿宋_GB2312" w:cs="仿宋_GB2312" w:eastAsia="仿宋_GB2312"/>
          <w:sz w:val="24"/>
          <w:b/>
        </w:rPr>
        <w:t>6.3.6解释、澄清、说明的有关问题</w:t>
      </w:r>
    </w:p>
    <w:p>
      <w:pPr>
        <w:pStyle w:val="null3"/>
        <w:ind w:firstLine="480"/>
      </w:pPr>
      <w:r>
        <w:rPr>
          <w:rFonts w:ascii="仿宋_GB2312" w:hAnsi="仿宋_GB2312" w:cs="仿宋_GB2312" w:eastAsia="仿宋_GB2312"/>
        </w:rPr>
        <w:t xml:space="preserve"> 一、评审过程中，谈判小组认为竞争性谈判文件有关事项表述不明确或需要说明的，可以提请代理机构书面解释。代理机构的解释不得改变竞争性谈判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三、代理机构宣布评审结束之前，供应商应通过项目电子化交易系统随时关注评审消息提示，及时响应谈判小组发出的澄清、说明或更正要求。供应商未能及时响应的，自行承担不利后果。</w:t>
      </w:r>
    </w:p>
    <w:p>
      <w:pPr>
        <w:pStyle w:val="null3"/>
        <w:ind w:firstLine="480"/>
      </w:pPr>
      <w:r>
        <w:rPr>
          <w:rFonts w:ascii="仿宋_GB2312" w:hAnsi="仿宋_GB2312" w:cs="仿宋_GB2312" w:eastAsia="仿宋_GB2312"/>
        </w:rPr>
        <w:t>四、谈判小组应当积极履行澄清、说明或者更正的职责，不得滥用权力。</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ind w:firstLine="480"/>
        <w:jc w:val="left"/>
      </w:pPr>
      <w:r>
        <w:rPr>
          <w:rFonts w:ascii="仿宋_GB2312" w:hAnsi="仿宋_GB2312" w:cs="仿宋_GB2312" w:eastAsia="仿宋_GB2312"/>
        </w:rPr>
        <w:t xml:space="preserve"> 响应文件满足谈判文件全部实质性要求且最终报价最低的供应商为排名第一的成交候选供应商。</w:t>
      </w:r>
    </w:p>
    <w:p>
      <w:pPr>
        <w:pStyle w:val="null3"/>
        <w:ind w:firstLine="480"/>
        <w:jc w:val="left"/>
      </w:pPr>
      <w:r>
        <w:rPr>
          <w:rFonts w:ascii="仿宋_GB2312" w:hAnsi="仿宋_GB2312" w:cs="仿宋_GB2312" w:eastAsia="仿宋_GB2312"/>
        </w:rPr>
        <w:t xml:space="preserve"> 经评审的最终报价是指对供应商最后报价完成价格修正和落实政府采购政策进行的价格扣除后的报价。</w:t>
      </w:r>
    </w:p>
    <w:p>
      <w:pPr>
        <w:pStyle w:val="null3"/>
        <w:outlineLvl w:val="3"/>
      </w:pPr>
      <w:r>
        <w:rPr>
          <w:rFonts w:ascii="仿宋_GB2312" w:hAnsi="仿宋_GB2312" w:cs="仿宋_GB2312" w:eastAsia="仿宋_GB2312"/>
          <w:sz w:val="24"/>
          <w:b/>
        </w:rPr>
        <w:t>6.3.9编写谈判报告</w:t>
      </w:r>
    </w:p>
    <w:p>
      <w:pPr>
        <w:pStyle w:val="null3"/>
        <w:ind w:firstLine="480"/>
      </w:pPr>
      <w:r>
        <w:rPr>
          <w:rFonts w:ascii="仿宋_GB2312" w:hAnsi="仿宋_GB2312" w:cs="仿宋_GB2312" w:eastAsia="仿宋_GB2312"/>
        </w:rPr>
        <w:t xml:space="preserve"> 谈判小组在项目电子化交易系统中编制评审情况，生成谈判报告。谈判报告是谈判小组根据全体成员签字的原始评审记录和评审结果编写的报告，其主要内容包括：</w:t>
      </w:r>
    </w:p>
    <w:p>
      <w:pPr>
        <w:pStyle w:val="null3"/>
        <w:ind w:firstLine="480"/>
      </w:pPr>
      <w:r>
        <w:rPr>
          <w:rFonts w:ascii="仿宋_GB2312" w:hAnsi="仿宋_GB2312" w:cs="仿宋_GB2312" w:eastAsia="仿宋_GB2312"/>
        </w:rPr>
        <w:t>一、邀请供应商参加采购活动的具体方式和相关情况，以及参加采购活动的供应商名单；</w:t>
      </w:r>
    </w:p>
    <w:p>
      <w:pPr>
        <w:pStyle w:val="null3"/>
        <w:ind w:firstLine="480"/>
      </w:pPr>
      <w:r>
        <w:rPr>
          <w:rFonts w:ascii="仿宋_GB2312" w:hAnsi="仿宋_GB2312" w:cs="仿宋_GB2312" w:eastAsia="仿宋_GB2312"/>
        </w:rPr>
        <w:t>二、谈判日期和地点，评审委员会成员名单；</w:t>
      </w:r>
    </w:p>
    <w:p>
      <w:pPr>
        <w:pStyle w:val="null3"/>
        <w:ind w:firstLine="480"/>
      </w:pPr>
      <w:r>
        <w:rPr>
          <w:rFonts w:ascii="仿宋_GB2312" w:hAnsi="仿宋_GB2312" w:cs="仿宋_GB2312" w:eastAsia="仿宋_GB2312"/>
        </w:rPr>
        <w:t>三、参加报价的供应商名单及报价情况和未参加报价的供应商名单及原因；</w:t>
      </w:r>
    </w:p>
    <w:p>
      <w:pPr>
        <w:pStyle w:val="null3"/>
        <w:ind w:firstLine="480"/>
      </w:pPr>
      <w:r>
        <w:rPr>
          <w:rFonts w:ascii="仿宋_GB2312" w:hAnsi="仿宋_GB2312" w:cs="仿宋_GB2312" w:eastAsia="仿宋_GB2312"/>
        </w:rPr>
        <w:t>四、变动谈判文件实质性内容的有关资料及记录；</w:t>
      </w:r>
    </w:p>
    <w:p>
      <w:pPr>
        <w:pStyle w:val="null3"/>
        <w:ind w:firstLine="480"/>
      </w:pPr>
      <w:r>
        <w:rPr>
          <w:rFonts w:ascii="仿宋_GB2312" w:hAnsi="仿宋_GB2312" w:cs="仿宋_GB2312" w:eastAsia="仿宋_GB2312"/>
        </w:rPr>
        <w:t>五、供应商响应文件响应谈判文件实质性要求情况及供应商变动响应文件有关资料及记录；</w:t>
      </w:r>
    </w:p>
    <w:p>
      <w:pPr>
        <w:pStyle w:val="null3"/>
        <w:ind w:firstLine="480"/>
      </w:pPr>
      <w:r>
        <w:rPr>
          <w:rFonts w:ascii="仿宋_GB2312" w:hAnsi="仿宋_GB2312" w:cs="仿宋_GB2312" w:eastAsia="仿宋_GB2312"/>
        </w:rPr>
        <w:t>六、谈判情况记录和说明，包括对供应商的资格审查情况、供应商响应文件谈判情况等；</w:t>
      </w:r>
    </w:p>
    <w:p>
      <w:pPr>
        <w:pStyle w:val="null3"/>
        <w:ind w:firstLine="480"/>
      </w:pPr>
      <w:r>
        <w:rPr>
          <w:rFonts w:ascii="仿宋_GB2312" w:hAnsi="仿宋_GB2312" w:cs="仿宋_GB2312" w:eastAsia="仿宋_GB2312"/>
        </w:rPr>
        <w:t>七、推荐的成交候选供应商名单及理由。</w:t>
      </w:r>
    </w:p>
    <w:p>
      <w:pPr>
        <w:pStyle w:val="null3"/>
        <w:ind w:firstLine="480"/>
      </w:pPr>
      <w:r>
        <w:rPr>
          <w:rFonts w:ascii="仿宋_GB2312" w:hAnsi="仿宋_GB2312" w:cs="仿宋_GB2312" w:eastAsia="仿宋_GB2312"/>
        </w:rPr>
        <w:t xml:space="preserve"> 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说明其不同意见和理由的，视为同意谈判报告。</w:t>
      </w:r>
    </w:p>
    <w:p>
      <w:pPr>
        <w:pStyle w:val="null3"/>
        <w:outlineLvl w:val="3"/>
      </w:pPr>
      <w:r>
        <w:rPr>
          <w:rFonts w:ascii="仿宋_GB2312" w:hAnsi="仿宋_GB2312" w:cs="仿宋_GB2312" w:eastAsia="仿宋_GB2312"/>
          <w:sz w:val="24"/>
          <w:b/>
        </w:rPr>
        <w:t>6.3.10谈判争议处理规则</w:t>
      </w:r>
    </w:p>
    <w:p>
      <w:pPr>
        <w:pStyle w:val="null3"/>
        <w:ind w:firstLine="480"/>
      </w:pPr>
      <w:r>
        <w:rPr>
          <w:rFonts w:ascii="仿宋_GB2312" w:hAnsi="仿宋_GB2312" w:cs="仿宋_GB2312" w:eastAsia="仿宋_GB2312"/>
        </w:rPr>
        <w:t xml:space="preserve"> 在谈判过程中，对于符合性审查、对响应文件作无效响应处理的及其他需要共同认定的事项存在争议的，应当以少数服从多数的原则作出结论，但不得违背竞争性谈判文件规定。持不同意见的谈判小组成员应当在谈判报告中签署不同意见及理由，否则视为同意评审报告。持不同意见的谈判小组成员认为认定过程和结果不符合法律法规或者谈判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6.4终止采购活动情形</w:t>
      </w:r>
    </w:p>
    <w:p>
      <w:pPr>
        <w:pStyle w:val="null3"/>
        <w:ind w:firstLine="480"/>
      </w:pPr>
      <w:r>
        <w:rPr>
          <w:rFonts w:ascii="仿宋_GB2312" w:hAnsi="仿宋_GB2312" w:cs="仿宋_GB2312" w:eastAsia="仿宋_GB2312"/>
        </w:rPr>
        <w:t>有下列情形之一的，本项目终止采购活动：</w:t>
      </w:r>
    </w:p>
    <w:p>
      <w:pPr>
        <w:pStyle w:val="null3"/>
        <w:ind w:firstLine="480"/>
      </w:pPr>
      <w:r>
        <w:rPr>
          <w:rFonts w:ascii="仿宋_GB2312" w:hAnsi="仿宋_GB2312" w:cs="仿宋_GB2312" w:eastAsia="仿宋_GB2312"/>
        </w:rPr>
        <w:t>一、因情况变化，不再符合规定的竞争性谈判采购方式适用情形的；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三、提交首次响应文件的供应商不足三家的；</w:t>
      </w:r>
    </w:p>
    <w:p>
      <w:pPr>
        <w:pStyle w:val="null3"/>
        <w:ind w:firstLine="480"/>
      </w:pPr>
      <w:r>
        <w:rPr>
          <w:rFonts w:ascii="仿宋_GB2312" w:hAnsi="仿宋_GB2312" w:cs="仿宋_GB2312" w:eastAsia="仿宋_GB2312"/>
        </w:rPr>
        <w:t>四、通过资格审查的供应商不足三家的；</w:t>
      </w:r>
    </w:p>
    <w:p>
      <w:pPr>
        <w:pStyle w:val="null3"/>
        <w:ind w:firstLine="480"/>
      </w:pPr>
      <w:r>
        <w:rPr>
          <w:rFonts w:ascii="仿宋_GB2312" w:hAnsi="仿宋_GB2312" w:cs="仿宋_GB2312" w:eastAsia="仿宋_GB2312"/>
        </w:rPr>
        <w:t>五、通过符合性审查的供应商不足三家的；</w:t>
      </w:r>
    </w:p>
    <w:p>
      <w:pPr>
        <w:pStyle w:val="null3"/>
        <w:ind w:firstLine="480"/>
      </w:pPr>
      <w:r>
        <w:rPr>
          <w:rFonts w:ascii="仿宋_GB2312" w:hAnsi="仿宋_GB2312" w:cs="仿宋_GB2312" w:eastAsia="仿宋_GB2312"/>
        </w:rPr>
        <w:t>六、提交最后报价的供应商不足三家的；</w:t>
      </w:r>
    </w:p>
    <w:p>
      <w:pPr>
        <w:pStyle w:val="null3"/>
        <w:ind w:firstLine="480"/>
      </w:pPr>
      <w:r>
        <w:rPr>
          <w:rFonts w:ascii="仿宋_GB2312" w:hAnsi="仿宋_GB2312" w:cs="仿宋_GB2312" w:eastAsia="仿宋_GB2312"/>
        </w:rPr>
        <w:t>七、通过最后报价审查的供应商不足三家的。</w:t>
      </w:r>
    </w:p>
    <w:p>
      <w:pPr>
        <w:pStyle w:val="null3"/>
        <w:ind w:firstLine="480"/>
      </w:pPr>
      <w:r>
        <w:rPr>
          <w:rFonts w:ascii="仿宋_GB2312" w:hAnsi="仿宋_GB2312" w:cs="仿宋_GB2312" w:eastAsia="仿宋_GB2312"/>
        </w:rPr>
        <w:t>注：公开招标转竞争性谈判只有两家供应商参与的情形除外。</w:t>
      </w:r>
    </w:p>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一、评审结束后，代理机构在评审结束之日起2个工作日内将谈判报告及有关资料送交采购人确定成交供应商。</w:t>
      </w:r>
    </w:p>
    <w:p>
      <w:pPr>
        <w:pStyle w:val="null3"/>
      </w:pPr>
      <w:r>
        <w:rPr>
          <w:rFonts w:ascii="仿宋_GB2312" w:hAnsi="仿宋_GB2312" w:cs="仿宋_GB2312" w:eastAsia="仿宋_GB2312"/>
        </w:rPr>
        <w:t>二、采购人在收到谈判报告后5个工作日内，在谈判报告确定的成交候选供应商名单中按顺序确定1名成交供应商。成交候选供应商并列的，由采购人采取随机抽取的方式确定成交供应商。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三、采购人逾期未确定成交供应商且不提出异议的，视为确定谈判报告提出的排序第一的供应商为成交供应商。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6.6谈判小组成员义务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二、按照客观、公正、审慎的原则，根据竞争性谈判文件规定的评审程序、评审方法和评审标准进行独立评审；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6.7谈判纪律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详见附件：本国产品说明</w:t>
      </w:r>
    </w:p>
    <w:p>
      <w:pPr>
        <w:pStyle w:val="null3"/>
        <w:ind w:firstLine="960"/>
      </w:pPr>
      <w:r>
        <w:rPr>
          <w:rFonts w:ascii="仿宋_GB2312" w:hAnsi="仿宋_GB2312" w:cs="仿宋_GB2312" w:eastAsia="仿宋_GB2312"/>
        </w:rPr>
        <w:t>详见附件：产品技术参数表.docx</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详见附件：供应商资格要求.docx</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详见附件：供应商认为有必要说明的其他问题.docx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