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42711">
      <w:pPr>
        <w:keepNext w:val="0"/>
        <w:keepLines w:val="0"/>
        <w:pageBreakBefore w:val="0"/>
        <w:widowControl/>
        <w:tabs>
          <w:tab w:val="left" w:pos="5367"/>
        </w:tabs>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rPr>
        <w:t xml:space="preserve">项目编号 : </w:t>
      </w:r>
      <w:r>
        <w:rPr>
          <w:rFonts w:hint="eastAsia" w:ascii="仿宋" w:hAnsi="仿宋" w:eastAsia="仿宋" w:cs="仿宋"/>
          <w:b/>
          <w:bCs/>
          <w:color w:val="auto"/>
          <w:sz w:val="24"/>
          <w:szCs w:val="24"/>
          <w:lang w:eastAsia="zh-CN"/>
        </w:rPr>
        <w:t>XSDL-BH2026014</w:t>
      </w:r>
      <w:r>
        <w:rPr>
          <w:rFonts w:hint="eastAsia" w:ascii="仿宋" w:hAnsi="仿宋" w:eastAsia="仿宋" w:cs="仿宋"/>
          <w:color w:val="auto"/>
          <w:sz w:val="24"/>
          <w:szCs w:val="24"/>
          <w:lang w:val="en-US" w:eastAsia="zh-CN"/>
        </w:rPr>
        <w:tab/>
      </w:r>
    </w:p>
    <w:p w14:paraId="2E5373D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E5B7BF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1E484F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p>
    <w:p w14:paraId="7AAA75A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p>
    <w:p w14:paraId="4898A92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p>
    <w:p w14:paraId="08A35CD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p>
    <w:p w14:paraId="03BF8A2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36"/>
          <w:szCs w:val="36"/>
          <w:lang w:val="en-US" w:eastAsia="zh-CN"/>
        </w:rPr>
        <w:t>白河县城关镇第三小学多功能录播教室设备采购项目</w:t>
      </w:r>
    </w:p>
    <w:p w14:paraId="0471C96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36"/>
          <w:szCs w:val="36"/>
          <w:lang w:val="en-US" w:eastAsia="zh-CN"/>
        </w:rPr>
      </w:pPr>
    </w:p>
    <w:p w14:paraId="1FE9F43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36"/>
          <w:szCs w:val="36"/>
          <w:lang w:val="en-US" w:eastAsia="zh-CN"/>
        </w:rPr>
        <w:t>招标文件</w:t>
      </w:r>
    </w:p>
    <w:p w14:paraId="649D41E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464DF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7AFB97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58B886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2E203B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1B5E75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50D477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BF8C81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D07F15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062A5CF">
      <w:pPr>
        <w:keepNext w:val="0"/>
        <w:keepLines w:val="0"/>
        <w:pageBreakBefore w:val="0"/>
        <w:widowControl/>
        <w:kinsoku w:val="0"/>
        <w:wordWrap/>
        <w:overflowPunct/>
        <w:topLinePunct w:val="0"/>
        <w:autoSpaceDE w:val="0"/>
        <w:autoSpaceDN w:val="0"/>
        <w:bidi w:val="0"/>
        <w:adjustRightInd w:val="0"/>
        <w:snapToGrid w:val="0"/>
        <w:spacing w:line="460" w:lineRule="exact"/>
        <w:ind w:firstLine="964" w:firstLineChars="4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采购人:  白河县城关镇中心小学</w:t>
      </w:r>
    </w:p>
    <w:p w14:paraId="31C7403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p>
    <w:p w14:paraId="0D5BEDAF">
      <w:pPr>
        <w:keepNext w:val="0"/>
        <w:keepLines w:val="0"/>
        <w:pageBreakBefore w:val="0"/>
        <w:widowControl/>
        <w:kinsoku w:val="0"/>
        <w:wordWrap/>
        <w:overflowPunct/>
        <w:topLinePunct w:val="0"/>
        <w:autoSpaceDE w:val="0"/>
        <w:autoSpaceDN w:val="0"/>
        <w:bidi w:val="0"/>
        <w:adjustRightInd w:val="0"/>
        <w:snapToGrid w:val="0"/>
        <w:spacing w:line="460" w:lineRule="exact"/>
        <w:ind w:firstLine="964" w:firstLineChars="400"/>
        <w:textAlignment w:val="baseline"/>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rPr>
        <w:t>采购代理机构:</w:t>
      </w:r>
      <w:r>
        <w:rPr>
          <w:rFonts w:hint="eastAsia" w:ascii="仿宋" w:hAnsi="仿宋" w:eastAsia="仿宋" w:cs="仿宋"/>
          <w:b/>
          <w:bCs/>
          <w:color w:val="auto"/>
          <w:sz w:val="24"/>
          <w:szCs w:val="24"/>
        </w:rPr>
        <w:t xml:space="preserve"> </w:t>
      </w:r>
      <w:r>
        <w:rPr>
          <w:rFonts w:hint="eastAsia" w:ascii="仿宋" w:hAnsi="仿宋" w:eastAsia="仿宋" w:cs="仿宋"/>
          <w:b/>
          <w:bCs/>
          <w:color w:val="auto"/>
          <w:sz w:val="24"/>
          <w:szCs w:val="24"/>
          <w:lang w:val="en-US" w:eastAsia="zh-CN"/>
        </w:rPr>
        <w:t>安康市兴盛工程造价咨询有限公司</w:t>
      </w:r>
    </w:p>
    <w:p w14:paraId="0CC2DA5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4F4DDC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二○二六年</w:t>
      </w:r>
      <w:r>
        <w:rPr>
          <w:rFonts w:hint="eastAsia" w:ascii="仿宋" w:hAnsi="仿宋" w:eastAsia="仿宋" w:cs="仿宋"/>
          <w:b/>
          <w:bCs/>
          <w:color w:val="auto"/>
          <w:sz w:val="24"/>
          <w:szCs w:val="24"/>
          <w:lang w:val="en-US" w:eastAsia="zh-CN"/>
        </w:rPr>
        <w:t>六</w:t>
      </w:r>
      <w:r>
        <w:rPr>
          <w:rFonts w:hint="eastAsia" w:ascii="仿宋" w:hAnsi="仿宋" w:eastAsia="仿宋" w:cs="仿宋"/>
          <w:b/>
          <w:bCs/>
          <w:color w:val="auto"/>
          <w:sz w:val="24"/>
          <w:szCs w:val="24"/>
        </w:rPr>
        <w:t>月</w:t>
      </w:r>
    </w:p>
    <w:p w14:paraId="1A2BA79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sectPr>
          <w:footerReference r:id="rId5" w:type="first"/>
          <w:pgSz w:w="11906" w:h="16840"/>
          <w:pgMar w:top="1531" w:right="1531" w:bottom="1531" w:left="1531" w:header="850" w:footer="1191" w:gutter="0"/>
          <w:pgNumType w:fmt="decimal"/>
          <w:cols w:space="720" w:num="1"/>
        </w:sectPr>
      </w:pPr>
    </w:p>
    <w:p w14:paraId="2230B63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bookmarkStart w:id="0" w:name="bookmark1"/>
      <w:bookmarkEnd w:id="0"/>
      <w:r>
        <w:rPr>
          <w:rFonts w:hint="eastAsia" w:ascii="仿宋" w:hAnsi="仿宋" w:eastAsia="仿宋" w:cs="仿宋"/>
          <w:color w:val="auto"/>
          <w:sz w:val="24"/>
          <w:szCs w:val="24"/>
        </w:rPr>
        <w:t>目  录</w:t>
      </w:r>
    </w:p>
    <w:p w14:paraId="7CA6A8B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sdt>
      <w:sdtPr>
        <w:rPr>
          <w:rFonts w:ascii="宋体" w:hAnsi="宋体" w:eastAsia="宋体" w:cs="Arial"/>
          <w:snapToGrid w:val="0"/>
          <w:color w:val="auto"/>
          <w:kern w:val="0"/>
          <w:sz w:val="24"/>
          <w:szCs w:val="24"/>
          <w:lang w:val="en-US" w:eastAsia="en-US" w:bidi="ar-SA"/>
        </w:rPr>
        <w:id w:val="147455990"/>
        <w15:color w:val="DBDBDB"/>
        <w:docPartObj>
          <w:docPartGallery w:val="Table of Contents"/>
          <w:docPartUnique/>
        </w:docPartObj>
      </w:sdtPr>
      <w:sdtEndPr>
        <w:rPr>
          <w:rFonts w:hint="eastAsia" w:ascii="仿宋" w:hAnsi="仿宋" w:eastAsia="仿宋" w:cs="仿宋"/>
          <w:snapToGrid w:val="0"/>
          <w:color w:val="auto"/>
          <w:kern w:val="0"/>
          <w:sz w:val="24"/>
          <w:szCs w:val="24"/>
          <w:lang w:val="en-US" w:eastAsia="en-US" w:bidi="ar-SA"/>
        </w:rPr>
      </w:sdtEndPr>
      <w:sdtContent>
        <w:p w14:paraId="38E7D6D4">
          <w:pPr>
            <w:keepNext w:val="0"/>
            <w:keepLines w:val="0"/>
            <w:pageBreakBefore w:val="0"/>
            <w:widowControl/>
            <w:kinsoku w:val="0"/>
            <w:wordWrap/>
            <w:overflowPunct/>
            <w:topLinePunct w:val="0"/>
            <w:autoSpaceDE w:val="0"/>
            <w:autoSpaceDN w:val="0"/>
            <w:bidi w:val="0"/>
            <w:adjustRightInd w:val="0"/>
            <w:snapToGrid w:val="0"/>
            <w:spacing w:before="0" w:beforeLines="0" w:after="0" w:afterLines="0" w:line="460" w:lineRule="exact"/>
            <w:ind w:left="0" w:leftChars="0" w:right="0" w:rightChars="0" w:firstLine="0" w:firstLineChars="0"/>
            <w:jc w:val="center"/>
            <w:textAlignment w:val="baseline"/>
            <w:rPr>
              <w:color w:val="auto"/>
              <w:sz w:val="24"/>
              <w:szCs w:val="24"/>
            </w:rPr>
          </w:pPr>
        </w:p>
        <w:p w14:paraId="4B15EF37">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TOC \o "1-1" \h \u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_Toc23589 </w:instrText>
          </w:r>
          <w:r>
            <w:rPr>
              <w:rFonts w:hint="eastAsia" w:ascii="仿宋" w:hAnsi="仿宋" w:eastAsia="仿宋" w:cs="仿宋"/>
              <w:color w:val="auto"/>
              <w:sz w:val="24"/>
              <w:szCs w:val="24"/>
            </w:rPr>
            <w:fldChar w:fldCharType="separate"/>
          </w:r>
          <w:r>
            <w:rPr>
              <w:rFonts w:hint="eastAsia"/>
              <w:color w:val="auto"/>
              <w:sz w:val="24"/>
              <w:szCs w:val="24"/>
            </w:rPr>
            <w:t>第一章 招标公告</w:t>
          </w:r>
          <w:r>
            <w:rPr>
              <w:color w:val="auto"/>
              <w:sz w:val="24"/>
              <w:szCs w:val="24"/>
            </w:rPr>
            <w:tab/>
          </w:r>
          <w:r>
            <w:rPr>
              <w:color w:val="auto"/>
              <w:sz w:val="24"/>
              <w:szCs w:val="24"/>
            </w:rPr>
            <w:fldChar w:fldCharType="begin"/>
          </w:r>
          <w:r>
            <w:rPr>
              <w:color w:val="auto"/>
              <w:sz w:val="24"/>
              <w:szCs w:val="24"/>
            </w:rPr>
            <w:instrText xml:space="preserve"> PAGEREF _Toc23589 \h </w:instrText>
          </w:r>
          <w:r>
            <w:rPr>
              <w:color w:val="auto"/>
              <w:sz w:val="24"/>
              <w:szCs w:val="24"/>
            </w:rPr>
            <w:fldChar w:fldCharType="separate"/>
          </w:r>
          <w:r>
            <w:rPr>
              <w:color w:val="auto"/>
              <w:sz w:val="24"/>
              <w:szCs w:val="24"/>
            </w:rPr>
            <w:t>4</w:t>
          </w:r>
          <w:r>
            <w:rPr>
              <w:color w:val="auto"/>
              <w:sz w:val="24"/>
              <w:szCs w:val="24"/>
            </w:rPr>
            <w:fldChar w:fldCharType="end"/>
          </w:r>
          <w:r>
            <w:rPr>
              <w:rFonts w:hint="eastAsia" w:ascii="仿宋" w:hAnsi="仿宋" w:eastAsia="仿宋" w:cs="仿宋"/>
              <w:color w:val="auto"/>
              <w:sz w:val="24"/>
              <w:szCs w:val="24"/>
            </w:rPr>
            <w:fldChar w:fldCharType="end"/>
          </w:r>
        </w:p>
        <w:p w14:paraId="3720AB73">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_Toc12340 </w:instrText>
          </w:r>
          <w:r>
            <w:rPr>
              <w:rFonts w:hint="eastAsia" w:ascii="仿宋" w:hAnsi="仿宋" w:eastAsia="仿宋" w:cs="仿宋"/>
              <w:color w:val="auto"/>
              <w:sz w:val="24"/>
              <w:szCs w:val="24"/>
            </w:rPr>
            <w:fldChar w:fldCharType="separate"/>
          </w:r>
          <w:r>
            <w:rPr>
              <w:rFonts w:hint="eastAsia"/>
              <w:color w:val="auto"/>
              <w:sz w:val="24"/>
              <w:szCs w:val="24"/>
            </w:rPr>
            <w:t>第二章 投标人须知</w:t>
          </w:r>
          <w:r>
            <w:rPr>
              <w:color w:val="auto"/>
              <w:sz w:val="24"/>
              <w:szCs w:val="24"/>
            </w:rPr>
            <w:tab/>
          </w:r>
          <w:r>
            <w:rPr>
              <w:color w:val="auto"/>
              <w:sz w:val="24"/>
              <w:szCs w:val="24"/>
            </w:rPr>
            <w:fldChar w:fldCharType="begin"/>
          </w:r>
          <w:r>
            <w:rPr>
              <w:color w:val="auto"/>
              <w:sz w:val="24"/>
              <w:szCs w:val="24"/>
            </w:rPr>
            <w:instrText xml:space="preserve"> PAGEREF _Toc12340 \h </w:instrText>
          </w:r>
          <w:r>
            <w:rPr>
              <w:color w:val="auto"/>
              <w:sz w:val="24"/>
              <w:szCs w:val="24"/>
            </w:rPr>
            <w:fldChar w:fldCharType="separate"/>
          </w:r>
          <w:r>
            <w:rPr>
              <w:color w:val="auto"/>
              <w:sz w:val="24"/>
              <w:szCs w:val="24"/>
            </w:rPr>
            <w:t>8</w:t>
          </w:r>
          <w:r>
            <w:rPr>
              <w:color w:val="auto"/>
              <w:sz w:val="24"/>
              <w:szCs w:val="24"/>
            </w:rPr>
            <w:fldChar w:fldCharType="end"/>
          </w:r>
          <w:r>
            <w:rPr>
              <w:rFonts w:hint="eastAsia" w:ascii="仿宋" w:hAnsi="仿宋" w:eastAsia="仿宋" w:cs="仿宋"/>
              <w:color w:val="auto"/>
              <w:sz w:val="24"/>
              <w:szCs w:val="24"/>
            </w:rPr>
            <w:fldChar w:fldCharType="end"/>
          </w:r>
        </w:p>
        <w:p w14:paraId="0FB37F45">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_Toc5107 </w:instrText>
          </w:r>
          <w:r>
            <w:rPr>
              <w:rFonts w:hint="eastAsia" w:ascii="仿宋" w:hAnsi="仿宋" w:eastAsia="仿宋" w:cs="仿宋"/>
              <w:color w:val="auto"/>
              <w:sz w:val="24"/>
              <w:szCs w:val="24"/>
            </w:rPr>
            <w:fldChar w:fldCharType="separate"/>
          </w:r>
          <w:r>
            <w:rPr>
              <w:rFonts w:hint="eastAsia"/>
              <w:color w:val="auto"/>
              <w:sz w:val="24"/>
              <w:szCs w:val="24"/>
            </w:rPr>
            <w:t>第三章 采购内容及要求</w:t>
          </w:r>
          <w:r>
            <w:rPr>
              <w:color w:val="auto"/>
              <w:sz w:val="24"/>
              <w:szCs w:val="24"/>
            </w:rPr>
            <w:tab/>
          </w:r>
          <w:r>
            <w:rPr>
              <w:color w:val="auto"/>
              <w:sz w:val="24"/>
              <w:szCs w:val="24"/>
            </w:rPr>
            <w:fldChar w:fldCharType="begin"/>
          </w:r>
          <w:r>
            <w:rPr>
              <w:color w:val="auto"/>
              <w:sz w:val="24"/>
              <w:szCs w:val="24"/>
            </w:rPr>
            <w:instrText xml:space="preserve"> PAGEREF _Toc5107 \h </w:instrText>
          </w:r>
          <w:r>
            <w:rPr>
              <w:color w:val="auto"/>
              <w:sz w:val="24"/>
              <w:szCs w:val="24"/>
            </w:rPr>
            <w:fldChar w:fldCharType="separate"/>
          </w:r>
          <w:r>
            <w:rPr>
              <w:color w:val="auto"/>
              <w:sz w:val="24"/>
              <w:szCs w:val="24"/>
            </w:rPr>
            <w:t>34</w:t>
          </w:r>
          <w:r>
            <w:rPr>
              <w:color w:val="auto"/>
              <w:sz w:val="24"/>
              <w:szCs w:val="24"/>
            </w:rPr>
            <w:fldChar w:fldCharType="end"/>
          </w:r>
          <w:r>
            <w:rPr>
              <w:rFonts w:hint="eastAsia" w:ascii="仿宋" w:hAnsi="仿宋" w:eastAsia="仿宋" w:cs="仿宋"/>
              <w:color w:val="auto"/>
              <w:sz w:val="24"/>
              <w:szCs w:val="24"/>
            </w:rPr>
            <w:fldChar w:fldCharType="end"/>
          </w:r>
        </w:p>
        <w:p w14:paraId="0A132B2C">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_Toc9568 </w:instrText>
          </w:r>
          <w:r>
            <w:rPr>
              <w:rFonts w:hint="eastAsia" w:ascii="仿宋" w:hAnsi="仿宋" w:eastAsia="仿宋" w:cs="仿宋"/>
              <w:color w:val="auto"/>
              <w:sz w:val="24"/>
              <w:szCs w:val="24"/>
            </w:rPr>
            <w:fldChar w:fldCharType="separate"/>
          </w:r>
          <w:r>
            <w:rPr>
              <w:rFonts w:hint="eastAsia"/>
              <w:color w:val="auto"/>
              <w:sz w:val="24"/>
              <w:szCs w:val="24"/>
            </w:rPr>
            <w:t>第四章 商务条款</w:t>
          </w:r>
          <w:r>
            <w:rPr>
              <w:color w:val="auto"/>
              <w:sz w:val="24"/>
              <w:szCs w:val="24"/>
            </w:rPr>
            <w:tab/>
          </w:r>
          <w:r>
            <w:rPr>
              <w:color w:val="auto"/>
              <w:sz w:val="24"/>
              <w:szCs w:val="24"/>
            </w:rPr>
            <w:fldChar w:fldCharType="begin"/>
          </w:r>
          <w:r>
            <w:rPr>
              <w:color w:val="auto"/>
              <w:sz w:val="24"/>
              <w:szCs w:val="24"/>
            </w:rPr>
            <w:instrText xml:space="preserve"> PAGEREF _Toc9568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仿宋" w:hAnsi="仿宋" w:eastAsia="仿宋" w:cs="仿宋"/>
              <w:color w:val="auto"/>
              <w:sz w:val="24"/>
              <w:szCs w:val="24"/>
            </w:rPr>
            <w:fldChar w:fldCharType="end"/>
          </w:r>
        </w:p>
        <w:p w14:paraId="3E4B60FB">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_Toc26058 </w:instrText>
          </w:r>
          <w:r>
            <w:rPr>
              <w:rFonts w:hint="eastAsia" w:ascii="仿宋" w:hAnsi="仿宋" w:eastAsia="仿宋" w:cs="仿宋"/>
              <w:color w:val="auto"/>
              <w:sz w:val="24"/>
              <w:szCs w:val="24"/>
            </w:rPr>
            <w:fldChar w:fldCharType="separate"/>
          </w:r>
          <w:r>
            <w:rPr>
              <w:rFonts w:hint="eastAsia"/>
              <w:color w:val="auto"/>
              <w:sz w:val="24"/>
              <w:szCs w:val="24"/>
            </w:rPr>
            <w:t>第五章 采购合同</w:t>
          </w:r>
          <w:r>
            <w:rPr>
              <w:color w:val="auto"/>
              <w:sz w:val="24"/>
              <w:szCs w:val="24"/>
            </w:rPr>
            <w:tab/>
          </w:r>
          <w:r>
            <w:rPr>
              <w:color w:val="auto"/>
              <w:sz w:val="24"/>
              <w:szCs w:val="24"/>
            </w:rPr>
            <w:fldChar w:fldCharType="begin"/>
          </w:r>
          <w:r>
            <w:rPr>
              <w:color w:val="auto"/>
              <w:sz w:val="24"/>
              <w:szCs w:val="24"/>
            </w:rPr>
            <w:instrText xml:space="preserve"> PAGEREF _Toc26058 \h </w:instrText>
          </w:r>
          <w:r>
            <w:rPr>
              <w:color w:val="auto"/>
              <w:sz w:val="24"/>
              <w:szCs w:val="24"/>
            </w:rPr>
            <w:fldChar w:fldCharType="separate"/>
          </w:r>
          <w:r>
            <w:rPr>
              <w:color w:val="auto"/>
              <w:sz w:val="24"/>
              <w:szCs w:val="24"/>
            </w:rPr>
            <w:t>50</w:t>
          </w:r>
          <w:r>
            <w:rPr>
              <w:color w:val="auto"/>
              <w:sz w:val="24"/>
              <w:szCs w:val="24"/>
            </w:rPr>
            <w:fldChar w:fldCharType="end"/>
          </w:r>
          <w:r>
            <w:rPr>
              <w:rFonts w:hint="eastAsia" w:ascii="仿宋" w:hAnsi="仿宋" w:eastAsia="仿宋" w:cs="仿宋"/>
              <w:color w:val="auto"/>
              <w:sz w:val="24"/>
              <w:szCs w:val="24"/>
            </w:rPr>
            <w:fldChar w:fldCharType="end"/>
          </w:r>
        </w:p>
        <w:p w14:paraId="42809E24">
          <w:pPr>
            <w:pStyle w:val="14"/>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460" w:lineRule="exact"/>
            <w:textAlignment w:val="baseline"/>
            <w:rPr>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_Toc1647 </w:instrText>
          </w:r>
          <w:r>
            <w:rPr>
              <w:rFonts w:hint="eastAsia" w:ascii="仿宋" w:hAnsi="仿宋" w:eastAsia="仿宋" w:cs="仿宋"/>
              <w:color w:val="auto"/>
              <w:sz w:val="24"/>
              <w:szCs w:val="24"/>
            </w:rPr>
            <w:fldChar w:fldCharType="separate"/>
          </w:r>
          <w:r>
            <w:rPr>
              <w:rFonts w:hint="eastAsia"/>
              <w:color w:val="auto"/>
              <w:sz w:val="24"/>
              <w:szCs w:val="24"/>
            </w:rPr>
            <w:t>第六章 投标文件格式</w:t>
          </w:r>
          <w:r>
            <w:rPr>
              <w:color w:val="auto"/>
              <w:sz w:val="24"/>
              <w:szCs w:val="24"/>
            </w:rPr>
            <w:tab/>
          </w:r>
          <w:r>
            <w:rPr>
              <w:color w:val="auto"/>
              <w:sz w:val="24"/>
              <w:szCs w:val="24"/>
            </w:rPr>
            <w:fldChar w:fldCharType="begin"/>
          </w:r>
          <w:r>
            <w:rPr>
              <w:color w:val="auto"/>
              <w:sz w:val="24"/>
              <w:szCs w:val="24"/>
            </w:rPr>
            <w:instrText xml:space="preserve"> PAGEREF _Toc1647 \h </w:instrText>
          </w:r>
          <w:r>
            <w:rPr>
              <w:color w:val="auto"/>
              <w:sz w:val="24"/>
              <w:szCs w:val="24"/>
            </w:rPr>
            <w:fldChar w:fldCharType="separate"/>
          </w:r>
          <w:r>
            <w:rPr>
              <w:color w:val="auto"/>
              <w:sz w:val="24"/>
              <w:szCs w:val="24"/>
            </w:rPr>
            <w:t>53</w:t>
          </w:r>
          <w:r>
            <w:rPr>
              <w:color w:val="auto"/>
              <w:sz w:val="24"/>
              <w:szCs w:val="24"/>
            </w:rPr>
            <w:fldChar w:fldCharType="end"/>
          </w:r>
          <w:r>
            <w:rPr>
              <w:rFonts w:hint="eastAsia" w:ascii="仿宋" w:hAnsi="仿宋" w:eastAsia="仿宋" w:cs="仿宋"/>
              <w:color w:val="auto"/>
              <w:sz w:val="24"/>
              <w:szCs w:val="24"/>
            </w:rPr>
            <w:fldChar w:fldCharType="end"/>
          </w:r>
        </w:p>
        <w:p w14:paraId="27C7448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snapToGrid w:val="0"/>
              <w:color w:val="auto"/>
              <w:kern w:val="0"/>
              <w:sz w:val="24"/>
              <w:szCs w:val="24"/>
              <w:lang w:val="en-US" w:eastAsia="en-US" w:bidi="ar-SA"/>
            </w:rPr>
          </w:pPr>
          <w:r>
            <w:rPr>
              <w:rFonts w:hint="eastAsia" w:ascii="仿宋" w:hAnsi="仿宋" w:eastAsia="仿宋" w:cs="仿宋"/>
              <w:color w:val="auto"/>
              <w:sz w:val="24"/>
              <w:szCs w:val="24"/>
            </w:rPr>
            <w:fldChar w:fldCharType="end"/>
          </w:r>
        </w:p>
      </w:sdtContent>
    </w:sdt>
    <w:p w14:paraId="2749818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snapToGrid w:val="0"/>
          <w:color w:val="auto"/>
          <w:kern w:val="0"/>
          <w:sz w:val="24"/>
          <w:szCs w:val="24"/>
          <w:lang w:val="en-US" w:eastAsia="en-US" w:bidi="ar-SA"/>
        </w:rPr>
        <w:sectPr>
          <w:footerReference r:id="rId6" w:type="default"/>
          <w:pgSz w:w="11907" w:h="16840"/>
          <w:pgMar w:top="1531" w:right="1531" w:bottom="1531" w:left="1531" w:header="0" w:footer="1041" w:gutter="0"/>
          <w:pgNumType w:fmt="decimal"/>
          <w:cols w:space="720" w:num="1"/>
        </w:sectPr>
      </w:pPr>
    </w:p>
    <w:p w14:paraId="4DCC3DD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bookmarkStart w:id="1" w:name="bookmark2"/>
      <w:bookmarkEnd w:id="1"/>
      <w:r>
        <w:rPr>
          <w:rFonts w:hint="eastAsia" w:ascii="仿宋" w:hAnsi="仿宋" w:eastAsia="仿宋" w:cs="仿宋"/>
          <w:b/>
          <w:bCs/>
          <w:color w:val="auto"/>
          <w:sz w:val="24"/>
          <w:szCs w:val="24"/>
        </w:rPr>
        <w:t>特别提醒</w:t>
      </w:r>
    </w:p>
    <w:p w14:paraId="48F6941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23C884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1、本项目采用不见面开标系统：电子化投标方式投标，须使用数字认证证书（CA锁）对电子投标文件进行签章、加密、递交及开标时签到、解密等相关招投标事宜。开标时供应商须携带数字认证证书（CA 锁），如因供应商自身原因未正确使用数字认证证书（CA 锁）造成无法解密投标文件，按无效投标对待。</w:t>
      </w:r>
    </w:p>
    <w:p w14:paraId="0620620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制作电子投标文件：电子招标文件需要使用专用软件打开、浏览供应商登录全国公共资源交易平台（陕西省）网站[服务指南－下载专区]免费下载《陕西省公共资源交易平台政府采购电子标书制作工具（V8.0.0.52）》，并升级至最新版本，使用该客户端可以打开电子招标文件。软件操作手册详见全国公共资源交易平台（陕西省）网站[服务指南－下载专区]中的《陕西省公共资源交易（政府采购类）投标文件制作软件操作手册》 ；制作工具下载 地 址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"http://bjmkb.akggzyjy.cn/BidOpeningHall/bidopeninghallaction/hall/login"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https://zhidao.bqpoint.com/epointkno</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"http://bjmkb.akggzyjy.cn/BidOpeningHall/bidopeninghallaction/hall/login"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w2/bqepointknowquestion.html?producttype=1&amp;platformguid=684edb0d-467c-4a6a</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"http://bjmkb.akggzyjy.cn/BidOpeningHall/bidopeninghallaction/hall/login"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-b31b-9e7929e1fdee&amp;areacode=610000&amp;Cat egoryCode=16</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w:t>
      </w:r>
    </w:p>
    <w:p w14:paraId="64B3DE3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3、递交电子投标文件：登录全国公共资源交易中心平台（陕西省）（</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http://www</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sxggzy jy.cn/），选择“ 电子交易平台—陕西政府采购交易系统—企业端 ”进行登录，登录后选择“交易乙方 ”身份进入，进入菜单“采购业务—我的项目——项目流程——上传响应文件 ”，上传加密的电子投标文件。上传成功后，电子化平台将予以记录。</w:t>
      </w:r>
    </w:p>
    <w:p w14:paraId="329F302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4、不见面开标系统：打开登录页面网址选择点击右上角“登录 ”，在左侧选择“投标人 ”身份，登录地区选择“安康市不见面开标 ”插入 CA 锁登录，输入密码后，点击“登录”：</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"http://bjmkb.akggzyjy.cn/BidOpeningHall/bidopeninghallaction/hall/login"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http://bjmkb.akggzyjy.cn/BidOpeningHall/bidopeninghallaction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"http://bjmkb.akggzyjy.cn/BidOpeningHall/bidopeninghallaction/hall/login"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/hall/login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，供应商登录之后可以看到当前供应商今日开标项目；选择要开标的项目，点击进入，页面首先阅读开标流程，点击“我已阅读 ”进入开标大厅，点击“取消 ”返回项目列表页面。</w:t>
      </w:r>
    </w:p>
    <w:p w14:paraId="57F26F2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5、开标签到：供应商等待开标时需要签到，等候开标。请在开标前完成签到，开标时间到了之后就不能签到；点击页面上“签到 ”按钮进行签到，开标前 30 分钟可以签到。签到成功之后，按钮灰化，无需再次签到，同时第一个座位图右下角出现绿色√。</w:t>
      </w:r>
    </w:p>
    <w:p w14:paraId="34AAD73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6、注意事项</w:t>
      </w:r>
    </w:p>
    <w:p w14:paraId="46F393F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驱动。投标供应商需安装新点播放器，以便观看远程不见面开标直播画面（播放器下载链接为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"https://download.bqpoint.com/download/downloaddetail.html?SourceFrom=Down&amp;SoftGuid=55aa4e06-c384-4005-bcb9-48932d410fd4"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https://download.bqpoint.com/download/downloaddetai</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"https://download.bqpoint.com/download/downloaddetail.html?SourceFrom=Down&amp;SoftGuid=55aa4e06-c384-4005-bcb9-48932d410fd4"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l.html?SourceFrom=Down&amp;SoftGuid=55aa4e06-c384-4005-bcb9-48932d410fd4</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w:t>
      </w:r>
    </w:p>
    <w:p w14:paraId="706541F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（2）建议供应商在开标前半小时登录不见面开标大厅，并及时签到（开标前60分钟即可签到），遇到问题及时联系客服 4009280095。</w:t>
      </w:r>
    </w:p>
    <w:p w14:paraId="417EF4D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（3）供应商需注意 CA 锁一定要提前准备好，并确保 CA 锁为制作投标文件的 CA锁。</w:t>
      </w:r>
    </w:p>
    <w:p w14:paraId="72CB583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（4）及时关注右侧公告及互动栏目信息。</w:t>
      </w:r>
    </w:p>
    <w:p w14:paraId="7E4B99FF">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bookmarkStart w:id="2" w:name="bookmark1"/>
      <w:bookmarkEnd w:id="2"/>
      <w:bookmarkStart w:id="3" w:name="_Toc23589"/>
    </w:p>
    <w:p w14:paraId="05D5FF2D">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440EE675">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60393581">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2C4F8633">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54B80776">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7F2F6DD9">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625C53FD">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28302CC7">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2FA34BD6">
      <w:pPr>
        <w:rPr>
          <w:rFonts w:hint="eastAsia"/>
          <w:color w:val="auto"/>
          <w:sz w:val="24"/>
          <w:szCs w:val="24"/>
        </w:rPr>
      </w:pPr>
    </w:p>
    <w:p w14:paraId="34A152D9">
      <w:pPr>
        <w:rPr>
          <w:rFonts w:hint="eastAsia"/>
          <w:color w:val="auto"/>
          <w:sz w:val="24"/>
          <w:szCs w:val="24"/>
        </w:rPr>
      </w:pPr>
    </w:p>
    <w:p w14:paraId="49C695F1">
      <w:pPr>
        <w:rPr>
          <w:rFonts w:hint="eastAsia"/>
          <w:color w:val="auto"/>
          <w:sz w:val="24"/>
          <w:szCs w:val="24"/>
        </w:rPr>
      </w:pPr>
    </w:p>
    <w:p w14:paraId="743FCD17">
      <w:pPr>
        <w:rPr>
          <w:rFonts w:hint="eastAsia"/>
          <w:color w:val="auto"/>
          <w:sz w:val="24"/>
          <w:szCs w:val="24"/>
        </w:rPr>
      </w:pPr>
    </w:p>
    <w:p w14:paraId="7CE2E7F7">
      <w:pPr>
        <w:rPr>
          <w:rFonts w:hint="eastAsia"/>
          <w:color w:val="auto"/>
          <w:sz w:val="24"/>
          <w:szCs w:val="24"/>
        </w:rPr>
      </w:pPr>
    </w:p>
    <w:p w14:paraId="77FE908C">
      <w:pPr>
        <w:rPr>
          <w:rFonts w:hint="eastAsia"/>
          <w:color w:val="auto"/>
          <w:sz w:val="24"/>
          <w:szCs w:val="24"/>
        </w:rPr>
      </w:pPr>
    </w:p>
    <w:p w14:paraId="4A3616CD">
      <w:pPr>
        <w:rPr>
          <w:rFonts w:hint="eastAsia"/>
          <w:color w:val="auto"/>
          <w:sz w:val="24"/>
          <w:szCs w:val="24"/>
        </w:rPr>
      </w:pPr>
    </w:p>
    <w:p w14:paraId="6118C794">
      <w:pPr>
        <w:rPr>
          <w:rFonts w:hint="eastAsia"/>
          <w:color w:val="auto"/>
          <w:sz w:val="24"/>
          <w:szCs w:val="24"/>
        </w:rPr>
      </w:pPr>
    </w:p>
    <w:p w14:paraId="51B2D757">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r>
        <w:rPr>
          <w:rFonts w:hint="eastAsia"/>
          <w:color w:val="auto"/>
          <w:sz w:val="24"/>
          <w:szCs w:val="24"/>
        </w:rPr>
        <w:t>第一章 招标公告</w:t>
      </w:r>
      <w:bookmarkEnd w:id="3"/>
    </w:p>
    <w:p w14:paraId="0A3D8B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jc w:val="left"/>
        <w:textAlignment w:val="auto"/>
        <w:rPr>
          <w:b w:val="0"/>
          <w:bCs w:val="0"/>
          <w:color w:val="auto"/>
          <w:sz w:val="21"/>
          <w:szCs w:val="21"/>
        </w:rPr>
      </w:pPr>
      <w:bookmarkStart w:id="4" w:name="bookmark3"/>
      <w:bookmarkEnd w:id="4"/>
      <w:bookmarkStart w:id="5" w:name="_Toc12340"/>
      <w:r>
        <w:rPr>
          <w:rStyle w:val="19"/>
          <w:b/>
          <w:bCs/>
          <w:i w:val="0"/>
          <w:iCs w:val="0"/>
          <w:caps w:val="0"/>
          <w:color w:val="auto"/>
          <w:spacing w:val="0"/>
          <w:sz w:val="21"/>
          <w:szCs w:val="21"/>
          <w:shd w:val="clear" w:fill="FFFFFF"/>
        </w:rPr>
        <w:t>项目概况</w:t>
      </w:r>
    </w:p>
    <w:p w14:paraId="613D5B9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白河县城关镇第三小学多功能录播教室设备采购项目</w:t>
      </w:r>
      <w:r>
        <w:rPr>
          <w:rFonts w:hint="eastAsia" w:ascii="微软雅黑" w:hAnsi="微软雅黑" w:eastAsia="微软雅黑" w:cs="微软雅黑"/>
          <w:i w:val="0"/>
          <w:iCs w:val="0"/>
          <w:caps w:val="0"/>
          <w:color w:val="auto"/>
          <w:spacing w:val="0"/>
          <w:sz w:val="21"/>
          <w:szCs w:val="21"/>
          <w:shd w:val="clear" w:fill="FFFFFF"/>
        </w:rPr>
        <w:t>招标项目的潜在投标人应在全国公共资源交易中心平台（陕西省 . 安康市）（网 址：http://ak.sxggzyjy.cn/）获取招标文件，并于 2026年07月27日 16时00分 （北京时间）前递交投标文件。</w:t>
      </w:r>
    </w:p>
    <w:p w14:paraId="35C154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一、项目基本情况</w:t>
      </w:r>
    </w:p>
    <w:p w14:paraId="65A242D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项目编号：XSDL-BH2026014</w:t>
      </w:r>
    </w:p>
    <w:p w14:paraId="0A455BA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项目名称：白河县城关镇第三小学多功能录播教室设备采购项目</w:t>
      </w:r>
    </w:p>
    <w:p w14:paraId="1E9096F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19641E7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预算金额：403,400.00元</w:t>
      </w:r>
    </w:p>
    <w:p w14:paraId="1536FE3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1A131D2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合同包1(白河县城关镇第三小学多功能录播教室设备采购项目):</w:t>
      </w:r>
    </w:p>
    <w:p w14:paraId="27C68FB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合同包预算金额：403,400.00元</w:t>
      </w:r>
    </w:p>
    <w:p w14:paraId="0B4D39E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合同包最高限价：403,400.00元</w:t>
      </w:r>
    </w:p>
    <w:tbl>
      <w:tblPr>
        <w:tblStyle w:val="17"/>
        <w:tblW w:w="10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5"/>
        <w:gridCol w:w="1356"/>
        <w:gridCol w:w="3320"/>
        <w:gridCol w:w="1607"/>
        <w:gridCol w:w="1558"/>
        <w:gridCol w:w="1291"/>
      </w:tblGrid>
      <w:tr w14:paraId="185C76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36" w:hRule="atLeast"/>
          <w:tblHeader/>
        </w:trPr>
        <w:tc>
          <w:tcPr>
            <w:tcW w:w="10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2AC0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5CEA1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3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FD768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6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9ADA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AF54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4B52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789325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91" w:hRule="atLeast"/>
        </w:trPr>
        <w:tc>
          <w:tcPr>
            <w:tcW w:w="10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76E0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BE80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其他信息化设备</w:t>
            </w:r>
          </w:p>
        </w:tc>
        <w:tc>
          <w:tcPr>
            <w:tcW w:w="3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C1154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白河县城关镇第三小学多功能录播教室设备采购项目</w:t>
            </w:r>
          </w:p>
        </w:tc>
        <w:tc>
          <w:tcPr>
            <w:tcW w:w="16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F806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1(项)</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8877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0AAE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right"/>
              <w:textAlignment w:val="auto"/>
              <w:rPr>
                <w:color w:val="auto"/>
                <w:sz w:val="21"/>
                <w:szCs w:val="21"/>
              </w:rPr>
            </w:pPr>
            <w:r>
              <w:rPr>
                <w:rFonts w:ascii="宋体" w:hAnsi="宋体" w:eastAsia="宋体" w:cs="宋体"/>
                <w:color w:val="auto"/>
                <w:kern w:val="0"/>
                <w:sz w:val="21"/>
                <w:szCs w:val="21"/>
                <w:lang w:val="en-US" w:eastAsia="zh-CN" w:bidi="ar"/>
              </w:rPr>
              <w:t>403,400.00</w:t>
            </w:r>
          </w:p>
        </w:tc>
      </w:tr>
    </w:tbl>
    <w:p w14:paraId="709C52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2C720F3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合同履行期限：15日历天</w:t>
      </w:r>
    </w:p>
    <w:p w14:paraId="4E815D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二、申请人的资格要求：</w:t>
      </w:r>
    </w:p>
    <w:p w14:paraId="58A0D42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7269288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616B5E7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合同包1(白河县城关镇第三小学多功能录播教室设备采购项目)落实政府采购政策需满足的资格要求如下:</w:t>
      </w:r>
    </w:p>
    <w:p w14:paraId="7752B1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（1）《财政部国家发展改革委关于印发〈节能产品政府采购实施意见〉的通知》（财库【2004】185号）；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（2）《财政部环保总局关于环境标志产品政府采购实施的意见》（财库【2006】90号）；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（4）关于印发《政府采购促进中小企业发展管理办法》的通知（财库【2020】46号；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（6）《三部门联合发布关于促进残疾人就业政府采购政策的通知》（财库【2017】141号）；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（7）《财政部发展改革委生态环境部市场监管总局 关于调整优化节能产品、环境标志产品政府采购执行机制的通知》（财库【2019】9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（8）《关于运用政府采购政策支持脱贫攻坚的通知》（财库【2019】27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（10）《关于运用政府采购政策支持乡村产业振兴的通知》（财库【2021】19号）；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（11）《关于印发节能产品政府采购品目清单的通知》（财库【2019】19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（13）财政部关于进一步加大政府采购支持中小企业力度的通知（财库【2022】19号）；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（14）其他需要落实的政府采购政策。</w:t>
      </w:r>
    </w:p>
    <w:p w14:paraId="36FB51A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25E4D30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合同包1(白河县城关镇第三小学多功能录播教室设备采购项目)特定资格要求如下:</w:t>
      </w:r>
    </w:p>
    <w:p w14:paraId="6C79880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（2）法定代表人签字授权书及被授权人身份证(法定代表人参加只需提供身份证)；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（3）财务状况报告：提供2024年或2025年度财务审计报告（成立时间至投标截止时间不足一年的可提供成立后任意时段的资产负债表），或者投标截止时间六个月内基本开户银行出具的资信证明；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（4）税收缴纳证明：提供近三个月已连续缴纳的有效纳税凭证；（依法免税的申请人应提供相关文件证明）；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需提供2026年6月至递交文件截止时间任意一个月已缴纳社会保险的证明（专用收据或社会保险缴纳清单或社保缴纳证明，依法不需要缴纳社会保障资金的投标人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（6）供应商不得为“信用中国”网(www.creditchina.gov.cn)中列入失信被执行人和重大税收违法案件当事人名单的供应商，不得为中国政府采购网</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（www.ccpg.gov.cn）政府采购严重违法失信行为记录名单中被财政部门禁止参加政府采购活动的供应商（官方网站查询截图加盖公章）；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（7）提供参加政府采购活动前 3 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（8）具有履行合同所必需的设备和专业技术能力（提供自述材料）；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（9）本项目不接受联合体，须提供非联合体声明。</w:t>
      </w:r>
    </w:p>
    <w:p w14:paraId="31C8AA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三、获取招标文件</w:t>
      </w:r>
    </w:p>
    <w:p w14:paraId="5EAB033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2026年07月07日 至 2026年07月13日 ，每天上午 08:00:00 至 12:00:00 ，下午 1</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:00:00 至 18:00:00 （北京时间）</w:t>
      </w:r>
    </w:p>
    <w:p w14:paraId="703A1EC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 . 安康市）（网 址：http://ak.sxggzyjy.cn/）</w:t>
      </w:r>
    </w:p>
    <w:p w14:paraId="15BD05F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0BE75F4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47BBD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四、提交投标文件截止时间、开标时间和地点</w:t>
      </w:r>
    </w:p>
    <w:p w14:paraId="501A2E9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2026年07月27日 16时00分00秒 （北京时间）</w:t>
      </w:r>
    </w:p>
    <w:p w14:paraId="259EF73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提交投标文件地点：全国公共资源交易中心平台（陕西省 . 安康市）（网 址：http://ak.sxggzyjy.cn/）</w:t>
      </w:r>
    </w:p>
    <w:p w14:paraId="137346B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开标地点：全国公共资源交易中心平台（陕西省 . 安康市）（网 址：http://ak.sxggzyjy.cn/）</w:t>
      </w:r>
    </w:p>
    <w:p w14:paraId="6F5014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五、公告期限</w:t>
      </w:r>
    </w:p>
    <w:p w14:paraId="4BA2EB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18A4E8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六、其他补充事宜</w:t>
      </w:r>
    </w:p>
    <w:p w14:paraId="50E566E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jc w:val="both"/>
        <w:textAlignment w:val="auto"/>
        <w:rPr>
          <w:color w:val="auto"/>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注：  （1） 使用捆绑省交易平台的 CA 锁登录电子交易平台， 通过政府采购系统企业端进入， 点击我要投标， 完善相关投标信息， 下载采购文件。未完成网上操作的或未经采 购代理机构确认的， 无法完成后续流程。 （2） 本项目采购公告同时在全国公共资源交易平 台 （陕西省·安康市） 安康市公共资源交易中心 （网址： http://ak.sxggzyjy.cn/） 、 陕西省 政府采购网 （网址： http://www.ccgp-shaanxi.gov.cn/） 发布。 （3） 本项目采用电子化投标及 远程不见面开标方式， 相关操作流程详见全国公共资源交易平台 （陕西省） 网站(服务指 南-下载专区)中的《陕西省公共资源交易中心政府采购项目投标指南》， 电子招标文件技术支持： 4009280095/4009980000。</w:t>
      </w:r>
    </w:p>
    <w:p w14:paraId="03C38C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9"/>
          <w:rFonts w:hint="eastAsia" w:ascii="微软雅黑" w:hAnsi="微软雅黑" w:eastAsia="微软雅黑" w:cs="微软雅黑"/>
          <w:b/>
          <w:bCs/>
          <w:i w:val="0"/>
          <w:iCs w:val="0"/>
          <w:caps w:val="0"/>
          <w:color w:val="auto"/>
          <w:spacing w:val="0"/>
          <w:sz w:val="21"/>
          <w:szCs w:val="21"/>
          <w:shd w:val="clear" w:fill="FFFFFF"/>
        </w:rPr>
        <w:t>七、对本次招标提出询问，请按以下方式联系。</w:t>
      </w:r>
    </w:p>
    <w:p w14:paraId="27C636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6B1D851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名称：白河县城关镇中心小学</w:t>
      </w:r>
    </w:p>
    <w:p w14:paraId="3E7C9E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地址：白河县城关镇狮子山社区</w:t>
      </w:r>
    </w:p>
    <w:p w14:paraId="2B43E09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联系方式：0915-7812990</w:t>
      </w:r>
    </w:p>
    <w:p w14:paraId="60AC14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1E86B29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名称：安康市兴盛工程造价咨询有限公司</w:t>
      </w:r>
    </w:p>
    <w:p w14:paraId="72C9826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地址：陕西省安康市汉滨区大桥路鑫街口公寓4楼</w:t>
      </w:r>
    </w:p>
    <w:p w14:paraId="06821C1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联系方式：15929152837</w:t>
      </w:r>
    </w:p>
    <w:p w14:paraId="5A2EC0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58CEDBD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项目联系人：张工</w:t>
      </w:r>
    </w:p>
    <w:p w14:paraId="3F40218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电话：15929152837</w:t>
      </w:r>
    </w:p>
    <w:p w14:paraId="254420C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安康市兴盛工程造价咨询有限公司</w:t>
      </w:r>
    </w:p>
    <w:p w14:paraId="4CB07310">
      <w:pPr>
        <w:keepNext w:val="0"/>
        <w:keepLines w:val="0"/>
        <w:pageBreakBefore w:val="0"/>
        <w:kinsoku/>
        <w:overflowPunct/>
        <w:topLinePunct w:val="0"/>
        <w:autoSpaceDE/>
        <w:autoSpaceDN/>
        <w:bidi w:val="0"/>
        <w:adjustRightInd/>
        <w:snapToGrid/>
        <w:spacing w:line="340" w:lineRule="exact"/>
        <w:jc w:val="right"/>
        <w:textAlignment w:val="auto"/>
        <w:rPr>
          <w:rFonts w:hint="default"/>
          <w:color w:val="auto"/>
          <w:lang w:val="en-US" w:eastAsia="zh-CN"/>
        </w:rPr>
      </w:pPr>
      <w:r>
        <w:rPr>
          <w:rFonts w:hint="eastAsia"/>
          <w:color w:val="auto"/>
          <w:lang w:val="en-US" w:eastAsia="zh-CN"/>
        </w:rPr>
        <w:t>2026年07月06日</w:t>
      </w:r>
    </w:p>
    <w:p w14:paraId="428F9FBF">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3D660F4E">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08939AAE">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56366233">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10C06D32">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0A8D0BEE">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668D5070">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1E904F96">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67778E6D">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5BD2CAB2">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r>
        <w:rPr>
          <w:rFonts w:hint="eastAsia"/>
          <w:color w:val="auto"/>
          <w:sz w:val="24"/>
          <w:szCs w:val="24"/>
        </w:rPr>
        <w:t>第二章 投标人须知</w:t>
      </w:r>
      <w:bookmarkEnd w:id="5"/>
    </w:p>
    <w:p w14:paraId="150EF50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一、投标人须知前附表</w:t>
      </w:r>
    </w:p>
    <w:tbl>
      <w:tblPr>
        <w:tblStyle w:val="20"/>
        <w:tblW w:w="97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1"/>
        <w:gridCol w:w="1206"/>
        <w:gridCol w:w="7807"/>
      </w:tblGrid>
      <w:tr w14:paraId="16C36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01" w:type="dxa"/>
            <w:vAlign w:val="center"/>
          </w:tcPr>
          <w:p w14:paraId="0D22080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206" w:type="dxa"/>
            <w:vAlign w:val="center"/>
          </w:tcPr>
          <w:p w14:paraId="522D848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内   容</w:t>
            </w:r>
          </w:p>
        </w:tc>
        <w:tc>
          <w:tcPr>
            <w:tcW w:w="7807" w:type="dxa"/>
            <w:vAlign w:val="center"/>
          </w:tcPr>
          <w:p w14:paraId="2858182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说明与要求</w:t>
            </w:r>
          </w:p>
        </w:tc>
      </w:tr>
      <w:tr w14:paraId="29BC3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01" w:type="dxa"/>
            <w:vMerge w:val="restart"/>
            <w:vAlign w:val="center"/>
          </w:tcPr>
          <w:p w14:paraId="2AEC900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206" w:type="dxa"/>
            <w:vAlign w:val="center"/>
          </w:tcPr>
          <w:p w14:paraId="2F0C1AF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7807" w:type="dxa"/>
            <w:vAlign w:val="center"/>
          </w:tcPr>
          <w:p w14:paraId="097CAC42">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白河县城关镇第三小学多功能录播教室设备采购项目</w:t>
            </w:r>
          </w:p>
        </w:tc>
      </w:tr>
      <w:tr w14:paraId="6A119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701" w:type="dxa"/>
            <w:vMerge w:val="continue"/>
            <w:vAlign w:val="center"/>
          </w:tcPr>
          <w:p w14:paraId="58F21CB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1206" w:type="dxa"/>
            <w:vAlign w:val="center"/>
          </w:tcPr>
          <w:p w14:paraId="4B9F647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tc>
        <w:tc>
          <w:tcPr>
            <w:tcW w:w="7807" w:type="dxa"/>
            <w:vAlign w:val="center"/>
          </w:tcPr>
          <w:p w14:paraId="5EC7921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XSDL-BH2026014</w:t>
            </w:r>
          </w:p>
        </w:tc>
      </w:tr>
      <w:tr w14:paraId="403E1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701" w:type="dxa"/>
            <w:vMerge w:val="continue"/>
            <w:vAlign w:val="center"/>
          </w:tcPr>
          <w:p w14:paraId="1CE582F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1206" w:type="dxa"/>
            <w:vAlign w:val="center"/>
          </w:tcPr>
          <w:p w14:paraId="2BA8DC8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项目属性</w:t>
            </w:r>
          </w:p>
        </w:tc>
        <w:tc>
          <w:tcPr>
            <w:tcW w:w="7807" w:type="dxa"/>
            <w:vAlign w:val="center"/>
          </w:tcPr>
          <w:p w14:paraId="26AA4AAA">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货物</w:t>
            </w:r>
          </w:p>
        </w:tc>
      </w:tr>
      <w:tr w14:paraId="30508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701" w:type="dxa"/>
            <w:vMerge w:val="restart"/>
            <w:tcBorders>
              <w:bottom w:val="nil"/>
            </w:tcBorders>
            <w:vAlign w:val="center"/>
          </w:tcPr>
          <w:p w14:paraId="735AF27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206" w:type="dxa"/>
            <w:vAlign w:val="center"/>
          </w:tcPr>
          <w:p w14:paraId="2D98209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采购人</w:t>
            </w:r>
          </w:p>
        </w:tc>
        <w:tc>
          <w:tcPr>
            <w:tcW w:w="7807" w:type="dxa"/>
            <w:vAlign w:val="center"/>
          </w:tcPr>
          <w:p w14:paraId="3A41F35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采购人：白河县城关镇中心小学</w:t>
            </w:r>
            <w:r>
              <w:rPr>
                <w:rFonts w:hint="eastAsia" w:ascii="仿宋" w:hAnsi="仿宋" w:eastAsia="仿宋" w:cs="仿宋"/>
                <w:color w:val="auto"/>
                <w:sz w:val="24"/>
                <w:szCs w:val="24"/>
                <w:lang w:val="en-US" w:eastAsia="zh-CN"/>
              </w:rPr>
              <w:t xml:space="preserve">  </w:t>
            </w:r>
          </w:p>
          <w:p w14:paraId="7D9897D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地  址：白河县城关镇狮子山社区</w:t>
            </w:r>
          </w:p>
          <w:p w14:paraId="34BFFB5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电  话：0915-7812990</w:t>
            </w:r>
          </w:p>
        </w:tc>
      </w:tr>
      <w:tr w14:paraId="5AB52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01" w:type="dxa"/>
            <w:vMerge w:val="continue"/>
            <w:tcBorders>
              <w:top w:val="nil"/>
            </w:tcBorders>
            <w:vAlign w:val="center"/>
          </w:tcPr>
          <w:p w14:paraId="3E303A3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1206" w:type="dxa"/>
            <w:vAlign w:val="center"/>
          </w:tcPr>
          <w:p w14:paraId="2424A9A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代理机构</w:t>
            </w:r>
          </w:p>
        </w:tc>
        <w:tc>
          <w:tcPr>
            <w:tcW w:w="7807" w:type="dxa"/>
            <w:vAlign w:val="center"/>
          </w:tcPr>
          <w:p w14:paraId="1F52F29B">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rPr>
              <w:t>名  称：</w:t>
            </w:r>
            <w:r>
              <w:rPr>
                <w:rFonts w:hint="eastAsia" w:ascii="仿宋" w:hAnsi="仿宋" w:eastAsia="仿宋" w:cs="仿宋"/>
                <w:b/>
                <w:bCs/>
                <w:color w:val="auto"/>
                <w:sz w:val="24"/>
                <w:szCs w:val="24"/>
                <w:lang w:val="en-US" w:eastAsia="zh-CN"/>
              </w:rPr>
              <w:t>安康市兴盛工程造价咨询有限公司</w:t>
            </w:r>
          </w:p>
          <w:p w14:paraId="7BE55627">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地  址：</w:t>
            </w:r>
            <w:r>
              <w:rPr>
                <w:rFonts w:hint="eastAsia" w:ascii="仿宋" w:hAnsi="仿宋" w:eastAsia="仿宋" w:cs="仿宋"/>
                <w:color w:val="auto"/>
                <w:sz w:val="24"/>
                <w:szCs w:val="24"/>
                <w:lang w:eastAsia="zh-CN"/>
              </w:rPr>
              <w:t>安康市大桥路新街口</w:t>
            </w:r>
            <w:r>
              <w:rPr>
                <w:rFonts w:hint="eastAsia" w:ascii="仿宋" w:hAnsi="仿宋" w:eastAsia="仿宋" w:cs="仿宋"/>
                <w:color w:val="auto"/>
                <w:sz w:val="24"/>
                <w:szCs w:val="24"/>
                <w:lang w:val="en-US" w:eastAsia="zh-CN"/>
              </w:rPr>
              <w:t>4号楼410室</w:t>
            </w:r>
          </w:p>
          <w:p w14:paraId="6BA85272">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 xml:space="preserve">张工    </w:t>
            </w:r>
          </w:p>
          <w:p w14:paraId="31E0EB52">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  话：</w:t>
            </w:r>
            <w:r>
              <w:rPr>
                <w:rFonts w:hint="eastAsia" w:ascii="仿宋" w:hAnsi="仿宋" w:eastAsia="仿宋" w:cs="仿宋"/>
                <w:color w:val="auto"/>
                <w:sz w:val="24"/>
                <w:szCs w:val="24"/>
                <w:lang w:val="en-US" w:eastAsia="zh-CN"/>
              </w:rPr>
              <w:t>15929152837</w:t>
            </w:r>
          </w:p>
        </w:tc>
      </w:tr>
      <w:tr w14:paraId="526AD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01" w:type="dxa"/>
            <w:vAlign w:val="center"/>
          </w:tcPr>
          <w:p w14:paraId="38DC521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206" w:type="dxa"/>
            <w:vAlign w:val="center"/>
          </w:tcPr>
          <w:p w14:paraId="5924531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采购内容</w:t>
            </w:r>
          </w:p>
        </w:tc>
        <w:tc>
          <w:tcPr>
            <w:tcW w:w="7807" w:type="dxa"/>
            <w:vAlign w:val="center"/>
          </w:tcPr>
          <w:p w14:paraId="0D757750">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具体要求详见采购招标文件</w:t>
            </w:r>
          </w:p>
        </w:tc>
      </w:tr>
      <w:tr w14:paraId="6C547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 w:hRule="atLeast"/>
        </w:trPr>
        <w:tc>
          <w:tcPr>
            <w:tcW w:w="701" w:type="dxa"/>
            <w:vAlign w:val="center"/>
          </w:tcPr>
          <w:p w14:paraId="3827A76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206" w:type="dxa"/>
            <w:vAlign w:val="center"/>
          </w:tcPr>
          <w:p w14:paraId="587EE35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资金来源</w:t>
            </w:r>
          </w:p>
        </w:tc>
        <w:tc>
          <w:tcPr>
            <w:tcW w:w="7807" w:type="dxa"/>
            <w:vAlign w:val="center"/>
          </w:tcPr>
          <w:p w14:paraId="1DA3366B">
            <w:pPr>
              <w:keepNext w:val="0"/>
              <w:keepLines w:val="0"/>
              <w:pageBreakBefore w:val="0"/>
              <w:widowControl/>
              <w:kinsoku w:val="0"/>
              <w:wordWrap/>
              <w:overflowPunct/>
              <w:topLinePunct w:val="0"/>
              <w:autoSpaceDE w:val="0"/>
              <w:autoSpaceDN w:val="0"/>
              <w:bidi w:val="0"/>
              <w:adjustRightInd w:val="0"/>
              <w:snapToGrid w:val="0"/>
              <w:spacing w:line="460" w:lineRule="exact"/>
              <w:jc w:val="both"/>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财政资金</w:t>
            </w:r>
          </w:p>
        </w:tc>
      </w:tr>
      <w:tr w14:paraId="4035B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701" w:type="dxa"/>
            <w:vAlign w:val="center"/>
          </w:tcPr>
          <w:p w14:paraId="0D2482E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206" w:type="dxa"/>
            <w:vAlign w:val="center"/>
          </w:tcPr>
          <w:p w14:paraId="50E15AB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最高限价</w:t>
            </w:r>
          </w:p>
        </w:tc>
        <w:tc>
          <w:tcPr>
            <w:tcW w:w="7807" w:type="dxa"/>
            <w:vAlign w:val="center"/>
          </w:tcPr>
          <w:p w14:paraId="3A5B5E11">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403,400.00</w:t>
            </w:r>
            <w:r>
              <w:rPr>
                <w:rFonts w:hint="eastAsia" w:ascii="仿宋" w:hAnsi="仿宋" w:eastAsia="仿宋" w:cs="仿宋"/>
                <w:color w:val="auto"/>
                <w:sz w:val="24"/>
                <w:szCs w:val="24"/>
              </w:rPr>
              <w:t>元，投标人所报投标报价不得超出本项目最高限价，否则按无效</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文件处理。</w:t>
            </w:r>
          </w:p>
        </w:tc>
      </w:tr>
      <w:tr w14:paraId="01C97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701" w:type="dxa"/>
            <w:vAlign w:val="center"/>
          </w:tcPr>
          <w:p w14:paraId="57534FA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206" w:type="dxa"/>
            <w:vAlign w:val="center"/>
          </w:tcPr>
          <w:p w14:paraId="60DB53D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质量要求</w:t>
            </w:r>
          </w:p>
        </w:tc>
        <w:tc>
          <w:tcPr>
            <w:tcW w:w="7807" w:type="dxa"/>
            <w:vAlign w:val="center"/>
          </w:tcPr>
          <w:p w14:paraId="75001F3E">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合格</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采购清单中标注“核心软硬件产品”，必须是独立知识产权、节能、信息安全产品，符合国家强制性要求标准和其他供应商资质要求，</w:t>
            </w:r>
            <w:r>
              <w:rPr>
                <w:rFonts w:hint="eastAsia" w:ascii="仿宋" w:hAnsi="仿宋" w:eastAsia="仿宋" w:cs="仿宋"/>
                <w:color w:val="auto"/>
                <w:sz w:val="24"/>
                <w:szCs w:val="24"/>
              </w:rPr>
              <w:t>否则按无效</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文件处理。</w:t>
            </w:r>
          </w:p>
        </w:tc>
      </w:tr>
      <w:tr w14:paraId="3431C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01" w:type="dxa"/>
            <w:vAlign w:val="center"/>
          </w:tcPr>
          <w:p w14:paraId="0370846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206" w:type="dxa"/>
            <w:vAlign w:val="center"/>
          </w:tcPr>
          <w:p w14:paraId="67E6A30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交货期</w:t>
            </w:r>
          </w:p>
        </w:tc>
        <w:tc>
          <w:tcPr>
            <w:tcW w:w="7807" w:type="dxa"/>
            <w:vAlign w:val="center"/>
          </w:tcPr>
          <w:p w14:paraId="449811A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日历天</w:t>
            </w:r>
          </w:p>
        </w:tc>
      </w:tr>
      <w:tr w14:paraId="3F496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701" w:type="dxa"/>
            <w:vAlign w:val="center"/>
          </w:tcPr>
          <w:p w14:paraId="68AD139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206" w:type="dxa"/>
            <w:vAlign w:val="center"/>
          </w:tcPr>
          <w:p w14:paraId="41434AF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质保期</w:t>
            </w:r>
          </w:p>
        </w:tc>
        <w:tc>
          <w:tcPr>
            <w:tcW w:w="7807" w:type="dxa"/>
            <w:vAlign w:val="center"/>
          </w:tcPr>
          <w:p w14:paraId="119E86A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终验合格后</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个月</w:t>
            </w:r>
          </w:p>
        </w:tc>
      </w:tr>
      <w:tr w14:paraId="1778D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01" w:type="dxa"/>
            <w:vAlign w:val="center"/>
          </w:tcPr>
          <w:p w14:paraId="792F4D1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206" w:type="dxa"/>
            <w:vAlign w:val="center"/>
          </w:tcPr>
          <w:p w14:paraId="449AFA0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w:t>
            </w:r>
          </w:p>
          <w:p w14:paraId="2E52EB3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资质要求</w:t>
            </w:r>
          </w:p>
        </w:tc>
        <w:tc>
          <w:tcPr>
            <w:tcW w:w="7807" w:type="dxa"/>
            <w:vAlign w:val="center"/>
          </w:tcPr>
          <w:p w14:paraId="58EFCC95">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5D8D964C">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（2）法定代表人签字授权书及被授权人身份证(法定代表人参加只需提供身份证)；</w:t>
            </w:r>
          </w:p>
          <w:p w14:paraId="0469ADB0">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（3）财务状况报告：提供2024年或2025年度财务审计报告（成立时间至投标截止时间不足一年的可提供成立后任意时段的资产负债表），或者投标截止时间六个月内基本开户银行出具的资信证明；</w:t>
            </w:r>
          </w:p>
          <w:p w14:paraId="45123491">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（4）税收缴纳证明：提供近三个月已连续缴纳的有效纳税凭证；（依法免税的申请人应提供相关文件证明）；</w:t>
            </w:r>
          </w:p>
          <w:p w14:paraId="717DBADC">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社会保障资金缴纳证明：：需提供2026年6月至递交文件截止时间任意一个月已缴纳社会保险的证明（专用收据或社会保险缴纳清单或社保缴纳证明，依法不需要缴纳社会保障资金的投标人应提供相关文件证明）；</w:t>
            </w:r>
          </w:p>
          <w:p w14:paraId="0004014B">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（6）供应商不得为“信用中国”网(www.creditchina.gov.cn)中列入失信被执行人和重大税收违法案件当事人名单的供应商，不得为中国政府采购网</w:t>
            </w:r>
          </w:p>
          <w:p w14:paraId="5620C00B">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（www.ccpg.gov.cn）政府采购严重违法失信行为记录名单中被财政部门禁止参加政府采购活动的供应商（官方网站查询截图加盖公章）；</w:t>
            </w:r>
          </w:p>
          <w:p w14:paraId="20375B2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（7）提供参加政府采购活动前 3 年内在经营活动中没有重大违法记录的书面声明；</w:t>
            </w:r>
          </w:p>
          <w:p w14:paraId="3721AC8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（8）具有履行合同所必需的设备和专业技术能力（提供自述材料）；</w:t>
            </w:r>
          </w:p>
          <w:p w14:paraId="54499AD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（9）本项目不接受联合体，须提供非联合体声明。</w:t>
            </w:r>
          </w:p>
        </w:tc>
      </w:tr>
      <w:tr w14:paraId="5AF8F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01" w:type="dxa"/>
            <w:vAlign w:val="center"/>
          </w:tcPr>
          <w:p w14:paraId="673868D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206" w:type="dxa"/>
            <w:vAlign w:val="center"/>
          </w:tcPr>
          <w:p w14:paraId="50B0EEF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是否接受联合体投标</w:t>
            </w:r>
          </w:p>
        </w:tc>
        <w:tc>
          <w:tcPr>
            <w:tcW w:w="7807" w:type="dxa"/>
            <w:vAlign w:val="center"/>
          </w:tcPr>
          <w:p w14:paraId="5CEE8C4B">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不接受，须提供</w:t>
            </w:r>
            <w:r>
              <w:rPr>
                <w:rFonts w:hint="eastAsia" w:ascii="仿宋" w:hAnsi="仿宋" w:eastAsia="仿宋" w:cs="仿宋"/>
                <w:color w:val="auto"/>
                <w:sz w:val="24"/>
                <w:szCs w:val="24"/>
                <w:lang w:val="en-US" w:eastAsia="zh-CN"/>
              </w:rPr>
              <w:t>书面</w:t>
            </w:r>
            <w:r>
              <w:rPr>
                <w:rFonts w:hint="eastAsia" w:ascii="仿宋" w:hAnsi="仿宋" w:eastAsia="仿宋" w:cs="仿宋"/>
                <w:color w:val="auto"/>
                <w:sz w:val="24"/>
                <w:szCs w:val="24"/>
              </w:rPr>
              <w:t>声明，否则按无效</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文件处理</w:t>
            </w:r>
          </w:p>
        </w:tc>
      </w:tr>
      <w:tr w14:paraId="1487E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01" w:type="dxa"/>
            <w:vAlign w:val="center"/>
          </w:tcPr>
          <w:p w14:paraId="1E70E1B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206" w:type="dxa"/>
            <w:vAlign w:val="center"/>
          </w:tcPr>
          <w:p w14:paraId="77F989D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报价采用的币种</w:t>
            </w:r>
          </w:p>
        </w:tc>
        <w:tc>
          <w:tcPr>
            <w:tcW w:w="7807" w:type="dxa"/>
            <w:vAlign w:val="center"/>
          </w:tcPr>
          <w:p w14:paraId="27583CD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人民币</w:t>
            </w:r>
          </w:p>
        </w:tc>
      </w:tr>
      <w:tr w14:paraId="4F881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701" w:type="dxa"/>
            <w:vAlign w:val="center"/>
          </w:tcPr>
          <w:p w14:paraId="558BBDB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206" w:type="dxa"/>
            <w:vAlign w:val="center"/>
          </w:tcPr>
          <w:p w14:paraId="6E40EFC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供应商的</w:t>
            </w:r>
          </w:p>
          <w:p w14:paraId="61A1DB9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替代方案</w:t>
            </w:r>
          </w:p>
        </w:tc>
        <w:tc>
          <w:tcPr>
            <w:tcW w:w="7807" w:type="dxa"/>
            <w:vAlign w:val="center"/>
          </w:tcPr>
          <w:p w14:paraId="73ACB32D">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本项目不允许提交替代方案，须提供</w:t>
            </w:r>
            <w:r>
              <w:rPr>
                <w:rFonts w:hint="eastAsia" w:ascii="仿宋" w:hAnsi="仿宋" w:eastAsia="仿宋" w:cs="仿宋"/>
                <w:color w:val="auto"/>
                <w:sz w:val="24"/>
                <w:szCs w:val="24"/>
                <w:lang w:val="en-US" w:eastAsia="zh-CN"/>
              </w:rPr>
              <w:t>书面</w:t>
            </w:r>
            <w:r>
              <w:rPr>
                <w:rFonts w:hint="eastAsia" w:ascii="仿宋" w:hAnsi="仿宋" w:eastAsia="仿宋" w:cs="仿宋"/>
                <w:color w:val="auto"/>
                <w:sz w:val="24"/>
                <w:szCs w:val="24"/>
              </w:rPr>
              <w:t>声明，否则按无效</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处理</w:t>
            </w:r>
          </w:p>
        </w:tc>
      </w:tr>
      <w:tr w14:paraId="12F60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701" w:type="dxa"/>
            <w:vAlign w:val="center"/>
          </w:tcPr>
          <w:p w14:paraId="016954C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1206" w:type="dxa"/>
            <w:vAlign w:val="center"/>
          </w:tcPr>
          <w:p w14:paraId="5B6F672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采购招标文件的组成部分</w:t>
            </w:r>
          </w:p>
        </w:tc>
        <w:tc>
          <w:tcPr>
            <w:tcW w:w="7807" w:type="dxa"/>
            <w:vAlign w:val="center"/>
          </w:tcPr>
          <w:p w14:paraId="7C6F0310">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详见本章细则</w:t>
            </w:r>
          </w:p>
        </w:tc>
      </w:tr>
      <w:tr w14:paraId="42E0D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701" w:type="dxa"/>
            <w:vAlign w:val="center"/>
          </w:tcPr>
          <w:p w14:paraId="364D252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2E084FE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1206" w:type="dxa"/>
            <w:vAlign w:val="center"/>
          </w:tcPr>
          <w:p w14:paraId="486DECF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投标文件答疑澄清修改</w:t>
            </w:r>
          </w:p>
        </w:tc>
        <w:tc>
          <w:tcPr>
            <w:tcW w:w="7807" w:type="dxa"/>
            <w:vAlign w:val="center"/>
          </w:tcPr>
          <w:p w14:paraId="5F412A5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采购人澄清发出时间：距投标截止时间15日前</w:t>
            </w:r>
          </w:p>
          <w:p w14:paraId="5AD5784A">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供应商收到确认时间：收到澄清后24小时内。</w:t>
            </w:r>
          </w:p>
        </w:tc>
      </w:tr>
      <w:tr w14:paraId="2840F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01" w:type="dxa"/>
            <w:vAlign w:val="center"/>
          </w:tcPr>
          <w:p w14:paraId="2F65FE8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1206" w:type="dxa"/>
            <w:vAlign w:val="center"/>
          </w:tcPr>
          <w:p w14:paraId="1581F78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投标有效期</w:t>
            </w:r>
          </w:p>
        </w:tc>
        <w:tc>
          <w:tcPr>
            <w:tcW w:w="7807" w:type="dxa"/>
            <w:vAlign w:val="center"/>
          </w:tcPr>
          <w:p w14:paraId="193B7992">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自投标截止之日起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日历天</w:t>
            </w:r>
          </w:p>
        </w:tc>
      </w:tr>
      <w:tr w14:paraId="3A46C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701" w:type="dxa"/>
            <w:vAlign w:val="center"/>
          </w:tcPr>
          <w:p w14:paraId="5EEA29A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1206" w:type="dxa"/>
            <w:vAlign w:val="center"/>
          </w:tcPr>
          <w:p w14:paraId="1DE3CE4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w:t>
            </w:r>
          </w:p>
          <w:p w14:paraId="25B3A40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保证金额</w:t>
            </w:r>
          </w:p>
        </w:tc>
        <w:tc>
          <w:tcPr>
            <w:tcW w:w="7807" w:type="dxa"/>
            <w:vAlign w:val="center"/>
          </w:tcPr>
          <w:p w14:paraId="03F1BC1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本项目不缴纳保证金</w:t>
            </w:r>
          </w:p>
        </w:tc>
      </w:tr>
      <w:tr w14:paraId="631EA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0" w:hRule="atLeast"/>
        </w:trPr>
        <w:tc>
          <w:tcPr>
            <w:tcW w:w="701" w:type="dxa"/>
            <w:vAlign w:val="center"/>
          </w:tcPr>
          <w:p w14:paraId="346E4AF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1206" w:type="dxa"/>
            <w:vAlign w:val="center"/>
          </w:tcPr>
          <w:p w14:paraId="0C63D80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投标文件编制要求</w:t>
            </w:r>
          </w:p>
        </w:tc>
        <w:tc>
          <w:tcPr>
            <w:tcW w:w="7807" w:type="dxa"/>
            <w:vAlign w:val="center"/>
          </w:tcPr>
          <w:p w14:paraId="60C677FD">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响应电子投标文件1份。电子投标文件可于提交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 ”，点击[项目流程]，在打开的[项目管理]对话框中选择[上传响应文件]，上传加密的电子投标文件（ *.SXSTF） ，上传成功后，电子化平台将予以记录。</w:t>
            </w:r>
          </w:p>
        </w:tc>
      </w:tr>
      <w:tr w14:paraId="67F90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9" w:hRule="atLeast"/>
        </w:trPr>
        <w:tc>
          <w:tcPr>
            <w:tcW w:w="701" w:type="dxa"/>
            <w:vAlign w:val="center"/>
          </w:tcPr>
          <w:p w14:paraId="0FC52DE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1DF1624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1206" w:type="dxa"/>
            <w:vAlign w:val="center"/>
          </w:tcPr>
          <w:p w14:paraId="71B6629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投标文件签字盖章</w:t>
            </w:r>
          </w:p>
        </w:tc>
        <w:tc>
          <w:tcPr>
            <w:tcW w:w="7807" w:type="dxa"/>
            <w:vAlign w:val="center"/>
          </w:tcPr>
          <w:p w14:paraId="6EAA95E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按采购招标文件指定位置要求“签字或盖章 ”的签字或盖章均可。要求签字处必须由签署人亲笔签名，盖章无效；否则投标文件不予通过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否则按无效</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文件处理。</w:t>
            </w:r>
          </w:p>
        </w:tc>
      </w:tr>
      <w:tr w14:paraId="4968D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9" w:hRule="atLeast"/>
        </w:trPr>
        <w:tc>
          <w:tcPr>
            <w:tcW w:w="701" w:type="dxa"/>
            <w:vAlign w:val="center"/>
          </w:tcPr>
          <w:p w14:paraId="59EE7F2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19</w:t>
            </w:r>
          </w:p>
        </w:tc>
        <w:tc>
          <w:tcPr>
            <w:tcW w:w="1206" w:type="dxa"/>
            <w:vAlign w:val="center"/>
          </w:tcPr>
          <w:p w14:paraId="13D6ED4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开标时间及地址</w:t>
            </w:r>
          </w:p>
        </w:tc>
        <w:tc>
          <w:tcPr>
            <w:tcW w:w="7807" w:type="dxa"/>
            <w:vAlign w:val="center"/>
          </w:tcPr>
          <w:p w14:paraId="1111B13F">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招标响应文件截止时间：</w:t>
            </w:r>
            <w:r>
              <w:rPr>
                <w:rFonts w:hint="eastAsia" w:ascii="仿宋" w:hAnsi="仿宋" w:eastAsia="仿宋" w:cs="仿宋"/>
                <w:color w:val="auto"/>
                <w:sz w:val="24"/>
                <w:szCs w:val="24"/>
              </w:rPr>
              <w:t>2026年</w:t>
            </w:r>
            <w:r>
              <w:rPr>
                <w:rFonts w:hint="eastAsia" w:ascii="仿宋" w:hAnsi="仿宋" w:eastAsia="仿宋" w:cs="仿宋"/>
                <w:color w:val="auto"/>
                <w:sz w:val="24"/>
                <w:szCs w:val="24"/>
                <w:lang w:val="en-US" w:eastAsia="zh-CN"/>
              </w:rPr>
              <w:t>07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27</w:t>
            </w:r>
            <w:r>
              <w:rPr>
                <w:rFonts w:hint="eastAsia" w:ascii="仿宋" w:hAnsi="仿宋" w:eastAsia="仿宋" w:cs="仿宋"/>
                <w:color w:val="auto"/>
                <w:sz w:val="24"/>
                <w:szCs w:val="24"/>
              </w:rPr>
              <w:t>日1</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时00分00秒</w:t>
            </w:r>
            <w:r>
              <w:rPr>
                <w:rFonts w:hint="eastAsia" w:ascii="仿宋" w:hAnsi="仿宋" w:eastAsia="仿宋" w:cs="仿宋"/>
                <w:color w:val="auto"/>
                <w:sz w:val="24"/>
                <w:szCs w:val="24"/>
              </w:rPr>
              <w:t>（北京时间）地点：全国公共资源交易平台（陕西省.安康市）不见面开标大厅</w:t>
            </w:r>
          </w:p>
          <w:p w14:paraId="2779DC4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招标时间：</w:t>
            </w:r>
            <w:r>
              <w:rPr>
                <w:rFonts w:hint="eastAsia" w:ascii="仿宋" w:hAnsi="仿宋" w:eastAsia="仿宋" w:cs="仿宋"/>
                <w:color w:val="auto"/>
                <w:sz w:val="24"/>
                <w:szCs w:val="24"/>
              </w:rPr>
              <w:t>2026</w:t>
            </w:r>
            <w:r>
              <w:rPr>
                <w:rFonts w:hint="eastAsia" w:ascii="仿宋" w:hAnsi="仿宋" w:eastAsia="仿宋" w:cs="仿宋"/>
                <w:color w:val="auto"/>
                <w:sz w:val="24"/>
                <w:szCs w:val="24"/>
                <w:lang w:val="en-US" w:eastAsia="zh-CN"/>
              </w:rPr>
              <w:t>07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27</w:t>
            </w:r>
            <w:r>
              <w:rPr>
                <w:rFonts w:hint="eastAsia" w:ascii="仿宋" w:hAnsi="仿宋" w:eastAsia="仿宋" w:cs="仿宋"/>
                <w:color w:val="auto"/>
                <w:sz w:val="24"/>
                <w:szCs w:val="24"/>
              </w:rPr>
              <w:t>日1</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时00分00秒</w:t>
            </w:r>
            <w:r>
              <w:rPr>
                <w:rFonts w:hint="eastAsia" w:ascii="仿宋" w:hAnsi="仿宋" w:eastAsia="仿宋" w:cs="仿宋"/>
                <w:color w:val="auto"/>
                <w:sz w:val="24"/>
                <w:szCs w:val="24"/>
              </w:rPr>
              <w:t>（北京时间）</w:t>
            </w:r>
          </w:p>
          <w:p w14:paraId="05D62D4F">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招标地点 ： 安康市公共资源交易中心 （ 不见面开标网址 ）</w:t>
            </w:r>
          </w:p>
          <w:p w14:paraId="662D6DC4">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"http://219.145.206.209/BidOpeningHall/bidopeninghallaction/hall/login"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http://219.145.206.209/BidOpeningHall/bidopeninghallaction/h</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"http://219.145.206.209/BidOpeningHall/bidopeninghallaction/hall/login"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all/login</w:t>
            </w:r>
            <w:r>
              <w:rPr>
                <w:rFonts w:hint="eastAsia" w:ascii="仿宋" w:hAnsi="仿宋" w:eastAsia="仿宋" w:cs="仿宋"/>
                <w:color w:val="auto"/>
                <w:sz w:val="24"/>
                <w:szCs w:val="24"/>
              </w:rPr>
              <w:fldChar w:fldCharType="end"/>
            </w:r>
          </w:p>
        </w:tc>
      </w:tr>
      <w:tr w14:paraId="4FECF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701" w:type="dxa"/>
            <w:vAlign w:val="center"/>
          </w:tcPr>
          <w:p w14:paraId="10C785E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1206" w:type="dxa"/>
            <w:vAlign w:val="center"/>
          </w:tcPr>
          <w:p w14:paraId="18B72E1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评标方法及标准</w:t>
            </w:r>
          </w:p>
        </w:tc>
        <w:tc>
          <w:tcPr>
            <w:tcW w:w="7807" w:type="dxa"/>
            <w:vAlign w:val="center"/>
          </w:tcPr>
          <w:p w14:paraId="7219E0C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综合评分法</w:t>
            </w:r>
          </w:p>
        </w:tc>
      </w:tr>
      <w:tr w14:paraId="7609F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701" w:type="dxa"/>
            <w:vAlign w:val="center"/>
          </w:tcPr>
          <w:p w14:paraId="7FFCE76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w:t>
            </w:r>
          </w:p>
        </w:tc>
        <w:tc>
          <w:tcPr>
            <w:tcW w:w="1206" w:type="dxa"/>
            <w:vAlign w:val="center"/>
          </w:tcPr>
          <w:p w14:paraId="79C24BD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所属行业</w:t>
            </w:r>
          </w:p>
        </w:tc>
        <w:tc>
          <w:tcPr>
            <w:tcW w:w="7807" w:type="dxa"/>
            <w:vAlign w:val="center"/>
          </w:tcPr>
          <w:p w14:paraId="5A3DAFDF">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工业</w:t>
            </w:r>
          </w:p>
        </w:tc>
      </w:tr>
      <w:tr w14:paraId="6ED74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trPr>
        <w:tc>
          <w:tcPr>
            <w:tcW w:w="701" w:type="dxa"/>
            <w:vAlign w:val="center"/>
          </w:tcPr>
          <w:p w14:paraId="0DA61DD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w:t>
            </w:r>
          </w:p>
        </w:tc>
        <w:tc>
          <w:tcPr>
            <w:tcW w:w="1206" w:type="dxa"/>
            <w:vAlign w:val="center"/>
          </w:tcPr>
          <w:p w14:paraId="48F05E6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核心参数</w:t>
            </w:r>
          </w:p>
        </w:tc>
        <w:tc>
          <w:tcPr>
            <w:tcW w:w="7807" w:type="dxa"/>
            <w:vAlign w:val="center"/>
          </w:tcPr>
          <w:p w14:paraId="04DB5478">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“4K录播主机”</w:t>
            </w:r>
          </w:p>
        </w:tc>
      </w:tr>
      <w:tr w14:paraId="77F70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701" w:type="dxa"/>
            <w:vAlign w:val="center"/>
          </w:tcPr>
          <w:p w14:paraId="1E2EBA3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w:t>
            </w:r>
          </w:p>
        </w:tc>
        <w:tc>
          <w:tcPr>
            <w:tcW w:w="1206" w:type="dxa"/>
            <w:vAlign w:val="center"/>
          </w:tcPr>
          <w:p w14:paraId="7C119D6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采购代理服务费</w:t>
            </w:r>
          </w:p>
        </w:tc>
        <w:tc>
          <w:tcPr>
            <w:tcW w:w="7807" w:type="dxa"/>
            <w:vAlign w:val="center"/>
          </w:tcPr>
          <w:p w14:paraId="4B357974">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依据《国家计委关于印发&lt;招标代理服务收费管理暂行办法&gt;的通知》 （计价格[2002]1980号）、和国家发展改革委员会办公厅颁发的《关于招标代理服务收费有关问题的通知》（发改办价格[2003]857号） （发改价格〔2011〕534 号）（发改价格[2015]299号）规定标准收取,代理服务费由中标供应商在领取中标通知书时支付给采购代理机构。</w:t>
            </w:r>
          </w:p>
        </w:tc>
      </w:tr>
      <w:tr w14:paraId="3ECBF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1" w:hRule="atLeast"/>
        </w:trPr>
        <w:tc>
          <w:tcPr>
            <w:tcW w:w="9714" w:type="dxa"/>
            <w:gridSpan w:val="3"/>
            <w:vAlign w:val="center"/>
          </w:tcPr>
          <w:p w14:paraId="16F045F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注意事项：</w:t>
            </w:r>
          </w:p>
          <w:p w14:paraId="5C8414E8">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1、请各供应商务必详细阅读本采购招标文件的全部条款，以减少不必要的失误，否则由此引起的损失或风险由供应商自行承担。</w:t>
            </w:r>
          </w:p>
          <w:p w14:paraId="3DD6587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2、各供应商获取采购招标文件后应认真即使审阅文件中所有的事项、格式、条款和规范要求等，在有效时间内未提出任何异议的，视为对本采购招标文件要求无任何异议。</w:t>
            </w:r>
          </w:p>
        </w:tc>
      </w:tr>
    </w:tbl>
    <w:p w14:paraId="10C251A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97D704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p>
    <w:p w14:paraId="24A9775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p>
    <w:p w14:paraId="1E66AB1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p>
    <w:p w14:paraId="08C139F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总 则</w:t>
      </w:r>
    </w:p>
    <w:p w14:paraId="7D69846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1、本项目说明详见投标人须知前附表。</w:t>
      </w:r>
    </w:p>
    <w:p w14:paraId="086C3F1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2、本次招标依据《中华人民共和国政府采购法》、《政府采购货物和服务招标投标管理办法》（财政部令第87号）、《中华人民共和国政府采购法实施条例》（国务院令第658号）及国家现行有关法律法规执行。</w:t>
      </w:r>
    </w:p>
    <w:p w14:paraId="0907FE3D">
      <w:pPr>
        <w:keepNext w:val="0"/>
        <w:keepLines w:val="0"/>
        <w:pageBreakBefore w:val="0"/>
        <w:widowControl/>
        <w:kinsoku w:val="0"/>
        <w:wordWrap/>
        <w:overflowPunct/>
        <w:topLinePunct w:val="0"/>
        <w:autoSpaceDE w:val="0"/>
        <w:autoSpaceDN w:val="0"/>
        <w:bidi w:val="0"/>
        <w:adjustRightInd w:val="0"/>
        <w:snapToGrid w:val="0"/>
        <w:spacing w:line="460" w:lineRule="exact"/>
        <w:ind w:firstLine="241" w:firstLineChars="1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（一）采购人、采购代理机构、监督管理机构</w:t>
      </w:r>
    </w:p>
    <w:p w14:paraId="38C4DE0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   购   人：白河县城关镇中心小学</w:t>
      </w:r>
    </w:p>
    <w:p w14:paraId="39EE730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采购代理机构：安康市兴盛工程造价咨询有限公司</w:t>
      </w:r>
    </w:p>
    <w:p w14:paraId="735281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监督管理机构：白河县财政局</w:t>
      </w:r>
    </w:p>
    <w:p w14:paraId="45D31C7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招标采购单位：采购人及采购代理机构的统称</w:t>
      </w:r>
    </w:p>
    <w:p w14:paraId="169B4530">
      <w:pPr>
        <w:keepNext w:val="0"/>
        <w:keepLines w:val="0"/>
        <w:pageBreakBefore w:val="0"/>
        <w:widowControl/>
        <w:kinsoku w:val="0"/>
        <w:wordWrap/>
        <w:overflowPunct/>
        <w:topLinePunct w:val="0"/>
        <w:autoSpaceDE w:val="0"/>
        <w:autoSpaceDN w:val="0"/>
        <w:bidi w:val="0"/>
        <w:adjustRightInd w:val="0"/>
        <w:snapToGrid w:val="0"/>
        <w:spacing w:line="460" w:lineRule="exact"/>
        <w:ind w:firstLine="241" w:firstLineChars="1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（二）合格的供应商、合格的货物与服务</w:t>
      </w:r>
    </w:p>
    <w:p w14:paraId="3D04746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1.合格的供应商</w:t>
      </w:r>
    </w:p>
    <w:p w14:paraId="0D557AC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1.1 资质要求：满足《中华人民共和国政府采购法》第二十二条的规定；</w:t>
      </w:r>
    </w:p>
    <w:p w14:paraId="6C87D30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1.2 特定资格条件：</w:t>
      </w:r>
    </w:p>
    <w:p w14:paraId="28A3C3B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338FF27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（2）法定代表人签字授权书及被授权人身份证(法定代表人参加只需提供身份证)；</w:t>
      </w:r>
    </w:p>
    <w:p w14:paraId="1D0892A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（3）财务状况报告：提供2024年或2025年度财务审计报告（成立时间至投标截止时间不足一年的可提供成立后任意时段的资产负债表），或者投标截止时间六个月内基本开户银行出具的资信证明；</w:t>
      </w:r>
    </w:p>
    <w:p w14:paraId="171F1AA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（4）税收缴纳证明：提供近三个月已连续缴纳的有效纳税凭证；（依法免税的申请人应提供相关文件证明）；</w:t>
      </w:r>
    </w:p>
    <w:p w14:paraId="719DAAB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社会保障资金缴纳证明：：需提供2026年6月至递交文件截止时间任意一个月已缴纳社会保险的证明（专用收据或社会保险缴纳清单或社保缴纳证明，依法不需要缴纳社会保障资金的投标人应提供相关文件证明）；</w:t>
      </w:r>
    </w:p>
    <w:p w14:paraId="0E2B5B8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（6）供应商不得为“信用中国”网(www.creditchina.gov.cn)中列入失信被执行人和重大税收违法案件当事人名单的供应商，不得为中国政府采购网</w:t>
      </w:r>
    </w:p>
    <w:p w14:paraId="68D2738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（www.ccpg.gov.cn）政府采购严重违法失信行为记录名单中被财政部门禁止参加政府采购活动的供应商（官方网站查询截图加盖公章）；</w:t>
      </w:r>
    </w:p>
    <w:p w14:paraId="3AB8393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（7）提供参加政府采购活动前 3 年内在经营活动中没有重大违法记录的书面声明；</w:t>
      </w:r>
    </w:p>
    <w:p w14:paraId="65AA31B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（8）具有履行合同所必需的设备和专业技术能力（提供自述材料）；</w:t>
      </w:r>
    </w:p>
    <w:p w14:paraId="2C57F71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（9）本项目不接受联合体，须提供非联合体声明。</w:t>
      </w:r>
    </w:p>
    <w:p w14:paraId="1898568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1.3 单位负责人为同一人或者存在直接控股、管理关系的不同供应商，不得同时参加本项目的投标。</w:t>
      </w:r>
    </w:p>
    <w:p w14:paraId="79AF557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1.4 根据《陕西省财政厅关于政府采购供应商注册登记有关事项的通知》的要</w:t>
      </w:r>
    </w:p>
    <w:p w14:paraId="61929BD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求，参加本项目投标且符合《政府采购法》第二十二条规定的合格供应商须通过陕西省政府采购网（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"http://www.ccgp-shaanxi.gov.cn/"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http://www.ccgp-shaanxi.gov.cn/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）注册登记加入陕西省政府采购供应商库，以便中标后能顺利录入中标单位信息，若未办理入库手续，造成不能发布中标公告，责任自负；</w:t>
      </w:r>
    </w:p>
    <w:p w14:paraId="46D4420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1.5 供应商须在采购代理机构进行投标登记备案，未在采购代理机构登记备案的潜在供应商均无资格参加投标。</w:t>
      </w:r>
    </w:p>
    <w:p w14:paraId="1A44576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2.合格的货物与服务</w:t>
      </w:r>
    </w:p>
    <w:p w14:paraId="470110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2.1投标所用货物及其有关服务，均应来自上述1条款所规定的合格供应商。</w:t>
      </w:r>
    </w:p>
    <w:p w14:paraId="4FBCFA8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2.2货物系指供应商按招标文件规定，向采购人提供的符合招标文件要求的相关的货物。</w:t>
      </w:r>
    </w:p>
    <w:p w14:paraId="5EAA6B1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2.3服务系指招标文件规定的，供应商须承担的与投标货物有关的辅助服务,如包装、运输、保险、技术培训、售后服务以及其他类似的义务。</w:t>
      </w:r>
    </w:p>
    <w:p w14:paraId="5B7CE731">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（三）投标费用</w:t>
      </w:r>
    </w:p>
    <w:p w14:paraId="682D60C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供应商应承担所有与准备和参加投标有关的费用。</w:t>
      </w:r>
    </w:p>
    <w:p w14:paraId="4B11A0B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三、招标文件</w:t>
      </w:r>
    </w:p>
    <w:p w14:paraId="380D55A9">
      <w:pPr>
        <w:keepNext w:val="0"/>
        <w:keepLines w:val="0"/>
        <w:pageBreakBefore w:val="0"/>
        <w:widowControl/>
        <w:kinsoku w:val="0"/>
        <w:wordWrap/>
        <w:overflowPunct/>
        <w:topLinePunct w:val="0"/>
        <w:autoSpaceDE w:val="0"/>
        <w:autoSpaceDN w:val="0"/>
        <w:bidi w:val="0"/>
        <w:adjustRightInd w:val="0"/>
        <w:snapToGrid w:val="0"/>
        <w:spacing w:line="460" w:lineRule="exact"/>
        <w:ind w:firstLine="241" w:firstLineChars="1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（四）招标文件构成</w:t>
      </w:r>
    </w:p>
    <w:p w14:paraId="46676F3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招标文件包括下列内容：</w:t>
      </w:r>
    </w:p>
    <w:p w14:paraId="224ED30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第一章  招标公告</w:t>
      </w:r>
    </w:p>
    <w:p w14:paraId="3471289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第二章  供应商须知</w:t>
      </w:r>
    </w:p>
    <w:p w14:paraId="35CD6D6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第三章  采购内容及技术要求</w:t>
      </w:r>
    </w:p>
    <w:p w14:paraId="069452D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第四章  商务条款</w:t>
      </w:r>
    </w:p>
    <w:p w14:paraId="0877FB5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第五章  采购合同</w:t>
      </w:r>
    </w:p>
    <w:p w14:paraId="40B5248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弟六章  附件及投标文件格式</w:t>
      </w:r>
    </w:p>
    <w:p w14:paraId="409DED73">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（五）招标文件的澄清和修改</w:t>
      </w:r>
    </w:p>
    <w:p w14:paraId="121347E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招标采购单位对已发出的招标文件进行必要澄清或者修改的，澄清或者修改的内容可能影响投标文件内容的，采购人或采购代理机构在招标文件要求提交投标文件截止时间十五日前，在政府采购网上发布更正公告，并通知所有招标文件收受人。该澄清或者修改的内容为招标文件的组成部分供应商在收到后应立即以书面形式予以确认。</w:t>
      </w:r>
    </w:p>
    <w:p w14:paraId="32E3CA3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供应商对招标文件若有疑点要求澄清，应在投标截止期五日前，按招标公告中的通讯地址，以书面形式通知采购代理机构，采购代理机构对供应商的澄清要求均以书面形式予以答复，并将根据澄清要求涉及的范围把书面答复送达给相关的每一个购买招标文件的供应商。</w:t>
      </w:r>
      <w:r>
        <w:rPr>
          <w:rFonts w:hint="eastAsia" w:ascii="仿宋" w:hAnsi="仿宋" w:eastAsia="仿宋" w:cs="仿宋"/>
          <w:color w:val="auto"/>
          <w:sz w:val="24"/>
          <w:szCs w:val="24"/>
          <w:lang w:val="en-US" w:eastAsia="zh-CN"/>
        </w:rPr>
        <w:t xml:space="preserve"> </w:t>
      </w:r>
    </w:p>
    <w:p w14:paraId="484E8BA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3.招标采购单位可以视采购具体情况，延长投标截止时间和开标时间。在招标文件要求提交投标文件的截止时间三日前，将变更时间书面通知所有供应商，并在政府采购网上发布变更公告。</w:t>
      </w:r>
    </w:p>
    <w:p w14:paraId="64BFB6E0">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（六）招标文件的解释权归采购代理机构。</w:t>
      </w:r>
    </w:p>
    <w:p w14:paraId="7AACA53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四、投标文件的编制</w:t>
      </w:r>
    </w:p>
    <w:p w14:paraId="77E028F0">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（七）编制要求</w:t>
      </w:r>
    </w:p>
    <w:p w14:paraId="654D7F8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应认真阅读招标文件的所有内容，严格按照招标文件的要求编制和提供投标文件，并保证所提供的全部资料的真实性，使投标文件对招标文件作出实质性响应。如果供应商在投标文件中没有按照招标文件要求提交全部资料或者投标文件没有对招标文件在各方面都做出实质性响应，其投标将被拒绝。</w:t>
      </w:r>
    </w:p>
    <w:p w14:paraId="3C632ED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2.供应商提交的投标文件（包括产品的技术资料）以及供应商与采购代理机构就有关投标的所有来往函电均应以中文书写。</w:t>
      </w:r>
    </w:p>
    <w:p w14:paraId="278E6CED">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（八）投标文件构成和格式</w:t>
      </w:r>
    </w:p>
    <w:p w14:paraId="79C6B10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1.供应商编写的投标文件应包括，但不限于下列部分，请按招标文件提供的相应格式并依照下列顺序编写：</w:t>
      </w:r>
    </w:p>
    <w:p w14:paraId="15CEE0A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  投标函</w:t>
      </w:r>
    </w:p>
    <w:p w14:paraId="0C0FD4C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  投标报价表</w:t>
      </w:r>
    </w:p>
    <w:p w14:paraId="6AC717F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  资格证明文件</w:t>
      </w:r>
    </w:p>
    <w:p w14:paraId="5B9FF3F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  供应商概况</w:t>
      </w:r>
    </w:p>
    <w:p w14:paraId="39DD89A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  供应商参加政府采购活动承诺书</w:t>
      </w:r>
    </w:p>
    <w:p w14:paraId="6200223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  商务响应偏离表</w:t>
      </w:r>
    </w:p>
    <w:p w14:paraId="730F5DF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  技术偏离表</w:t>
      </w:r>
    </w:p>
    <w:p w14:paraId="5DB04BB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  响应方案</w:t>
      </w:r>
    </w:p>
    <w:p w14:paraId="00C04F2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9  业绩</w:t>
      </w:r>
    </w:p>
    <w:p w14:paraId="595FAE8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10 产品证明材料</w:t>
      </w:r>
    </w:p>
    <w:p w14:paraId="60F6739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11 供应商认为需要提供的其他文件</w:t>
      </w:r>
    </w:p>
    <w:p w14:paraId="4C66C50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2.供应商应按照本须知第二章（八）的内容及第五章提供的格式编写投标文件，不得缺少招标文件要求填写的表格或提交的资料。</w:t>
      </w:r>
    </w:p>
    <w:p w14:paraId="38A3474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3.供应商应将投标文件按本须知第二章（八）规定的顺序编排、并应编制目录，逐页标注连续页码。</w:t>
      </w:r>
    </w:p>
    <w:p w14:paraId="193291A8">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（九）投标报价</w:t>
      </w:r>
    </w:p>
    <w:p w14:paraId="4EE66B4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1.投标报价为完成本项目所要求服务的全部内容、中标服务费及国家按现行税收政策征收的一切税费。</w:t>
      </w:r>
    </w:p>
    <w:p w14:paraId="6263132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 投标人须对服务或货物要求进行完整报价。采购人拒绝只对部分服务进行报价的投标。投标人应在投标文件中的投标分项报价表上标明对本次招标拟提供服务的单价和总价，任何有选择的报价将不予接受。</w:t>
      </w:r>
    </w:p>
    <w:p w14:paraId="0BDEF63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人应根据自身情况对采购供货单价进行整体报价，所有投标报价均以人民币元为计算单位。报价均应被视为已经包含了所有招标文件中各项购买货物单品及其运送、辅材、检验、验收、保险和相关服务等的费用。由于分项报价填报不完整、不清楚或存在其它任何失误，所导致的任何不利后果均应当由供应商自行承担</w:t>
      </w:r>
      <w:r>
        <w:rPr>
          <w:rFonts w:hint="eastAsia" w:ascii="仿宋" w:hAnsi="仿宋" w:eastAsia="仿宋" w:cs="仿宋"/>
          <w:color w:val="auto"/>
          <w:sz w:val="24"/>
          <w:szCs w:val="24"/>
          <w:lang w:eastAsia="zh-CN"/>
        </w:rPr>
        <w:t>。</w:t>
      </w:r>
    </w:p>
    <w:p w14:paraId="1F0E2BA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投标报价为最终结算（最终结算单价=货物价+运输费+配送费+售后服务费+保险费+检验费+相关伴随费用等），除非因特殊原因并经双方协商同意，供应商不得再要求追加任何费用。同时，除非合同条款中另有规定，否则供应商所报价在合同实施期间不因国家政策变化而变化。</w:t>
      </w:r>
    </w:p>
    <w:p w14:paraId="2E9130D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5.所有根据合同或其它原因应由供应商支付的税款和其它应交纳的费用都要包括在供应商提交的投标报价中。</w:t>
      </w:r>
    </w:p>
    <w:p w14:paraId="6031638D">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（十）投标货币</w:t>
      </w:r>
    </w:p>
    <w:p w14:paraId="5653A36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供应商提供的货物和服务一律以人民币报价。</w:t>
      </w:r>
    </w:p>
    <w:p w14:paraId="6B1BB7A0">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（十一）投标保证金</w:t>
      </w:r>
    </w:p>
    <w:p w14:paraId="2791257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根据安财采管【2022】4号文件《安康市财政局关于全面取消政府采购保证金等有关事项的通知》相关要求，本项目不要求缴纳投标保证金。供应商在政府采购活动中违反政府采购相关规定给采购人、采购代理机构造成损失的，其失信行为将被纳入诚信系统，并且负有赔偿自责，赔偿金额不超过采购预算金额的2%。</w:t>
      </w:r>
    </w:p>
    <w:p w14:paraId="4256F14E">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（十二）投标有效期</w:t>
      </w:r>
    </w:p>
    <w:p w14:paraId="5170A9E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1.投标有效期为开标之日起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个日历日（中标人的投标文件有效期与合同有效期一致）。供应商的投标有效期比招标文件规定短的将被视为非响应性投标而予以拒绝。</w:t>
      </w:r>
    </w:p>
    <w:p w14:paraId="59B0220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2.在特殊情况下，在原投标有效期期满之前，招标采购单位可征得供应商同意延长投标有效期。这种要求与答复均应为书面形式提交。</w:t>
      </w:r>
    </w:p>
    <w:p w14:paraId="5394C4C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3.投标文件的制作和签署（电子文件中法人或授权委托人需签字的地方，请不要使用机打方式签名。）</w:t>
      </w:r>
    </w:p>
    <w:p w14:paraId="7404E66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为确保采购项目顺利开展，本项目采用电子投标的方式。供应商在投标时须提供电子投标文件（*.SXSTF）格式，若未按要求导致废标或未中标，投标供应商自行承担责任。</w:t>
      </w:r>
    </w:p>
    <w:p w14:paraId="2DAA5C66">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（十三）电子投标文件</w:t>
      </w:r>
    </w:p>
    <w:p w14:paraId="66FF60B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编制电子投标文件时，应使用最新发布的电子招标文件及专用制作工具进行编制 。并使用数字认证证书（CA）对电子投标文件进行签署、加密、递交及开标时解密等相关操作。招标响应文件中需要法人或授权委托人签字的地方，请不要使用机打方式签名；需要加盖供应商公章的地方，请使用“企业 CA”进行盖章。加密和解密应当使用同一CA，否则将会导致解密失败。</w:t>
      </w:r>
    </w:p>
    <w:p w14:paraId="1B337FB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（1）电子招标文件下载</w:t>
      </w:r>
    </w:p>
    <w:p w14:paraId="2F7CE85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供应商登录全国公共资源交易平台（陕西省）网站[电子交易平台-企业端]后，在[我的项目]中点击“项目流程-交易文件下载 ”下载电子招标文件（*.SXSZF）；投标供应商须在投标文件发售截止日期前登录电子交易平台下载招标文件，否则责任自负；特别注意：该项目如有变更文件，则应点击“项目流程&gt;答疑文件下载 ”下载更新后的电子招标文件（*.SXSCF），使用旧版电子招标文件制作的电子投标文件，系统将拒绝接收。</w:t>
      </w:r>
    </w:p>
    <w:p w14:paraId="234531D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电子招标文件需要使用专用软件打开、浏览供应商登录全国公共资源交易平台（陕西省）网站[服务指南-下载专区]免费下载《陕西省公共资源交易平台政府采购电子标书制作工具(V8.0.0.52)》，并升级至最新版本，使用该客户端可以打开电子招标文件。软件操作手册详见全国公共资源交易平台（陕西省）网站[服务指南-下载专区]中的《陕西省公共资源交易（政府采购类）投标文件制作软件操作手册》；</w:t>
      </w:r>
    </w:p>
    <w:p w14:paraId="5B4A6E4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（3）制作电子投标文件</w:t>
      </w:r>
    </w:p>
    <w:p w14:paraId="2DDA499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电子投标文件同样需要使用上述软件进行编制。在编制过程中，如有技术性问题 , 请先翻阅操作手册或致电软件开发商</w:t>
      </w:r>
    </w:p>
    <w:p w14:paraId="7A0FD74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技术支持热线：4009280095、4009980000</w:t>
      </w:r>
    </w:p>
    <w:p w14:paraId="6701085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（4）投标文件</w:t>
      </w:r>
    </w:p>
    <w:p w14:paraId="0CEF7C2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4.1 投标文件构成和格式</w:t>
      </w:r>
    </w:p>
    <w:p w14:paraId="12701CC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（1）供应商应按照本须知第二章（八）第1条的内容及第五章提供的格式编写投标文件，不得缺少招标文件要求填写的表格或提交的资料。</w:t>
      </w:r>
    </w:p>
    <w:p w14:paraId="52D5562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（2）供应商应将投标文件按本须知第二章（八）第1条规定的顺序编排并应编制目录，逐页标注连续页码。</w:t>
      </w:r>
    </w:p>
    <w:p w14:paraId="2A113F8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4.2 中标供应商在领取中标（中标）通知书时请提供加盖公章的投标文件扫描件U盘两份及纸质版投标文件一份，代理公司做存档使用。</w:t>
      </w:r>
    </w:p>
    <w:p w14:paraId="2E8D42D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4.3 投标文件按要求均应逐页加盖供应商印章，并经法定代表人或其委托代理人签字或盖章。由委托代理人签字或盖章的，在投标文件中须同时提交法定代表人授权委托书。</w:t>
      </w:r>
    </w:p>
    <w:p w14:paraId="596DA9F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4.4 投标文件因表述不清所引起的后果由供应商负责。</w:t>
      </w:r>
    </w:p>
    <w:p w14:paraId="7960818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4.5 如未按第二章（十三）规定的招标文件，按无效文件处理。</w:t>
      </w:r>
    </w:p>
    <w:p w14:paraId="2CDCBD4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五、投标文件的递交</w:t>
      </w:r>
    </w:p>
    <w:p w14:paraId="5D8B28D2">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（十四）电子投标文件的提交</w:t>
      </w:r>
    </w:p>
    <w:p w14:paraId="58DF84F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电子投标文件可于提交投标文件截止时间前任意时段登录全国公共资源交易平</w:t>
      </w:r>
      <w:r>
        <w:rPr>
          <w:rFonts w:hint="eastAsia" w:ascii="仿宋" w:hAnsi="仿宋" w:eastAsia="仿宋" w:cs="仿宋"/>
          <w:color w:val="auto"/>
          <w:sz w:val="24"/>
          <w:szCs w:val="24"/>
          <w:lang w:val="en-US" w:eastAsia="zh-CN"/>
        </w:rPr>
        <w:t>台</w:t>
      </w:r>
      <w:r>
        <w:rPr>
          <w:rFonts w:hint="eastAsia" w:ascii="仿宋" w:hAnsi="仿宋" w:eastAsia="仿宋" w:cs="仿宋"/>
          <w:color w:val="auto"/>
          <w:sz w:val="24"/>
          <w:szCs w:val="24"/>
        </w:rPr>
        <w:t>（陕西省）网站[电子交易平台-企业端]进行提交，逾期系统将拒绝接收。提交时，供应商应登录全国公共资源交易中心平台（陕西省），选择[“首页&gt;电子交易平台&gt;企业端&gt;我的项目 ”，点击[项目流程]，在打开的[项目管理]对话框中选择[上传响应文件]，上传加密的电子投标文件（*.SXSTF），上传成功后，电子化平台将予以记录。</w:t>
      </w:r>
    </w:p>
    <w:p w14:paraId="5A948FC7">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（十五）投标截止日期</w:t>
      </w:r>
    </w:p>
    <w:p w14:paraId="582388F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1.供应商应在不迟于招标文件中规定的投标截止时间将投标文件递交至采购代理机构。</w:t>
      </w:r>
    </w:p>
    <w:p w14:paraId="4C29EE0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2.招标采购单位可以按本须知第二章（五）3条规定，通知因修改招标文件而适当延长投标截止期。在此情况下，招标采购单位和供应商受投标截止期制约的所有权利和义务均应延长至新的截止期。</w:t>
      </w:r>
    </w:p>
    <w:p w14:paraId="2EA5DF02">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（十六）迟交的投标文件</w:t>
      </w:r>
    </w:p>
    <w:p w14:paraId="40353F7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采购代理机构将拒绝接收投标截止期后送达的任何投标文件。</w:t>
      </w:r>
    </w:p>
    <w:p w14:paraId="69DA7576">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（十七）投标文件的修改和撤回</w:t>
      </w:r>
    </w:p>
    <w:p w14:paraId="685601D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1.供应商在递交投标文件后，投标截止时间前，可以修改或撤回其电子投标文件。</w:t>
      </w:r>
    </w:p>
    <w:p w14:paraId="0D6D144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2.在投标截止日期之后，供应商不得对其投标文件做任何修改。</w:t>
      </w:r>
    </w:p>
    <w:p w14:paraId="2664D64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3.从投标截止期始至招标文件确定的投标有效期期满这段时间内，供应商不得撤回其投标。</w:t>
      </w:r>
    </w:p>
    <w:p w14:paraId="7D85FC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六、开标与评标</w:t>
      </w:r>
    </w:p>
    <w:p w14:paraId="2A094382">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（十八）开标</w:t>
      </w:r>
    </w:p>
    <w:p w14:paraId="26E485E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1.采购代理机构将在招标公告规定的时间和地点（同投标截止时间及地点）组织公开开标，文件解密、评审工作，整个过程接受监督部门的监督。</w:t>
      </w:r>
    </w:p>
    <w:p w14:paraId="5A60F49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2.采购代理机构在规定的时间和地点组织开标，供应商在投标截止前30分钟进行线上签到。（如超过投标递交截止时间未签到，视为放弃投标。）</w:t>
      </w:r>
    </w:p>
    <w:p w14:paraId="634DEA8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3.开标时，供应商须使用电子投标文件加密时所用的数字认证证书（CA锁） 自行解密电子投标文件（系统默认解密时长为30分钟），投标单位需在解密时间规定内完成标书解密，所有投标单位解密完成后由开标人员将响应文件导入开评标系统，由电子交易系统进行自动唱标。</w:t>
      </w:r>
    </w:p>
    <w:p w14:paraId="265D054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在开标环节出现下列情况之一的，其电子投标文件视为无效文件：</w:t>
      </w:r>
    </w:p>
    <w:p w14:paraId="720DCD7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（1）供应商拒绝对电子投标文件进行解密的；</w:t>
      </w:r>
    </w:p>
    <w:p w14:paraId="48B3A2F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（2）因供应商自身原因（如未带CA锁、或所带CA锁与制作电子投标文件使用的CA锁不一致、或沿用旧版招标文件编制投标文件等情形），导致在规定时间内无法解密投标文件的；</w:t>
      </w:r>
    </w:p>
    <w:p w14:paraId="16A4C20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（3）上传的电子投标文件无法打开的；</w:t>
      </w:r>
    </w:p>
    <w:p w14:paraId="20D8D91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（4）政府采购法律法规规定的其他无效情形。</w:t>
      </w:r>
    </w:p>
    <w:p w14:paraId="263465A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5.特殊情形下的应急处置</w:t>
      </w:r>
    </w:p>
    <w:p w14:paraId="08AE83C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参照《安康市公共资源交易平台电子化交易应急处置管理办法（试行）》第五条出现以下情形的，可延续电子开评标流程：</w:t>
      </w:r>
    </w:p>
    <w:p w14:paraId="4A54D28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一）在开评标过程中出现硬件设备（包括电脑、打印机、投影仪等）故障导致招标代理机构无法使用进行正常开评标的，代理机构应及时与公共资源交易中心工作人员联系，通知交易中心信息技术保障人员迅速判断、检查、排除设备故障，修理或更换有问题的设备。故障在2小时内可修复的，可延续电子开标评标流程。</w:t>
      </w:r>
    </w:p>
    <w:p w14:paraId="13AD898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（二）出现电子交易系统和网络异常情况，导致代理机构无法进行正常开评标</w:t>
      </w:r>
    </w:p>
    <w:p w14:paraId="584789C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时，代理机构要及时联系交易中心信息技术保障人员迅速判断、及时排除系统信息故障。首先可尝试使用无线、移动数据等其它应急网络继续开评标。若更换网络或简单维修后，仍无法正常进行的，应联系电子政务办，将电子政务外网转换为内网运行。故障在2小时内可修复的，可延续电子开标评标流程。</w:t>
      </w:r>
    </w:p>
    <w:p w14:paraId="6CBCF62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（三）交易中心出现临时停电断电的紧急情况，代理机构应及时通知交易中心的后勤保障服务人员，迅速查找停电原因，进行修理尽快恢复供电。故障在2小时内可修复的，可延续电子开标评标流程。</w:t>
      </w:r>
    </w:p>
    <w:p w14:paraId="3129705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6.2小时内无法修复的，由代理机构根据招标人意见，可按照以下解决方案进行</w:t>
      </w:r>
      <w:r>
        <w:rPr>
          <w:rFonts w:hint="eastAsia" w:ascii="仿宋" w:hAnsi="仿宋" w:eastAsia="仿宋" w:cs="仿宋"/>
          <w:color w:val="auto"/>
          <w:sz w:val="24"/>
          <w:szCs w:val="24"/>
          <w:lang w:eastAsia="zh-CN"/>
        </w:rPr>
        <w:t>。</w:t>
      </w:r>
    </w:p>
    <w:p w14:paraId="6A62A48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方案一：延续电子开评标流程。经招标人同意后，由代理机构向交易中心出具电子开评标情况说明，并由招标人、代理机构、评审专家等相关人员签字盖章，确定新的开评标时间，待故障排除后再继续完成电子开评标流程。</w:t>
      </w:r>
    </w:p>
    <w:p w14:paraId="3D8BBF6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方案二：另行择期开评标。由招标人征求所有投标人同意，并报监管部门备案后公布。待故障修复后，由招标代理原文发布至统一交易平台，重新确定时间开评标。重新开评标时间自补充通知之日起不少于1个工作日。</w:t>
      </w:r>
    </w:p>
    <w:p w14:paraId="27A9D27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故障修复期间，招标人、代理机构等相关人员要严格做好开评标信息保密工作，同时安排评标专家至休息地点等候，待故障修复后继续在指定地点开标、评标。评标专家有特殊情况确实不能继续参与评标的，予以补抽专家。择期另行开评标的，评标专家需重新抽取。</w:t>
      </w:r>
    </w:p>
    <w:p w14:paraId="44AF43C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8.延时情况说明由代理机构将突发情况的原因、经过、解决措施，延时时间等进行详细准确的书面记录，再由招标人和代理机构等相关人员签字确认。</w:t>
      </w:r>
    </w:p>
    <w:p w14:paraId="748A8DE3">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（十九）评标委员会</w:t>
      </w:r>
    </w:p>
    <w:p w14:paraId="3A7A88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1.招标采购单位将按照《政府采购法实施条例》、《政府采购货物和服务招标投标管理办法》及有关规定组建评标委员会。</w:t>
      </w:r>
    </w:p>
    <w:p w14:paraId="33E74F0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2.评标委员会由采购人代表及有关评审专家组成，专家从陕西省政府采购专家库中随机抽取产生。</w:t>
      </w:r>
    </w:p>
    <w:p w14:paraId="498840A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3.评标委员会负责评标工作，对投标文件进行审查和评估，并向招标采购单位提交书面评审意见。</w:t>
      </w:r>
    </w:p>
    <w:p w14:paraId="4AB6F97F">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（二十）评标过程的保密性</w:t>
      </w:r>
    </w:p>
    <w:p w14:paraId="65A648D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1.公开开标后，直至发布中标公告时止，凡与审查、澄清、评价和比较投标的有关资料以及授标意见等，均属保密范围，评标委员会及招标工作人员不得向供应商及与评标无关的其他人透露。</w:t>
      </w:r>
    </w:p>
    <w:p w14:paraId="6B6DE91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2.在评标过程中，如果供应商试图在投标文件审查、澄清、比较及授予合同方向评标委员会或招标采购单位施加任何影响，其投标将被拒绝。</w:t>
      </w:r>
    </w:p>
    <w:p w14:paraId="3A816F96">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（二十一）投标文件的澄清</w:t>
      </w:r>
    </w:p>
    <w:p w14:paraId="17DCE1D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在评标期间，为有助于对投标文件的审查、评价和比较，评标委员会可分别要求供应商对其投标文件进行澄清或说明，有关澄清或说明的要求和答复应以书面形式提交。澄清和说明的内容不得超出投标文件的范围或改变投标文件实质性内容。</w:t>
      </w:r>
    </w:p>
    <w:p w14:paraId="2203EB3E">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（二十二）投标文件的初审</w:t>
      </w:r>
    </w:p>
    <w:p w14:paraId="1ECEBBB2">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1.资格性审查</w:t>
      </w:r>
    </w:p>
    <w:p w14:paraId="770C43C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采购人将审查资格证明文件是否齐全有效，文件签署是否合格。</w:t>
      </w:r>
    </w:p>
    <w:tbl>
      <w:tblPr>
        <w:tblStyle w:val="2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65"/>
        <w:gridCol w:w="1478"/>
        <w:gridCol w:w="6606"/>
      </w:tblGrid>
      <w:tr w14:paraId="2919D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 w:hRule="atLeast"/>
        </w:trPr>
        <w:tc>
          <w:tcPr>
            <w:tcW w:w="432" w:type="pct"/>
            <w:vAlign w:val="center"/>
          </w:tcPr>
          <w:p w14:paraId="16B9993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评审项</w:t>
            </w:r>
          </w:p>
        </w:tc>
        <w:tc>
          <w:tcPr>
            <w:tcW w:w="835" w:type="pct"/>
            <w:vAlign w:val="center"/>
          </w:tcPr>
          <w:p w14:paraId="370A57B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评审因素</w:t>
            </w:r>
          </w:p>
        </w:tc>
        <w:tc>
          <w:tcPr>
            <w:tcW w:w="3732" w:type="pct"/>
            <w:vAlign w:val="center"/>
          </w:tcPr>
          <w:p w14:paraId="77D99A1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评审标准</w:t>
            </w:r>
          </w:p>
        </w:tc>
      </w:tr>
      <w:tr w14:paraId="516F5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4" w:hRule="atLeast"/>
        </w:trPr>
        <w:tc>
          <w:tcPr>
            <w:tcW w:w="432" w:type="pct"/>
            <w:vMerge w:val="restart"/>
            <w:vAlign w:val="center"/>
          </w:tcPr>
          <w:p w14:paraId="4F8E177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21B70D6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5D5025C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4865618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36442C4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319EF46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0092C2B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7129EA8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资格性评审</w:t>
            </w:r>
          </w:p>
        </w:tc>
        <w:tc>
          <w:tcPr>
            <w:tcW w:w="835" w:type="pct"/>
            <w:vAlign w:val="center"/>
          </w:tcPr>
          <w:p w14:paraId="32BF36C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有效的主体资格证明</w:t>
            </w:r>
          </w:p>
        </w:tc>
        <w:tc>
          <w:tcPr>
            <w:tcW w:w="3732" w:type="pct"/>
            <w:vAlign w:val="center"/>
          </w:tcPr>
          <w:p w14:paraId="6C87495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具有独立承担民事责任的能力，提供营业执照、税务登记证、组织机构代码证或登载有统一社会信用代码的营业执照（或《事业单位法人证书》或其他合法组织登记证书、自然人只须提交身份证）；</w:t>
            </w:r>
          </w:p>
        </w:tc>
      </w:tr>
      <w:tr w14:paraId="0D354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432" w:type="pct"/>
            <w:vMerge w:val="continue"/>
            <w:vAlign w:val="center"/>
          </w:tcPr>
          <w:p w14:paraId="7BF9FD3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7C7D87C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法定代表人委托授权书</w:t>
            </w:r>
          </w:p>
        </w:tc>
        <w:tc>
          <w:tcPr>
            <w:tcW w:w="3732" w:type="pct"/>
            <w:vAlign w:val="center"/>
          </w:tcPr>
          <w:p w14:paraId="2BE9486F">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法定代表人授权书及被授权人身份证(法定代表人参加只需提供身份证)；</w:t>
            </w:r>
          </w:p>
        </w:tc>
      </w:tr>
      <w:tr w14:paraId="21E98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432" w:type="pct"/>
            <w:vMerge w:val="continue"/>
            <w:vAlign w:val="center"/>
          </w:tcPr>
          <w:p w14:paraId="4EDE10C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69E0A3E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财务状况报告</w:t>
            </w:r>
          </w:p>
        </w:tc>
        <w:tc>
          <w:tcPr>
            <w:tcW w:w="3732" w:type="pct"/>
            <w:vAlign w:val="center"/>
          </w:tcPr>
          <w:p w14:paraId="3CB54283">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提供2024年或2025年度财务审计报告（成立时间至投标截止时间不足一年的可提供成立后任意时段的资产负债表），或者投标截止时间六个月内基本开户银行出具的资信证明；</w:t>
            </w:r>
          </w:p>
        </w:tc>
      </w:tr>
      <w:tr w14:paraId="160D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432" w:type="pct"/>
            <w:vMerge w:val="continue"/>
            <w:vAlign w:val="center"/>
          </w:tcPr>
          <w:p w14:paraId="07C1E76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41BD287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税收缴纳证明</w:t>
            </w:r>
          </w:p>
        </w:tc>
        <w:tc>
          <w:tcPr>
            <w:tcW w:w="3732" w:type="pct"/>
            <w:vAlign w:val="center"/>
          </w:tcPr>
          <w:p w14:paraId="15CE143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提供</w:t>
            </w:r>
            <w:r>
              <w:rPr>
                <w:rFonts w:hint="eastAsia" w:ascii="仿宋" w:hAnsi="仿宋" w:eastAsia="仿宋" w:cs="仿宋"/>
                <w:color w:val="auto"/>
                <w:sz w:val="24"/>
                <w:szCs w:val="24"/>
                <w:lang w:val="en-US" w:eastAsia="zh-CN"/>
              </w:rPr>
              <w:t>近三个月连续</w:t>
            </w:r>
            <w:r>
              <w:rPr>
                <w:rFonts w:hint="eastAsia" w:ascii="仿宋" w:hAnsi="仿宋" w:eastAsia="仿宋" w:cs="仿宋"/>
                <w:color w:val="auto"/>
                <w:sz w:val="24"/>
                <w:szCs w:val="24"/>
              </w:rPr>
              <w:t>已缴纳的有效纳税凭证 ；（依法免税的申请人应提供相关文件证明）；</w:t>
            </w:r>
          </w:p>
        </w:tc>
      </w:tr>
      <w:tr w14:paraId="6496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32" w:type="pct"/>
            <w:vMerge w:val="continue"/>
            <w:vAlign w:val="center"/>
          </w:tcPr>
          <w:p w14:paraId="7CD3F4E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20DD844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社会保障资金缴纳证明</w:t>
            </w:r>
          </w:p>
        </w:tc>
        <w:tc>
          <w:tcPr>
            <w:tcW w:w="3732" w:type="pct"/>
            <w:vAlign w:val="center"/>
          </w:tcPr>
          <w:p w14:paraId="5F2D9B13">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需提供2026年6月至递交文件截止时间任意一个月已缴纳社会保险的证明（专用收据或社会保险缴纳清单或社保缴纳证明，依法不需要缴纳社会保障资金的投标人应提供相关文件证明）；</w:t>
            </w:r>
          </w:p>
        </w:tc>
      </w:tr>
      <w:tr w14:paraId="3E654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432" w:type="pct"/>
            <w:vMerge w:val="continue"/>
            <w:vAlign w:val="center"/>
          </w:tcPr>
          <w:p w14:paraId="5D6E1AB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0B67250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主体信用查询记录</w:t>
            </w:r>
          </w:p>
        </w:tc>
        <w:tc>
          <w:tcPr>
            <w:tcW w:w="3732" w:type="pct"/>
            <w:vAlign w:val="center"/>
          </w:tcPr>
          <w:p w14:paraId="799DDCFE">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供应商不得为“信用中国”网(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www.creditchina.gov.cn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)中列入失信被执行人和重大税收违法案件当事人名单的供应商 , 不得为中国政府采购网（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"https://www.ccpg.gov.cn"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www.ccpg.gov.cn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）政府采购严重违法失信行为记录名单中被财政部门禁止参加政府采购活动的供应商（截图加盖公章）；</w:t>
            </w:r>
          </w:p>
        </w:tc>
      </w:tr>
      <w:tr w14:paraId="7ECA7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5" w:hRule="atLeast"/>
        </w:trPr>
        <w:tc>
          <w:tcPr>
            <w:tcW w:w="432" w:type="pct"/>
            <w:vMerge w:val="continue"/>
            <w:vAlign w:val="center"/>
          </w:tcPr>
          <w:p w14:paraId="01DDB74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45DED7C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无重大违法记录的书面声明</w:t>
            </w:r>
          </w:p>
        </w:tc>
        <w:tc>
          <w:tcPr>
            <w:tcW w:w="3732" w:type="pct"/>
            <w:vAlign w:val="center"/>
          </w:tcPr>
          <w:p w14:paraId="4E0A3E1C">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提供参加政府采购活动前3年内在经营活动中没有重大违法记录的书面声明；</w:t>
            </w:r>
          </w:p>
        </w:tc>
      </w:tr>
      <w:tr w14:paraId="117A9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32" w:type="pct"/>
            <w:vMerge w:val="continue"/>
            <w:vAlign w:val="center"/>
          </w:tcPr>
          <w:p w14:paraId="6E4249C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4DE153B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非联合体声明</w:t>
            </w:r>
          </w:p>
        </w:tc>
        <w:tc>
          <w:tcPr>
            <w:tcW w:w="3732" w:type="pct"/>
            <w:vAlign w:val="center"/>
          </w:tcPr>
          <w:p w14:paraId="334186CA">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本项目不接受联合体，</w:t>
            </w:r>
            <w:r>
              <w:rPr>
                <w:rFonts w:hint="eastAsia" w:ascii="仿宋" w:hAnsi="仿宋" w:eastAsia="仿宋" w:cs="仿宋"/>
                <w:color w:val="auto"/>
                <w:sz w:val="24"/>
                <w:szCs w:val="24"/>
                <w:lang w:val="en-US" w:eastAsia="zh-CN"/>
              </w:rPr>
              <w:t>不接受替代方案，</w:t>
            </w:r>
            <w:r>
              <w:rPr>
                <w:rFonts w:hint="eastAsia" w:ascii="仿宋" w:hAnsi="仿宋" w:eastAsia="仿宋" w:cs="仿宋"/>
                <w:color w:val="auto"/>
                <w:sz w:val="24"/>
                <w:szCs w:val="24"/>
              </w:rPr>
              <w:t>须提供非联合体声明</w:t>
            </w:r>
          </w:p>
        </w:tc>
      </w:tr>
      <w:tr w14:paraId="1CD42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432" w:type="pct"/>
            <w:vMerge w:val="continue"/>
            <w:vAlign w:val="center"/>
          </w:tcPr>
          <w:p w14:paraId="01B749E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835" w:type="pct"/>
            <w:vAlign w:val="center"/>
          </w:tcPr>
          <w:p w14:paraId="5200198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设备和专业技术能力</w:t>
            </w:r>
          </w:p>
        </w:tc>
        <w:tc>
          <w:tcPr>
            <w:tcW w:w="3732" w:type="pct"/>
            <w:vAlign w:val="center"/>
          </w:tcPr>
          <w:p w14:paraId="522A95B3">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具有履行合同所必需的设备和专业技术能力（提供自述材料）</w:t>
            </w:r>
          </w:p>
        </w:tc>
      </w:tr>
    </w:tbl>
    <w:p w14:paraId="2E18AD0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评标委员会将审查每份投标文件是否实质上响应了招标文件的要求。实质上响应的投标应该是与招标文件要求的全部条款、条件和规格相符，没有重大偏离或保留的投标。对关键条文的偏离、保留或反对将被认为是实质上的偏离。重大偏离或保留是指实质上影响供货范围、质量和性能；或者实质上与招标文件不一致，而且限制了采购人的权利或供应商的义务。纠正这些偏离或保留将会对其他实质上响应要求的供应商的竞争地位产生不公正的影响。对于投标文件中不构成实质性偏差的不正规、不一致或不规则，招标采购单位可以接受，但这种接受将影响供应商的综合得分。评标委员会只根据投标文件本身的内容确定投标文件的响应性，而不寻求外部的证据。</w:t>
      </w:r>
    </w:p>
    <w:p w14:paraId="6DC927C7">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3.投标文件符合性审查</w:t>
      </w:r>
    </w:p>
    <w:p w14:paraId="6A5934F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依据招标文件的规定，对资格合格者投标文件的完整性、有效性和对招标文件的响应程度进行审查，以确定是否对招标文件的实质性内容做出响应，包含但不限于以下内容，未通过审查的按无效投标处理：</w:t>
      </w:r>
    </w:p>
    <w:tbl>
      <w:tblPr>
        <w:tblStyle w:val="20"/>
        <w:tblW w:w="89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350"/>
        <w:gridCol w:w="5854"/>
        <w:gridCol w:w="12"/>
      </w:tblGrid>
      <w:tr w14:paraId="3924F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581" w:hRule="atLeast"/>
        </w:trPr>
        <w:tc>
          <w:tcPr>
            <w:tcW w:w="777" w:type="dxa"/>
            <w:vAlign w:val="center"/>
          </w:tcPr>
          <w:p w14:paraId="1C13798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评审项</w:t>
            </w:r>
          </w:p>
        </w:tc>
        <w:tc>
          <w:tcPr>
            <w:tcW w:w="2350" w:type="dxa"/>
            <w:vAlign w:val="center"/>
          </w:tcPr>
          <w:p w14:paraId="353BA43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评审因素</w:t>
            </w:r>
          </w:p>
        </w:tc>
        <w:tc>
          <w:tcPr>
            <w:tcW w:w="5854" w:type="dxa"/>
            <w:vAlign w:val="top"/>
          </w:tcPr>
          <w:p w14:paraId="3886377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评审标准</w:t>
            </w:r>
          </w:p>
        </w:tc>
      </w:tr>
      <w:tr w14:paraId="66721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1343" w:hRule="atLeast"/>
        </w:trPr>
        <w:tc>
          <w:tcPr>
            <w:tcW w:w="777" w:type="dxa"/>
            <w:vMerge w:val="restart"/>
            <w:textDirection w:val="tbRlV"/>
            <w:vAlign w:val="center"/>
          </w:tcPr>
          <w:p w14:paraId="6F2D4F8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符 合 性 评 审</w:t>
            </w:r>
          </w:p>
        </w:tc>
        <w:tc>
          <w:tcPr>
            <w:tcW w:w="2350" w:type="dxa"/>
            <w:vAlign w:val="center"/>
          </w:tcPr>
          <w:p w14:paraId="0580DFA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投标文件项目名称、</w:t>
            </w:r>
          </w:p>
          <w:p w14:paraId="34F01F0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项目编号、标段（未分标段的除外）</w:t>
            </w:r>
          </w:p>
        </w:tc>
        <w:tc>
          <w:tcPr>
            <w:tcW w:w="5854" w:type="dxa"/>
            <w:vAlign w:val="top"/>
          </w:tcPr>
          <w:p w14:paraId="62E2BEA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投标文件以下三处的项目名称、项目编号、标段与本项目完全一致，且无遗漏：（1）封面；（2）投标函；（3）法定代表人委托授权书。</w:t>
            </w:r>
          </w:p>
        </w:tc>
      </w:tr>
      <w:tr w14:paraId="65FDD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535" w:hRule="atLeast"/>
        </w:trPr>
        <w:tc>
          <w:tcPr>
            <w:tcW w:w="777" w:type="dxa"/>
            <w:vMerge w:val="continue"/>
            <w:textDirection w:val="tbRlV"/>
            <w:vAlign w:val="center"/>
          </w:tcPr>
          <w:p w14:paraId="2C47796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2DE44E9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投标文件组成</w:t>
            </w:r>
          </w:p>
        </w:tc>
        <w:tc>
          <w:tcPr>
            <w:tcW w:w="5854" w:type="dxa"/>
            <w:vAlign w:val="top"/>
          </w:tcPr>
          <w:p w14:paraId="3C23715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符合招标文件的要求</w:t>
            </w:r>
          </w:p>
        </w:tc>
      </w:tr>
      <w:tr w14:paraId="3C4B4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567" w:hRule="atLeast"/>
        </w:trPr>
        <w:tc>
          <w:tcPr>
            <w:tcW w:w="777" w:type="dxa"/>
            <w:vMerge w:val="continue"/>
            <w:textDirection w:val="tbRlV"/>
            <w:vAlign w:val="center"/>
          </w:tcPr>
          <w:p w14:paraId="5B2BB68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2F23769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投标文件签署、盖章</w:t>
            </w:r>
          </w:p>
        </w:tc>
        <w:tc>
          <w:tcPr>
            <w:tcW w:w="5854" w:type="dxa"/>
            <w:vAlign w:val="top"/>
          </w:tcPr>
          <w:p w14:paraId="0C77BFF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签署、盖章均符合招标文件要求，且无遗漏。</w:t>
            </w:r>
          </w:p>
        </w:tc>
      </w:tr>
      <w:tr w14:paraId="49C6C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799" w:hRule="atLeast"/>
        </w:trPr>
        <w:tc>
          <w:tcPr>
            <w:tcW w:w="777" w:type="dxa"/>
            <w:vMerge w:val="continue"/>
            <w:textDirection w:val="tbRlV"/>
            <w:vAlign w:val="center"/>
          </w:tcPr>
          <w:p w14:paraId="6B5CA59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5AC4E51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投标文件的语言及计量单位</w:t>
            </w:r>
          </w:p>
        </w:tc>
        <w:tc>
          <w:tcPr>
            <w:tcW w:w="5854" w:type="dxa"/>
            <w:vAlign w:val="top"/>
          </w:tcPr>
          <w:p w14:paraId="21D8D52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均符合招标文件的要求。</w:t>
            </w:r>
          </w:p>
        </w:tc>
      </w:tr>
      <w:tr w14:paraId="6AD5E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2" w:type="dxa"/>
          <w:trHeight w:val="598" w:hRule="atLeast"/>
        </w:trPr>
        <w:tc>
          <w:tcPr>
            <w:tcW w:w="777" w:type="dxa"/>
            <w:vMerge w:val="continue"/>
            <w:textDirection w:val="tbRlV"/>
            <w:vAlign w:val="center"/>
          </w:tcPr>
          <w:p w14:paraId="1E917EB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3C1DFEB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投标有效期</w:t>
            </w:r>
          </w:p>
        </w:tc>
        <w:tc>
          <w:tcPr>
            <w:tcW w:w="5854" w:type="dxa"/>
            <w:vAlign w:val="top"/>
          </w:tcPr>
          <w:p w14:paraId="1B93D27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符合招标文件的要求。</w:t>
            </w:r>
          </w:p>
        </w:tc>
      </w:tr>
      <w:tr w14:paraId="3E0C9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0" w:hRule="atLeast"/>
        </w:trPr>
        <w:tc>
          <w:tcPr>
            <w:tcW w:w="777" w:type="dxa"/>
            <w:vMerge w:val="continue"/>
            <w:vAlign w:val="center"/>
          </w:tcPr>
          <w:p w14:paraId="0F1A06C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676605A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投标报价</w:t>
            </w:r>
          </w:p>
        </w:tc>
        <w:tc>
          <w:tcPr>
            <w:tcW w:w="5866" w:type="dxa"/>
            <w:gridSpan w:val="2"/>
            <w:vAlign w:val="top"/>
          </w:tcPr>
          <w:p w14:paraId="2F251D9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同时满足以下条款：（1）投标报价符合唯一性要求；</w:t>
            </w:r>
          </w:p>
          <w:p w14:paraId="5B8F757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（2）开标一览表填写符合要求；（3）报价货币符合招标文件要求；（4）未超出采购预算或招标文件规定的最高限价；</w:t>
            </w:r>
          </w:p>
        </w:tc>
      </w:tr>
      <w:tr w14:paraId="4060E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77" w:type="dxa"/>
            <w:vMerge w:val="continue"/>
            <w:vAlign w:val="center"/>
          </w:tcPr>
          <w:p w14:paraId="07F96C3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6484ABA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实质性条款响应</w:t>
            </w:r>
          </w:p>
        </w:tc>
        <w:tc>
          <w:tcPr>
            <w:tcW w:w="5866" w:type="dxa"/>
            <w:gridSpan w:val="2"/>
            <w:vAlign w:val="top"/>
          </w:tcPr>
          <w:p w14:paraId="0990591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完全响应招标文件要求的各项服务/商务实质性条款</w:t>
            </w:r>
            <w:r>
              <w:rPr>
                <w:rFonts w:hint="eastAsia" w:ascii="仿宋" w:hAnsi="仿宋" w:eastAsia="仿宋" w:cs="仿宋"/>
                <w:color w:val="auto"/>
                <w:sz w:val="24"/>
                <w:szCs w:val="24"/>
                <w:lang w:val="en-US" w:eastAsia="zh-CN"/>
              </w:rPr>
              <w:t>/技术实质性参数。</w:t>
            </w:r>
          </w:p>
        </w:tc>
      </w:tr>
      <w:tr w14:paraId="1AA87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777" w:type="dxa"/>
            <w:vMerge w:val="continue"/>
            <w:vAlign w:val="center"/>
          </w:tcPr>
          <w:p w14:paraId="1355AB8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6B95D82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合同文本</w:t>
            </w:r>
          </w:p>
        </w:tc>
        <w:tc>
          <w:tcPr>
            <w:tcW w:w="5866" w:type="dxa"/>
            <w:gridSpan w:val="2"/>
            <w:vAlign w:val="top"/>
          </w:tcPr>
          <w:p w14:paraId="4C25BB9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完全理解并接受招标文件合同基本条款的要求。</w:t>
            </w:r>
          </w:p>
        </w:tc>
      </w:tr>
      <w:tr w14:paraId="651AE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777" w:type="dxa"/>
            <w:vMerge w:val="continue"/>
            <w:vAlign w:val="center"/>
          </w:tcPr>
          <w:p w14:paraId="0AB4288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2350" w:type="dxa"/>
            <w:vAlign w:val="center"/>
          </w:tcPr>
          <w:p w14:paraId="49E79E9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866" w:type="dxa"/>
            <w:gridSpan w:val="2"/>
            <w:vAlign w:val="top"/>
          </w:tcPr>
          <w:p w14:paraId="05F917D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完全理解并接受法律法规和招标文件对供应商的各项须知、规约要求和责任义务，没有出现法律法规或招标文件明确规定的其他被视为“无效投标 ”的情形。</w:t>
            </w:r>
          </w:p>
        </w:tc>
      </w:tr>
    </w:tbl>
    <w:p w14:paraId="0609B8E9">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（二十三）投标文件的详细评审</w:t>
      </w:r>
    </w:p>
    <w:p w14:paraId="5B89FE8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1.评标委员会将按照（二十三）规定只对确定为实质上响应招标文件要求的投标进行详细的评价和比较。</w:t>
      </w:r>
    </w:p>
    <w:p w14:paraId="7ABC419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2.评价和比较以招标文件为依据，对所有实质上响应的投标分别从“投标报</w:t>
      </w:r>
    </w:p>
    <w:p w14:paraId="5F79EC2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价”、“商务响应”、</w:t>
      </w:r>
      <w:r>
        <w:rPr>
          <w:rFonts w:hint="eastAsia" w:ascii="仿宋" w:hAnsi="仿宋" w:eastAsia="仿宋" w:cs="仿宋"/>
          <w:color w:val="auto"/>
          <w:sz w:val="24"/>
          <w:szCs w:val="24"/>
          <w:lang w:eastAsia="zh-CN"/>
        </w:rPr>
        <w:t>“所投产品的技术指标”、</w:t>
      </w:r>
      <w:r>
        <w:rPr>
          <w:rFonts w:hint="eastAsia" w:ascii="仿宋" w:hAnsi="仿宋" w:eastAsia="仿宋" w:cs="仿宋"/>
          <w:color w:val="auto"/>
          <w:sz w:val="24"/>
          <w:szCs w:val="24"/>
        </w:rPr>
        <w:t>“项目实施方案”、</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产品配置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售后服务</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“质量保证”、“业绩”等方面进行评审。</w:t>
      </w:r>
    </w:p>
    <w:p w14:paraId="5C02FE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评标方法：综合评分法，是指投标文件满足招标文件全部实质性要求，且按照评审因素的量化指标评审得分最高的投标人为中标候选人的评标方法。</w:t>
      </w:r>
    </w:p>
    <w:p w14:paraId="5D1F547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具体评审因素量化指标和分值如下：</w:t>
      </w:r>
    </w:p>
    <w:tbl>
      <w:tblPr>
        <w:tblStyle w:val="20"/>
        <w:tblW w:w="8706"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58"/>
        <w:gridCol w:w="523"/>
        <w:gridCol w:w="7025"/>
      </w:tblGrid>
      <w:tr w14:paraId="5FA00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0" w:type="auto"/>
            <w:noWrap w:val="0"/>
            <w:vAlign w:val="center"/>
          </w:tcPr>
          <w:p w14:paraId="1A296037">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评标</w:t>
            </w:r>
          </w:p>
          <w:p w14:paraId="3E4A6EB3">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分项</w:t>
            </w:r>
          </w:p>
        </w:tc>
        <w:tc>
          <w:tcPr>
            <w:tcW w:w="523" w:type="dxa"/>
            <w:noWrap w:val="0"/>
            <w:vAlign w:val="center"/>
          </w:tcPr>
          <w:p w14:paraId="42042C3B">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分项</w:t>
            </w:r>
          </w:p>
          <w:p w14:paraId="1D347D87">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分值</w:t>
            </w:r>
          </w:p>
        </w:tc>
        <w:tc>
          <w:tcPr>
            <w:tcW w:w="7025" w:type="dxa"/>
            <w:noWrap w:val="0"/>
            <w:vAlign w:val="center"/>
          </w:tcPr>
          <w:p w14:paraId="4ECB272E">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评标因素</w:t>
            </w:r>
          </w:p>
        </w:tc>
      </w:tr>
      <w:tr w14:paraId="00E50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5" w:hRule="atLeast"/>
        </w:trPr>
        <w:tc>
          <w:tcPr>
            <w:tcW w:w="0" w:type="auto"/>
            <w:noWrap w:val="0"/>
            <w:vAlign w:val="center"/>
          </w:tcPr>
          <w:p w14:paraId="46580661">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投标报价</w:t>
            </w:r>
          </w:p>
        </w:tc>
        <w:tc>
          <w:tcPr>
            <w:tcW w:w="523" w:type="dxa"/>
            <w:noWrap w:val="0"/>
            <w:vAlign w:val="center"/>
          </w:tcPr>
          <w:p w14:paraId="306C87DD">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30分</w:t>
            </w:r>
          </w:p>
        </w:tc>
        <w:tc>
          <w:tcPr>
            <w:tcW w:w="7025" w:type="dxa"/>
            <w:noWrap w:val="0"/>
            <w:vAlign w:val="top"/>
          </w:tcPr>
          <w:p w14:paraId="467B67D3">
            <w:pPr>
              <w:pStyle w:val="32"/>
              <w:spacing w:before="113" w:line="369" w:lineRule="auto"/>
              <w:ind w:left="107" w:right="145"/>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价格分统一按照下列公式计算：投标报价得分=（评标基准价/投标报价）×价格权值（即30%）×100（因落实政府采购政策进行价格调整的，以调整后的价格计算评标基准价和投标报价）。</w:t>
            </w:r>
          </w:p>
        </w:tc>
      </w:tr>
      <w:tr w14:paraId="6875E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0" w:type="auto"/>
            <w:noWrap w:val="0"/>
            <w:vAlign w:val="center"/>
          </w:tcPr>
          <w:p w14:paraId="422C7EF8">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商务响应</w:t>
            </w:r>
          </w:p>
        </w:tc>
        <w:tc>
          <w:tcPr>
            <w:tcW w:w="523" w:type="dxa"/>
            <w:noWrap w:val="0"/>
            <w:vAlign w:val="center"/>
          </w:tcPr>
          <w:p w14:paraId="60D1DD97">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en-US"/>
              </w:rPr>
              <w:t>分</w:t>
            </w:r>
          </w:p>
        </w:tc>
        <w:tc>
          <w:tcPr>
            <w:tcW w:w="7025" w:type="dxa"/>
            <w:noWrap w:val="0"/>
            <w:vAlign w:val="top"/>
          </w:tcPr>
          <w:p w14:paraId="3F9320FD">
            <w:pPr>
              <w:pStyle w:val="32"/>
              <w:spacing w:before="113" w:line="369" w:lineRule="auto"/>
              <w:ind w:left="107" w:right="145"/>
              <w:jc w:val="both"/>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经过有效性和符合性审核合格的单位，对付款、交货期、质量、验收、服务等方面进行响应，逐项且完全响应的计</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en-US"/>
              </w:rPr>
              <w:t>分，未做详细响应的得0分。</w:t>
            </w:r>
          </w:p>
        </w:tc>
      </w:tr>
      <w:tr w14:paraId="376BA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5" w:hRule="atLeast"/>
        </w:trPr>
        <w:tc>
          <w:tcPr>
            <w:tcW w:w="0" w:type="auto"/>
            <w:noWrap w:val="0"/>
            <w:vAlign w:val="center"/>
          </w:tcPr>
          <w:p w14:paraId="033A3501">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所投产品的技术指标</w:t>
            </w:r>
          </w:p>
        </w:tc>
        <w:tc>
          <w:tcPr>
            <w:tcW w:w="523" w:type="dxa"/>
            <w:noWrap w:val="0"/>
            <w:vAlign w:val="center"/>
          </w:tcPr>
          <w:p w14:paraId="0580F958">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en-US"/>
              </w:rPr>
              <w:t>分</w:t>
            </w:r>
          </w:p>
        </w:tc>
        <w:tc>
          <w:tcPr>
            <w:tcW w:w="7025" w:type="dxa"/>
            <w:noWrap w:val="0"/>
            <w:vAlign w:val="top"/>
          </w:tcPr>
          <w:p w14:paraId="05851CE1">
            <w:pPr>
              <w:pStyle w:val="32"/>
              <w:spacing w:before="113" w:line="369" w:lineRule="auto"/>
              <w:ind w:left="107" w:right="145"/>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技术指标清晰，符合国家的标准和有关规定，技术资料齐全，技术要求和参数全部响应招标文件中技术要求的计3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分，标</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参数每负偏离一项扣</w:t>
            </w:r>
            <w:r>
              <w:rPr>
                <w:rFonts w:hint="eastAsia" w:ascii="仿宋" w:hAnsi="仿宋" w:eastAsia="仿宋" w:cs="仿宋"/>
                <w:color w:val="auto"/>
                <w:sz w:val="24"/>
                <w:szCs w:val="24"/>
                <w:lang w:val="en-US" w:eastAsia="zh-CN"/>
              </w:rPr>
              <w:t>0.6</w:t>
            </w:r>
            <w:r>
              <w:rPr>
                <w:rFonts w:hint="eastAsia" w:ascii="仿宋" w:hAnsi="仿宋" w:eastAsia="仿宋" w:cs="仿宋"/>
                <w:color w:val="auto"/>
                <w:sz w:val="24"/>
                <w:szCs w:val="24"/>
                <w:lang w:eastAsia="zh-CN"/>
              </w:rPr>
              <w:t>分，其他参数每出现一项负偏离扣</w:t>
            </w:r>
            <w:r>
              <w:rPr>
                <w:rFonts w:hint="eastAsia" w:ascii="仿宋" w:hAnsi="仿宋" w:eastAsia="仿宋" w:cs="仿宋"/>
                <w:color w:val="auto"/>
                <w:sz w:val="24"/>
                <w:szCs w:val="24"/>
                <w:lang w:val="en-US" w:eastAsia="zh-CN"/>
              </w:rPr>
              <w:t>0.06</w:t>
            </w:r>
            <w:r>
              <w:rPr>
                <w:rFonts w:hint="eastAsia" w:ascii="仿宋" w:hAnsi="仿宋" w:eastAsia="仿宋" w:cs="仿宋"/>
                <w:color w:val="auto"/>
                <w:sz w:val="24"/>
                <w:szCs w:val="24"/>
                <w:lang w:eastAsia="zh-CN"/>
              </w:rPr>
              <w:t>分，投标时须附有所投产品的资料（包括但不限于检测报告、官网和系统功能截图、生产厂家出具的、相应的功能证明材料等资料，并附上清晰可辨识的相关图片、彩页等）。</w:t>
            </w:r>
          </w:p>
        </w:tc>
      </w:tr>
      <w:tr w14:paraId="1911A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0" w:type="auto"/>
            <w:noWrap w:val="0"/>
            <w:vAlign w:val="center"/>
          </w:tcPr>
          <w:p w14:paraId="62A272FC">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项目实施方案</w:t>
            </w:r>
          </w:p>
        </w:tc>
        <w:tc>
          <w:tcPr>
            <w:tcW w:w="523" w:type="dxa"/>
            <w:noWrap w:val="0"/>
            <w:vAlign w:val="center"/>
          </w:tcPr>
          <w:p w14:paraId="13F4FCA0">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en-US"/>
              </w:rPr>
              <w:t>分</w:t>
            </w:r>
          </w:p>
        </w:tc>
        <w:tc>
          <w:tcPr>
            <w:tcW w:w="7025" w:type="dxa"/>
            <w:noWrap w:val="0"/>
            <w:vAlign w:val="top"/>
          </w:tcPr>
          <w:p w14:paraId="4CCE187E">
            <w:pPr>
              <w:pStyle w:val="21"/>
              <w:spacing w:before="83" w:line="219" w:lineRule="auto"/>
              <w:ind w:left="118"/>
              <w:rPr>
                <w:rFonts w:hint="eastAsia" w:ascii="仿宋" w:hAnsi="仿宋" w:eastAsia="仿宋" w:cs="仿宋"/>
                <w:color w:val="auto"/>
                <w:sz w:val="24"/>
                <w:szCs w:val="24"/>
              </w:rPr>
            </w:pPr>
            <w:r>
              <w:rPr>
                <w:rFonts w:hint="eastAsia" w:ascii="仿宋" w:hAnsi="仿宋" w:eastAsia="仿宋" w:cs="仿宋"/>
                <w:color w:val="auto"/>
                <w:spacing w:val="-3"/>
                <w:sz w:val="24"/>
                <w:szCs w:val="24"/>
              </w:rPr>
              <w:t>一、评审内容</w:t>
            </w:r>
          </w:p>
          <w:p w14:paraId="34DA2BC7">
            <w:pPr>
              <w:pStyle w:val="34"/>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针对本项目提供项目实施方案，方案内容包括</w:t>
            </w:r>
            <w:r>
              <w:rPr>
                <w:rFonts w:hint="eastAsia" w:ascii="仿宋" w:hAnsi="仿宋" w:eastAsia="仿宋" w:cs="仿宋"/>
                <w:color w:val="auto"/>
                <w:sz w:val="24"/>
                <w:szCs w:val="24"/>
                <w:lang w:val="en-US" w:eastAsia="zh-CN"/>
              </w:rPr>
              <w:t>但不限于</w:t>
            </w:r>
            <w:r>
              <w:rPr>
                <w:rFonts w:hint="eastAsia" w:ascii="仿宋" w:hAnsi="仿宋" w:eastAsia="仿宋" w:cs="仿宋"/>
                <w:color w:val="auto"/>
                <w:sz w:val="24"/>
                <w:szCs w:val="24"/>
              </w:rPr>
              <w:t>：①供货方案；②人员配置合理、职责明确；③供货进度保障措施</w:t>
            </w:r>
            <w:r>
              <w:rPr>
                <w:rFonts w:hint="eastAsia" w:ascii="仿宋" w:hAnsi="仿宋" w:eastAsia="仿宋" w:cs="仿宋"/>
                <w:color w:val="auto"/>
                <w:spacing w:val="-1"/>
                <w:sz w:val="24"/>
                <w:szCs w:val="24"/>
                <w:lang w:val="en-US" w:eastAsia="zh-CN"/>
              </w:rPr>
              <w:t>等，实施</w:t>
            </w:r>
            <w:r>
              <w:rPr>
                <w:rFonts w:hint="eastAsia" w:ascii="仿宋" w:hAnsi="仿宋" w:eastAsia="仿宋" w:cs="仿宋"/>
                <w:color w:val="auto"/>
                <w:sz w:val="24"/>
                <w:szCs w:val="24"/>
                <w:lang w:val="en-US" w:eastAsia="zh-CN"/>
              </w:rPr>
              <w:t>方案详细、架构完整，对项目需求和具体情况理解充分计2-5分；实施方案内容简单、</w:t>
            </w:r>
            <w:r>
              <w:rPr>
                <w:rFonts w:hint="eastAsia" w:ascii="仿宋" w:hAnsi="仿宋" w:eastAsia="仿宋" w:cs="仿宋"/>
                <w:color w:val="auto"/>
                <w:spacing w:val="-2"/>
                <w:sz w:val="24"/>
                <w:szCs w:val="24"/>
                <w:lang w:eastAsia="zh-CN"/>
              </w:rPr>
              <w:t>未针对各项内容进行详细描述的计</w:t>
            </w:r>
            <w:r>
              <w:rPr>
                <w:rFonts w:hint="eastAsia" w:ascii="仿宋" w:hAnsi="仿宋" w:eastAsia="仿宋" w:cs="仿宋"/>
                <w:color w:val="auto"/>
                <w:spacing w:val="-2"/>
                <w:sz w:val="24"/>
                <w:szCs w:val="24"/>
                <w:lang w:val="en-US" w:eastAsia="zh-CN"/>
              </w:rPr>
              <w:t>0-1.9</w:t>
            </w:r>
            <w:r>
              <w:rPr>
                <w:rFonts w:hint="eastAsia" w:ascii="仿宋" w:hAnsi="仿宋" w:eastAsia="仿宋" w:cs="仿宋"/>
                <w:color w:val="auto"/>
                <w:spacing w:val="-2"/>
                <w:sz w:val="24"/>
                <w:szCs w:val="24"/>
                <w:lang w:eastAsia="zh-CN"/>
              </w:rPr>
              <w:t>分</w:t>
            </w:r>
            <w:r>
              <w:rPr>
                <w:rFonts w:hint="eastAsia" w:ascii="仿宋" w:hAnsi="仿宋" w:eastAsia="仿宋" w:cs="仿宋"/>
                <w:color w:val="auto"/>
                <w:sz w:val="24"/>
                <w:szCs w:val="24"/>
                <w:lang w:val="en-US" w:eastAsia="zh-CN"/>
              </w:rPr>
              <w:t>，没有不得分。</w:t>
            </w:r>
          </w:p>
        </w:tc>
      </w:tr>
      <w:tr w14:paraId="0BD8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0" w:type="auto"/>
            <w:noWrap w:val="0"/>
            <w:vAlign w:val="center"/>
          </w:tcPr>
          <w:p w14:paraId="2807E818">
            <w:pPr>
              <w:jc w:val="center"/>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产品配置</w:t>
            </w:r>
          </w:p>
        </w:tc>
        <w:tc>
          <w:tcPr>
            <w:tcW w:w="523" w:type="dxa"/>
            <w:noWrap w:val="0"/>
            <w:vAlign w:val="center"/>
          </w:tcPr>
          <w:p w14:paraId="28CADE67">
            <w:pPr>
              <w:jc w:val="center"/>
              <w:rPr>
                <w:rFonts w:hint="eastAsia" w:ascii="仿宋" w:hAnsi="仿宋" w:eastAsia="仿宋" w:cs="仿宋"/>
                <w:color w:val="auto"/>
                <w:sz w:val="24"/>
                <w:szCs w:val="24"/>
                <w:lang w:eastAsia="zh-CN"/>
              </w:rPr>
            </w:pPr>
          </w:p>
          <w:p w14:paraId="74936E73">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分</w:t>
            </w:r>
          </w:p>
        </w:tc>
        <w:tc>
          <w:tcPr>
            <w:tcW w:w="7025" w:type="dxa"/>
            <w:noWrap w:val="0"/>
            <w:vAlign w:val="top"/>
          </w:tcPr>
          <w:p w14:paraId="56A78B79">
            <w:pPr>
              <w:pStyle w:val="32"/>
              <w:numPr>
                <w:ilvl w:val="0"/>
                <w:numId w:val="0"/>
              </w:numPr>
              <w:spacing w:before="113" w:line="369" w:lineRule="auto"/>
              <w:ind w:right="145" w:rightChars="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1、所供设备选型合理，货物来源渠道正规，无产权纠纷，按其响应情况计</w:t>
            </w:r>
            <w:r>
              <w:rPr>
                <w:rFonts w:hint="eastAsia" w:ascii="仿宋" w:hAnsi="仿宋" w:eastAsia="仿宋" w:cs="仿宋"/>
                <w:color w:val="auto"/>
                <w:kern w:val="2"/>
                <w:sz w:val="24"/>
                <w:szCs w:val="24"/>
                <w:lang w:val="en-US" w:eastAsia="zh-CN" w:bidi="ar-SA"/>
              </w:rPr>
              <w:t>0-2.5</w:t>
            </w:r>
            <w:r>
              <w:rPr>
                <w:rFonts w:hint="eastAsia" w:ascii="仿宋" w:hAnsi="仿宋" w:eastAsia="仿宋" w:cs="仿宋"/>
                <w:color w:val="auto"/>
                <w:sz w:val="24"/>
                <w:szCs w:val="24"/>
                <w:lang w:val="en-US" w:eastAsia="zh-CN" w:bidi="ar-SA"/>
              </w:rPr>
              <w:t>分，没有不得分。</w:t>
            </w:r>
          </w:p>
          <w:p w14:paraId="77FC4132">
            <w:pPr>
              <w:pStyle w:val="32"/>
              <w:numPr>
                <w:ilvl w:val="0"/>
                <w:numId w:val="0"/>
              </w:numPr>
              <w:spacing w:before="113" w:line="369" w:lineRule="auto"/>
              <w:ind w:right="145" w:rightChars="0"/>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kern w:val="2"/>
                <w:sz w:val="24"/>
                <w:szCs w:val="24"/>
                <w:lang w:val="en-US" w:eastAsia="zh-CN" w:bidi="ar-SA"/>
              </w:rPr>
              <w:t>2、提供对产品的安装、</w:t>
            </w:r>
            <w:r>
              <w:rPr>
                <w:rFonts w:hint="eastAsia" w:ascii="仿宋" w:hAnsi="仿宋" w:eastAsia="仿宋" w:cs="仿宋"/>
                <w:color w:val="auto"/>
                <w:kern w:val="2"/>
                <w:sz w:val="24"/>
                <w:szCs w:val="24"/>
                <w:lang w:val="en-US" w:eastAsia="zh-CN" w:bidi="ar-SA"/>
              </w:rPr>
              <w:t>调试</w:t>
            </w:r>
            <w:r>
              <w:rPr>
                <w:rFonts w:hint="eastAsia" w:ascii="仿宋" w:hAnsi="仿宋" w:eastAsia="仿宋" w:cs="仿宋"/>
                <w:color w:val="auto"/>
                <w:kern w:val="2"/>
                <w:sz w:val="24"/>
                <w:szCs w:val="24"/>
                <w:lang w:val="en-US" w:eastAsia="zh-CN" w:bidi="ar-SA"/>
              </w:rPr>
              <w:t>、技术服务的组织措施完善，能够保证所有设备顺利使用运行的得，按其响应情况计0-2.5分，没有不得分。</w:t>
            </w:r>
          </w:p>
        </w:tc>
      </w:tr>
      <w:tr w14:paraId="4DD24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0" w:type="auto"/>
            <w:noWrap w:val="0"/>
            <w:vAlign w:val="center"/>
          </w:tcPr>
          <w:p w14:paraId="661ED5F1">
            <w:pPr>
              <w:rPr>
                <w:rFonts w:hint="eastAsia" w:ascii="仿宋" w:hAnsi="仿宋" w:eastAsia="仿宋" w:cs="仿宋"/>
                <w:color w:val="auto"/>
                <w:sz w:val="24"/>
                <w:szCs w:val="24"/>
                <w:lang w:eastAsia="en-US"/>
              </w:rPr>
            </w:pPr>
            <w:r>
              <w:rPr>
                <w:rFonts w:hint="eastAsia" w:ascii="仿宋" w:hAnsi="仿宋" w:eastAsia="仿宋" w:cs="仿宋"/>
                <w:color w:val="auto"/>
                <w:spacing w:val="-6"/>
                <w:sz w:val="24"/>
                <w:szCs w:val="24"/>
                <w:lang w:eastAsia="en-US"/>
              </w:rPr>
              <w:t>售后</w:t>
            </w:r>
            <w:r>
              <w:rPr>
                <w:rFonts w:hint="eastAsia" w:ascii="仿宋" w:hAnsi="仿宋" w:eastAsia="仿宋" w:cs="仿宋"/>
                <w:color w:val="auto"/>
                <w:spacing w:val="-5"/>
                <w:sz w:val="24"/>
                <w:szCs w:val="24"/>
                <w:lang w:eastAsia="en-US"/>
              </w:rPr>
              <w:t>服务</w:t>
            </w:r>
          </w:p>
        </w:tc>
        <w:tc>
          <w:tcPr>
            <w:tcW w:w="523" w:type="dxa"/>
            <w:noWrap w:val="0"/>
            <w:vAlign w:val="center"/>
          </w:tcPr>
          <w:p w14:paraId="68B4BD6B">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val="en-US" w:eastAsia="zh-CN"/>
              </w:rPr>
              <w:t>5</w:t>
            </w:r>
            <w:r>
              <w:rPr>
                <w:rFonts w:hint="eastAsia" w:ascii="仿宋" w:hAnsi="仿宋" w:eastAsia="仿宋" w:cs="仿宋"/>
                <w:color w:val="auto"/>
                <w:spacing w:val="-10"/>
                <w:sz w:val="24"/>
                <w:szCs w:val="24"/>
                <w:lang w:eastAsia="en-US"/>
              </w:rPr>
              <w:t>分</w:t>
            </w:r>
          </w:p>
        </w:tc>
        <w:tc>
          <w:tcPr>
            <w:tcW w:w="7025" w:type="dxa"/>
            <w:noWrap w:val="0"/>
            <w:vAlign w:val="top"/>
          </w:tcPr>
          <w:p w14:paraId="6C553940">
            <w:pPr>
              <w:pStyle w:val="32"/>
              <w:spacing w:before="113" w:line="369" w:lineRule="auto"/>
              <w:ind w:left="107" w:right="145"/>
              <w:jc w:val="both"/>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一、评审内容</w:t>
            </w:r>
          </w:p>
          <w:p w14:paraId="5DE430A7">
            <w:pPr>
              <w:pStyle w:val="32"/>
              <w:spacing w:before="113" w:line="369" w:lineRule="auto"/>
              <w:ind w:left="107" w:right="145"/>
              <w:jc w:val="both"/>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售后服务包含</w:t>
            </w:r>
            <w:r>
              <w:rPr>
                <w:rFonts w:hint="eastAsia" w:ascii="仿宋" w:hAnsi="仿宋" w:eastAsia="仿宋" w:cs="仿宋"/>
                <w:color w:val="auto"/>
                <w:sz w:val="24"/>
                <w:szCs w:val="24"/>
                <w:lang w:val="en-US" w:eastAsia="zh-CN"/>
              </w:rPr>
              <w:t>但不限于</w:t>
            </w:r>
            <w:r>
              <w:rPr>
                <w:rFonts w:hint="eastAsia" w:ascii="仿宋" w:hAnsi="仿宋" w:eastAsia="仿宋" w:cs="仿宋"/>
                <w:color w:val="auto"/>
                <w:sz w:val="24"/>
                <w:szCs w:val="24"/>
                <w:lang w:eastAsia="en-US"/>
              </w:rPr>
              <w:t>：①售后服务承诺、 日常维护方案及保障措施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eastAsia="en-US"/>
              </w:rPr>
              <w:t>②项目交付用户后出现故障响应时间及措施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eastAsia="en-US"/>
              </w:rPr>
              <w:t>③售后人员配置及售后流程计划</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eastAsia="en-US"/>
              </w:rPr>
              <w:t>④售后保障主要产品制造商售后承诺免费保修时间至少两年起。</w:t>
            </w:r>
          </w:p>
          <w:p w14:paraId="4B9FC87C">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（1）</w:t>
            </w:r>
            <w:r>
              <w:rPr>
                <w:rFonts w:hint="eastAsia" w:ascii="仿宋" w:hAnsi="仿宋" w:eastAsia="仿宋" w:cs="仿宋"/>
                <w:color w:val="auto"/>
                <w:spacing w:val="-2"/>
                <w:sz w:val="24"/>
                <w:szCs w:val="24"/>
                <w:lang w:val="en-US" w:eastAsia="zh-CN"/>
              </w:rPr>
              <w:t>方案</w:t>
            </w:r>
            <w:r>
              <w:rPr>
                <w:rFonts w:hint="eastAsia" w:ascii="仿宋" w:hAnsi="仿宋" w:eastAsia="仿宋" w:cs="仿宋"/>
                <w:color w:val="auto"/>
                <w:spacing w:val="-2"/>
                <w:sz w:val="24"/>
                <w:szCs w:val="24"/>
                <w:lang w:eastAsia="zh-CN"/>
              </w:rPr>
              <w:t>详细全面、</w:t>
            </w:r>
            <w:r>
              <w:rPr>
                <w:rFonts w:hint="eastAsia" w:ascii="仿宋" w:hAnsi="仿宋" w:eastAsia="仿宋" w:cs="仿宋"/>
                <w:color w:val="auto"/>
                <w:spacing w:val="-2"/>
                <w:sz w:val="24"/>
                <w:szCs w:val="24"/>
                <w:lang w:val="en-US" w:eastAsia="zh-CN"/>
              </w:rPr>
              <w:t>完整</w:t>
            </w:r>
            <w:r>
              <w:rPr>
                <w:rFonts w:hint="eastAsia" w:ascii="仿宋" w:hAnsi="仿宋" w:eastAsia="仿宋" w:cs="仿宋"/>
                <w:color w:val="auto"/>
                <w:spacing w:val="-2"/>
                <w:sz w:val="24"/>
                <w:szCs w:val="24"/>
                <w:lang w:eastAsia="zh-CN"/>
              </w:rPr>
              <w:t>可行的计</w:t>
            </w:r>
            <w:r>
              <w:rPr>
                <w:rFonts w:hint="eastAsia" w:ascii="仿宋" w:hAnsi="仿宋" w:eastAsia="仿宋" w:cs="仿宋"/>
                <w:color w:val="auto"/>
                <w:spacing w:val="-2"/>
                <w:sz w:val="24"/>
                <w:szCs w:val="24"/>
                <w:lang w:val="en-US" w:eastAsia="zh-CN"/>
              </w:rPr>
              <w:t>2-5</w:t>
            </w:r>
            <w:r>
              <w:rPr>
                <w:rFonts w:hint="eastAsia" w:ascii="仿宋" w:hAnsi="仿宋" w:eastAsia="仿宋" w:cs="仿宋"/>
                <w:color w:val="auto"/>
                <w:spacing w:val="-2"/>
                <w:sz w:val="24"/>
                <w:szCs w:val="24"/>
                <w:lang w:eastAsia="zh-CN"/>
              </w:rPr>
              <w:t>分；</w:t>
            </w:r>
          </w:p>
          <w:p w14:paraId="27DC707F">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（2）</w:t>
            </w:r>
            <w:r>
              <w:rPr>
                <w:rFonts w:hint="eastAsia" w:ascii="仿宋" w:hAnsi="仿宋" w:eastAsia="仿宋" w:cs="仿宋"/>
                <w:color w:val="auto"/>
                <w:spacing w:val="-2"/>
                <w:sz w:val="24"/>
                <w:szCs w:val="24"/>
                <w:lang w:val="en-US" w:eastAsia="zh-CN"/>
              </w:rPr>
              <w:t>方案内容简单</w:t>
            </w:r>
            <w:r>
              <w:rPr>
                <w:rFonts w:hint="eastAsia" w:ascii="仿宋" w:hAnsi="仿宋" w:eastAsia="仿宋" w:cs="仿宋"/>
                <w:color w:val="auto"/>
                <w:spacing w:val="-2"/>
                <w:sz w:val="24"/>
                <w:szCs w:val="24"/>
                <w:lang w:eastAsia="zh-CN"/>
              </w:rPr>
              <w:t>，未针对各项内容进行详细描述的计</w:t>
            </w:r>
            <w:r>
              <w:rPr>
                <w:rFonts w:hint="eastAsia" w:ascii="仿宋" w:hAnsi="仿宋" w:eastAsia="仿宋" w:cs="仿宋"/>
                <w:color w:val="auto"/>
                <w:spacing w:val="-2"/>
                <w:sz w:val="24"/>
                <w:szCs w:val="24"/>
                <w:lang w:val="en-US" w:eastAsia="zh-CN"/>
              </w:rPr>
              <w:t>0-1.9</w:t>
            </w:r>
            <w:r>
              <w:rPr>
                <w:rFonts w:hint="eastAsia" w:ascii="仿宋" w:hAnsi="仿宋" w:eastAsia="仿宋" w:cs="仿宋"/>
                <w:color w:val="auto"/>
                <w:spacing w:val="-2"/>
                <w:sz w:val="24"/>
                <w:szCs w:val="24"/>
                <w:lang w:eastAsia="zh-CN"/>
              </w:rPr>
              <w:t>分</w:t>
            </w:r>
          </w:p>
          <w:p w14:paraId="082DF8B6">
            <w:pPr>
              <w:pStyle w:val="32"/>
              <w:spacing w:before="113" w:line="369" w:lineRule="auto"/>
              <w:ind w:left="107" w:right="145"/>
              <w:jc w:val="both"/>
              <w:rPr>
                <w:rFonts w:hint="eastAsia" w:ascii="仿宋" w:hAnsi="仿宋" w:eastAsia="仿宋" w:cs="仿宋"/>
                <w:color w:val="auto"/>
                <w:sz w:val="24"/>
                <w:szCs w:val="24"/>
                <w:lang w:eastAsia="en-US"/>
              </w:rPr>
            </w:pPr>
            <w:r>
              <w:rPr>
                <w:rFonts w:hint="eastAsia" w:ascii="仿宋" w:hAnsi="仿宋" w:eastAsia="仿宋" w:cs="仿宋"/>
                <w:color w:val="auto"/>
                <w:spacing w:val="-2"/>
                <w:sz w:val="24"/>
                <w:szCs w:val="24"/>
                <w:lang w:eastAsia="zh-CN"/>
              </w:rPr>
              <w:t>（</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lang w:eastAsia="zh-CN"/>
              </w:rPr>
              <w:t>）未提供不计分。</w:t>
            </w:r>
          </w:p>
        </w:tc>
      </w:tr>
      <w:tr w14:paraId="2D4F6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0" w:type="auto"/>
            <w:noWrap w:val="0"/>
            <w:vAlign w:val="center"/>
          </w:tcPr>
          <w:p w14:paraId="5714FA61">
            <w:pPr>
              <w:rPr>
                <w:rFonts w:hint="eastAsia" w:ascii="仿宋" w:hAnsi="仿宋" w:eastAsia="仿宋" w:cs="仿宋"/>
                <w:color w:val="auto"/>
                <w:spacing w:val="-6"/>
                <w:sz w:val="24"/>
                <w:szCs w:val="24"/>
                <w:lang w:eastAsia="en-US"/>
              </w:rPr>
            </w:pPr>
            <w:r>
              <w:rPr>
                <w:rFonts w:hint="eastAsia" w:ascii="仿宋" w:hAnsi="仿宋" w:eastAsia="仿宋" w:cs="仿宋"/>
                <w:color w:val="auto"/>
                <w:spacing w:val="-6"/>
                <w:sz w:val="24"/>
                <w:szCs w:val="24"/>
              </w:rPr>
              <w:t>质量保证</w:t>
            </w:r>
          </w:p>
        </w:tc>
        <w:tc>
          <w:tcPr>
            <w:tcW w:w="523" w:type="dxa"/>
            <w:noWrap w:val="0"/>
            <w:vAlign w:val="center"/>
          </w:tcPr>
          <w:p w14:paraId="551AADCA">
            <w:pP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val="en-US" w:eastAsia="zh-CN"/>
              </w:rPr>
              <w:t>5</w:t>
            </w:r>
            <w:r>
              <w:rPr>
                <w:rFonts w:hint="eastAsia" w:ascii="仿宋" w:hAnsi="仿宋" w:eastAsia="仿宋" w:cs="仿宋"/>
                <w:color w:val="auto"/>
                <w:spacing w:val="-10"/>
                <w:sz w:val="24"/>
                <w:szCs w:val="24"/>
                <w:lang w:eastAsia="en-US"/>
              </w:rPr>
              <w:t>分</w:t>
            </w:r>
          </w:p>
        </w:tc>
        <w:tc>
          <w:tcPr>
            <w:tcW w:w="7025" w:type="dxa"/>
            <w:noWrap w:val="0"/>
            <w:vAlign w:val="top"/>
          </w:tcPr>
          <w:p w14:paraId="287503BB">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质量保证方案不限于所投产品制造厂家有可靠、完善的管理制度；有足够的设计、检验能力；所投产品符合相关标准，具有具体可行的质量保证承诺，保证使用单位能熟练操作维护和正常使用等。</w:t>
            </w:r>
          </w:p>
          <w:p w14:paraId="76A31A26">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（1）</w:t>
            </w:r>
            <w:r>
              <w:rPr>
                <w:rFonts w:hint="eastAsia" w:ascii="仿宋" w:hAnsi="仿宋" w:eastAsia="仿宋" w:cs="仿宋"/>
                <w:color w:val="auto"/>
                <w:spacing w:val="-2"/>
                <w:sz w:val="24"/>
                <w:szCs w:val="24"/>
                <w:lang w:val="en-US" w:eastAsia="zh-CN"/>
              </w:rPr>
              <w:t>方案</w:t>
            </w:r>
            <w:r>
              <w:rPr>
                <w:rFonts w:hint="eastAsia" w:ascii="仿宋" w:hAnsi="仿宋" w:eastAsia="仿宋" w:cs="仿宋"/>
                <w:color w:val="auto"/>
                <w:spacing w:val="-2"/>
                <w:sz w:val="24"/>
                <w:szCs w:val="24"/>
                <w:lang w:eastAsia="zh-CN"/>
              </w:rPr>
              <w:t>详细全面、</w:t>
            </w:r>
            <w:r>
              <w:rPr>
                <w:rFonts w:hint="eastAsia" w:ascii="仿宋" w:hAnsi="仿宋" w:eastAsia="仿宋" w:cs="仿宋"/>
                <w:color w:val="auto"/>
                <w:spacing w:val="-2"/>
                <w:sz w:val="24"/>
                <w:szCs w:val="24"/>
                <w:lang w:val="en-US" w:eastAsia="zh-CN"/>
              </w:rPr>
              <w:t>完整</w:t>
            </w:r>
            <w:r>
              <w:rPr>
                <w:rFonts w:hint="eastAsia" w:ascii="仿宋" w:hAnsi="仿宋" w:eastAsia="仿宋" w:cs="仿宋"/>
                <w:color w:val="auto"/>
                <w:spacing w:val="-2"/>
                <w:sz w:val="24"/>
                <w:szCs w:val="24"/>
                <w:lang w:eastAsia="zh-CN"/>
              </w:rPr>
              <w:t>可行的计</w:t>
            </w:r>
            <w:r>
              <w:rPr>
                <w:rFonts w:hint="eastAsia" w:ascii="仿宋" w:hAnsi="仿宋" w:eastAsia="仿宋" w:cs="仿宋"/>
                <w:color w:val="auto"/>
                <w:spacing w:val="-2"/>
                <w:sz w:val="24"/>
                <w:szCs w:val="24"/>
                <w:lang w:val="en-US" w:eastAsia="zh-CN"/>
              </w:rPr>
              <w:t>2-5</w:t>
            </w:r>
            <w:r>
              <w:rPr>
                <w:rFonts w:hint="eastAsia" w:ascii="仿宋" w:hAnsi="仿宋" w:eastAsia="仿宋" w:cs="仿宋"/>
                <w:color w:val="auto"/>
                <w:spacing w:val="-2"/>
                <w:sz w:val="24"/>
                <w:szCs w:val="24"/>
                <w:lang w:eastAsia="zh-CN"/>
              </w:rPr>
              <w:t>分；</w:t>
            </w:r>
          </w:p>
          <w:p w14:paraId="7B9284BB">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（2）</w:t>
            </w:r>
            <w:r>
              <w:rPr>
                <w:rFonts w:hint="eastAsia" w:ascii="仿宋" w:hAnsi="仿宋" w:eastAsia="仿宋" w:cs="仿宋"/>
                <w:color w:val="auto"/>
                <w:spacing w:val="-2"/>
                <w:sz w:val="24"/>
                <w:szCs w:val="24"/>
                <w:lang w:val="en-US" w:eastAsia="zh-CN"/>
              </w:rPr>
              <w:t>方案内容简单</w:t>
            </w:r>
            <w:r>
              <w:rPr>
                <w:rFonts w:hint="eastAsia" w:ascii="仿宋" w:hAnsi="仿宋" w:eastAsia="仿宋" w:cs="仿宋"/>
                <w:color w:val="auto"/>
                <w:spacing w:val="-2"/>
                <w:sz w:val="24"/>
                <w:szCs w:val="24"/>
                <w:lang w:eastAsia="zh-CN"/>
              </w:rPr>
              <w:t>，未针对各项内容进行详细描述的计</w:t>
            </w:r>
            <w:r>
              <w:rPr>
                <w:rFonts w:hint="eastAsia" w:ascii="仿宋" w:hAnsi="仿宋" w:eastAsia="仿宋" w:cs="仿宋"/>
                <w:color w:val="auto"/>
                <w:spacing w:val="-2"/>
                <w:sz w:val="24"/>
                <w:szCs w:val="24"/>
                <w:lang w:val="en-US" w:eastAsia="zh-CN"/>
              </w:rPr>
              <w:t>0-1.9</w:t>
            </w:r>
            <w:r>
              <w:rPr>
                <w:rFonts w:hint="eastAsia" w:ascii="仿宋" w:hAnsi="仿宋" w:eastAsia="仿宋" w:cs="仿宋"/>
                <w:color w:val="auto"/>
                <w:spacing w:val="-2"/>
                <w:sz w:val="24"/>
                <w:szCs w:val="24"/>
                <w:lang w:eastAsia="zh-CN"/>
              </w:rPr>
              <w:t>分</w:t>
            </w:r>
          </w:p>
          <w:p w14:paraId="653DA7E8">
            <w:pPr>
              <w:pStyle w:val="32"/>
              <w:spacing w:before="140" w:line="369" w:lineRule="auto"/>
              <w:ind w:left="107" w:right="97"/>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lang w:eastAsia="zh-CN"/>
              </w:rPr>
              <w:t>）未提供不计分。</w:t>
            </w:r>
          </w:p>
        </w:tc>
      </w:tr>
      <w:tr w14:paraId="41FE9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0" w:type="auto"/>
            <w:noWrap w:val="0"/>
            <w:vAlign w:val="center"/>
          </w:tcPr>
          <w:p w14:paraId="3BBCA8BB">
            <w:pPr>
              <w:jc w:val="center"/>
              <w:rPr>
                <w:rFonts w:hint="eastAsia" w:ascii="仿宋" w:hAnsi="仿宋" w:eastAsia="仿宋" w:cs="仿宋"/>
                <w:color w:val="auto"/>
                <w:spacing w:val="-6"/>
                <w:sz w:val="24"/>
                <w:szCs w:val="24"/>
                <w:lang w:eastAsia="en-US"/>
              </w:rPr>
            </w:pPr>
            <w:r>
              <w:rPr>
                <w:rFonts w:hint="eastAsia" w:ascii="仿宋" w:hAnsi="仿宋" w:eastAsia="仿宋" w:cs="仿宋"/>
                <w:color w:val="auto"/>
                <w:spacing w:val="-5"/>
                <w:sz w:val="24"/>
                <w:szCs w:val="24"/>
                <w:lang w:eastAsia="en-US"/>
              </w:rPr>
              <w:t>业绩</w:t>
            </w:r>
          </w:p>
        </w:tc>
        <w:tc>
          <w:tcPr>
            <w:tcW w:w="523" w:type="dxa"/>
            <w:noWrap w:val="0"/>
            <w:vAlign w:val="center"/>
          </w:tcPr>
          <w:p w14:paraId="2CEA27D9">
            <w:pPr>
              <w:jc w:val="center"/>
              <w:rPr>
                <w:rFonts w:hint="eastAsia" w:ascii="仿宋" w:hAnsi="仿宋" w:eastAsia="仿宋" w:cs="仿宋"/>
                <w:color w:val="auto"/>
                <w:sz w:val="24"/>
                <w:szCs w:val="24"/>
                <w:lang w:eastAsia="en-US"/>
              </w:rPr>
            </w:pPr>
            <w:r>
              <w:rPr>
                <w:rFonts w:hint="eastAsia" w:ascii="仿宋" w:hAnsi="仿宋" w:eastAsia="仿宋" w:cs="仿宋"/>
                <w:color w:val="auto"/>
                <w:sz w:val="24"/>
                <w:szCs w:val="24"/>
                <w:lang w:val="en-US" w:eastAsia="zh-CN"/>
              </w:rPr>
              <w:t>10</w:t>
            </w:r>
            <w:r>
              <w:rPr>
                <w:rFonts w:hint="eastAsia" w:ascii="仿宋" w:hAnsi="仿宋" w:eastAsia="仿宋" w:cs="仿宋"/>
                <w:color w:val="auto"/>
                <w:spacing w:val="-10"/>
                <w:sz w:val="24"/>
                <w:szCs w:val="24"/>
                <w:lang w:eastAsia="en-US"/>
              </w:rPr>
              <w:t>分</w:t>
            </w:r>
          </w:p>
        </w:tc>
        <w:tc>
          <w:tcPr>
            <w:tcW w:w="7025" w:type="dxa"/>
            <w:noWrap w:val="0"/>
            <w:vAlign w:val="top"/>
          </w:tcPr>
          <w:p w14:paraId="19ECA738">
            <w:pPr>
              <w:pStyle w:val="32"/>
              <w:spacing w:before="140"/>
              <w:ind w:left="107"/>
              <w:rPr>
                <w:rFonts w:hint="eastAsia" w:ascii="仿宋" w:hAnsi="仿宋" w:eastAsia="仿宋" w:cs="仿宋"/>
                <w:color w:val="auto"/>
                <w:spacing w:val="-2"/>
                <w:sz w:val="24"/>
                <w:szCs w:val="24"/>
                <w:lang w:eastAsia="zh-CN"/>
              </w:rPr>
            </w:pPr>
            <w:r>
              <w:rPr>
                <w:rFonts w:hint="eastAsia" w:ascii="仿宋" w:hAnsi="仿宋" w:eastAsia="仿宋" w:cs="仿宋"/>
                <w:color w:val="auto"/>
                <w:spacing w:val="-9"/>
                <w:sz w:val="24"/>
                <w:szCs w:val="24"/>
                <w:lang w:eastAsia="zh-CN"/>
              </w:rPr>
              <w:t xml:space="preserve">投标人提供自 </w:t>
            </w:r>
            <w:r>
              <w:rPr>
                <w:rFonts w:hint="eastAsia" w:ascii="仿宋" w:hAnsi="仿宋" w:eastAsia="仿宋" w:cs="仿宋"/>
                <w:color w:val="auto"/>
                <w:sz w:val="24"/>
                <w:szCs w:val="24"/>
                <w:lang w:eastAsia="zh-CN"/>
              </w:rPr>
              <w:t>2023</w:t>
            </w:r>
            <w:r>
              <w:rPr>
                <w:rFonts w:hint="eastAsia" w:ascii="仿宋" w:hAnsi="仿宋" w:eastAsia="仿宋" w:cs="仿宋"/>
                <w:color w:val="auto"/>
                <w:spacing w:val="-40"/>
                <w:sz w:val="24"/>
                <w:szCs w:val="24"/>
                <w:lang w:eastAsia="zh-CN"/>
              </w:rPr>
              <w:t xml:space="preserve"> 年 </w:t>
            </w:r>
            <w:r>
              <w:rPr>
                <w:rFonts w:hint="eastAsia" w:ascii="仿宋" w:hAnsi="仿宋" w:eastAsia="仿宋" w:cs="仿宋"/>
                <w:color w:val="auto"/>
                <w:sz w:val="24"/>
                <w:szCs w:val="24"/>
                <w:lang w:eastAsia="zh-CN"/>
              </w:rPr>
              <w:t>0</w:t>
            </w:r>
            <w:r>
              <w:rPr>
                <w:rFonts w:hint="eastAsia" w:ascii="仿宋" w:hAnsi="仿宋" w:eastAsia="仿宋" w:cs="仿宋"/>
                <w:color w:val="auto"/>
                <w:sz w:val="24"/>
                <w:szCs w:val="24"/>
                <w:lang w:val="en-US" w:eastAsia="zh-CN"/>
              </w:rPr>
              <w:t>7</w:t>
            </w:r>
            <w:r>
              <w:rPr>
                <w:rFonts w:hint="eastAsia" w:ascii="仿宋" w:hAnsi="仿宋" w:eastAsia="仿宋" w:cs="仿宋"/>
                <w:color w:val="auto"/>
                <w:spacing w:val="-40"/>
                <w:sz w:val="24"/>
                <w:szCs w:val="24"/>
                <w:lang w:eastAsia="zh-CN"/>
              </w:rPr>
              <w:t xml:space="preserve"> 月 </w:t>
            </w:r>
            <w:r>
              <w:rPr>
                <w:rFonts w:hint="eastAsia" w:ascii="仿宋" w:hAnsi="仿宋" w:eastAsia="仿宋" w:cs="仿宋"/>
                <w:color w:val="auto"/>
                <w:sz w:val="24"/>
                <w:szCs w:val="24"/>
                <w:lang w:eastAsia="zh-CN"/>
              </w:rPr>
              <w:t>01</w:t>
            </w:r>
            <w:r>
              <w:rPr>
                <w:rFonts w:hint="eastAsia" w:ascii="仿宋" w:hAnsi="仿宋" w:eastAsia="仿宋" w:cs="仿宋"/>
                <w:color w:val="auto"/>
                <w:spacing w:val="-15"/>
                <w:sz w:val="24"/>
                <w:szCs w:val="24"/>
                <w:lang w:eastAsia="zh-CN"/>
              </w:rPr>
              <w:t xml:space="preserve"> 日至今类似项目业绩</w:t>
            </w:r>
            <w:r>
              <w:rPr>
                <w:rFonts w:hint="eastAsia" w:ascii="仿宋" w:hAnsi="仿宋" w:eastAsia="仿宋" w:cs="仿宋"/>
                <w:color w:val="auto"/>
                <w:sz w:val="24"/>
                <w:szCs w:val="24"/>
                <w:lang w:eastAsia="zh-CN"/>
              </w:rPr>
              <w:t>（</w:t>
            </w:r>
            <w:r>
              <w:rPr>
                <w:rFonts w:hint="eastAsia" w:ascii="仿宋" w:hAnsi="仿宋" w:eastAsia="仿宋" w:cs="仿宋"/>
                <w:color w:val="auto"/>
                <w:spacing w:val="-2"/>
                <w:sz w:val="24"/>
                <w:szCs w:val="24"/>
                <w:lang w:eastAsia="zh-CN"/>
              </w:rPr>
              <w:t>以合同签订时间</w:t>
            </w:r>
            <w:r>
              <w:rPr>
                <w:rFonts w:hint="eastAsia" w:ascii="仿宋" w:hAnsi="仿宋" w:eastAsia="仿宋" w:cs="仿宋"/>
                <w:color w:val="auto"/>
                <w:spacing w:val="-4"/>
                <w:sz w:val="24"/>
                <w:szCs w:val="24"/>
                <w:lang w:eastAsia="zh-CN"/>
              </w:rPr>
              <w:t>或中标通知书时间为准，复印件加盖单位公章）</w:t>
            </w:r>
            <w:r>
              <w:rPr>
                <w:rFonts w:hint="eastAsia" w:ascii="仿宋" w:hAnsi="仿宋" w:eastAsia="仿宋" w:cs="仿宋"/>
                <w:color w:val="auto"/>
                <w:spacing w:val="-9"/>
                <w:sz w:val="24"/>
                <w:szCs w:val="24"/>
                <w:lang w:eastAsia="zh-CN"/>
              </w:rPr>
              <w:t xml:space="preserve">。每提供一份得 </w:t>
            </w:r>
            <w:r>
              <w:rPr>
                <w:rFonts w:hint="eastAsia" w:ascii="仿宋" w:hAnsi="仿宋" w:eastAsia="仿宋" w:cs="仿宋"/>
                <w:color w:val="auto"/>
                <w:spacing w:val="-4"/>
                <w:sz w:val="24"/>
                <w:szCs w:val="24"/>
                <w:lang w:val="en-US" w:eastAsia="zh-CN"/>
              </w:rPr>
              <w:t>2.5</w:t>
            </w:r>
            <w:r>
              <w:rPr>
                <w:rFonts w:hint="eastAsia" w:ascii="仿宋" w:hAnsi="仿宋" w:eastAsia="仿宋" w:cs="仿宋"/>
                <w:color w:val="auto"/>
                <w:spacing w:val="-17"/>
                <w:sz w:val="24"/>
                <w:szCs w:val="24"/>
                <w:lang w:eastAsia="zh-CN"/>
              </w:rPr>
              <w:t xml:space="preserve"> 分，</w:t>
            </w:r>
            <w:r>
              <w:rPr>
                <w:rFonts w:hint="eastAsia" w:ascii="仿宋" w:hAnsi="仿宋" w:eastAsia="仿宋" w:cs="仿宋"/>
                <w:color w:val="auto"/>
                <w:spacing w:val="-20"/>
                <w:sz w:val="24"/>
                <w:szCs w:val="24"/>
                <w:lang w:eastAsia="zh-CN"/>
              </w:rPr>
              <w:t>满分</w:t>
            </w:r>
            <w:r>
              <w:rPr>
                <w:rFonts w:hint="eastAsia" w:ascii="仿宋" w:hAnsi="仿宋" w:eastAsia="仿宋" w:cs="仿宋"/>
                <w:color w:val="auto"/>
                <w:sz w:val="24"/>
                <w:szCs w:val="24"/>
                <w:lang w:val="en-US" w:eastAsia="zh-CN"/>
              </w:rPr>
              <w:t>10</w:t>
            </w:r>
            <w:r>
              <w:rPr>
                <w:rFonts w:hint="eastAsia" w:ascii="仿宋" w:hAnsi="仿宋" w:eastAsia="仿宋" w:cs="仿宋"/>
                <w:color w:val="auto"/>
                <w:spacing w:val="-24"/>
                <w:sz w:val="24"/>
                <w:szCs w:val="24"/>
                <w:lang w:eastAsia="zh-CN"/>
              </w:rPr>
              <w:t>分。</w:t>
            </w:r>
          </w:p>
        </w:tc>
      </w:tr>
    </w:tbl>
    <w:p w14:paraId="65D68E4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4.供应商的投标文件中须提供与以上评分因素相关的证明材料。如果发现有弄虚作假的，评标委员会将取消其投标资格。</w:t>
      </w:r>
    </w:p>
    <w:p w14:paraId="75BFE36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 本项目需要落实的政府采购政策</w:t>
      </w:r>
    </w:p>
    <w:p w14:paraId="5D79924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5.1 落实政府采购信用融资有关政策要求</w:t>
      </w:r>
    </w:p>
    <w:p w14:paraId="43B020F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（1）落实政府采购信用融资有关政策要求执行陕西省财政厅关于印发《陕西省中小企业政府采购信用融资办法》（陕财办采〔2018〕23号）文件规定；</w:t>
      </w:r>
    </w:p>
    <w:p w14:paraId="0DAEBB3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（2）有融资需求的供应商可根据自身情况，在陕西省政府采购信用融资平台（网址：</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"http://ccgp-shaanxi.gov.cn/zcdservice/zcd/shanxi/"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http://ccgp-shaanxi.gov.cn/zcdservice/zcd/shanxi/</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自主选择金融机构及其金融产品，凭政府采购中标（中标）通知书或政府采购合同向金融机构提出融资申请（具体程序以平台指南为准）。 目前的合作银行有：北京银行、中国建设银行、中信银行、中国平安银行、中国光大银行、浦发银行、兴业银行、中国工商银行、秦农银行、浙商 银行、中国银行、西安银行、中国农业银行、中国邮政储蓄银行、招商银行、中国民生银行（排名不分先后）。</w:t>
      </w:r>
    </w:p>
    <w:p w14:paraId="5935EC9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5.2 投标企业政府采购政策</w:t>
      </w:r>
    </w:p>
    <w:p w14:paraId="7764B2E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（1）中小企业落实政府采购政策</w:t>
      </w:r>
    </w:p>
    <w:p w14:paraId="179229B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1）项目执行《政府采购促进中小企业发展管理办法》（财库〔2020〕46 号）、财政部关于进一步加大政府采购支持中小企业力度的通知（财库〔2022〕19 号）</w:t>
      </w:r>
      <w:r>
        <w:rPr>
          <w:rFonts w:hint="eastAsia" w:ascii="仿宋" w:hAnsi="仿宋" w:eastAsia="仿宋" w:cs="仿宋"/>
          <w:color w:val="auto"/>
          <w:sz w:val="24"/>
          <w:szCs w:val="24"/>
          <w:lang w:eastAsia="zh-CN"/>
        </w:rPr>
        <w:t>，</w:t>
      </w:r>
    </w:p>
    <w:p w14:paraId="65BA68C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对符合政府采购关于中小企业扶持政策的小微企业投标人的报价给予 10%的扣除，用扣除后的价格参与评审。</w:t>
      </w:r>
    </w:p>
    <w:p w14:paraId="2F4B959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本招标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划分标准见《中小企业划型标准规定》（工信部联企业〔2011〕300 号）。</w:t>
      </w:r>
    </w:p>
    <w:p w14:paraId="62E971C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3)投标人提供的货物、工程或者服务符合下列情形的，享受前款办法规定的中小企业扶持政策：</w:t>
      </w:r>
    </w:p>
    <w:p w14:paraId="77BAEDD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①在货物采购项目中，货物由中小企业制造，即货物由中小企业生产且使用该中小企业商号或者注册商标；</w:t>
      </w:r>
    </w:p>
    <w:p w14:paraId="2D043CA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②在工程采购项目中，工程由中小企业承建，即工程施工单位为中小企业；</w:t>
      </w:r>
    </w:p>
    <w:p w14:paraId="2B99B73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③在服务采购项目中，服务由中小企业承接，即提供服务的人员为中小企业依照《中华人民共和国劳动法》订立劳动合同的从业人员。</w:t>
      </w:r>
    </w:p>
    <w:p w14:paraId="50D3838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在货物采购项目中，投标人提供的货物既有中小企业制造货物，也有大型企业制造货物的，不享受本办法规定的中小企业扶持政策。</w:t>
      </w:r>
    </w:p>
    <w:p w14:paraId="41E20E6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以联合体形式参加政府采购活动，联合体各方均为中小企业的，联合体视同中小企业。其中，联合体各方均为小微企业的，联合体视同小微企业。</w:t>
      </w:r>
    </w:p>
    <w:p w14:paraId="6C5D1C5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5.2.1 政府采购监督检查、投诉处理及政府采购行政处罚中对中小企业的认定，由货物制造商或者工程、服务投标人注册登记所在地的县级以上人民政府中小企业主管部门负责。</w:t>
      </w:r>
    </w:p>
    <w:p w14:paraId="71819BA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5.2.2 投标人需根据《政府采购促进中小企业发展管理办法》（财库〔2020〕46号）、财政部关于进一步加大政府采购支持中小企业力度的通知（财库〔2022〕19号）和《中小企业划型标准规定》（工信部联企业〔2011〕300 号）对照自身情况及所提供产品的制造商、服务商的信息自行判断是否全部属于中小微企业。出具《中小企业声明函》（见投标文件格式）的小微企业，享受小微企业扶持，否则不享受相关中小企业扶持政策。投标人提供的《中小企业声明函》在公示中标结果时公开。</w:t>
      </w:r>
    </w:p>
    <w:p w14:paraId="239282F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5.2.3 投标人应对其出具的《中小企业声明函》真实性负责，投标人出具的《中小企业声明函》内容不实的，属于提供虚假材料谋取中标。</w:t>
      </w:r>
    </w:p>
    <w:p w14:paraId="5DBAED9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5.3 监狱企业政策</w:t>
      </w:r>
    </w:p>
    <w:p w14:paraId="00EB5E3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 符合《财政部司法部关于政府采购支持监狱企业发展有关问题的通知》</w:t>
      </w:r>
    </w:p>
    <w:p w14:paraId="3840812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（财库〔2014〕68 号）的监狱和戒毒企业，提供省级以上监狱管理局、戒毒管理局（含新疆生产建设兵团）出具属于监狱、戒毒企业的证明的，视同小型、微型企业享受 10%的价格扣除，监狱、戒毒企业属于小型、微型企业的，不重复享受价格优惠政策。</w:t>
      </w:r>
    </w:p>
    <w:p w14:paraId="29DD570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 投标人为监狱企业且所投货物全部由监狱企业制造的，应当提供由省级以</w:t>
      </w:r>
    </w:p>
    <w:p w14:paraId="5D383A7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上监狱管理局、戒毒管理局出具的属于监狱企业的证明文件，未提供或出具证明文件的单位不符合要求的，不视为小型微型企业。</w:t>
      </w:r>
    </w:p>
    <w:p w14:paraId="504DD9A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5.4 残疾人福利性单位政策</w:t>
      </w:r>
    </w:p>
    <w:p w14:paraId="591B82E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 符合财政部、民政部、中国残疾人联合会下发的《关于促进残疾人就业政</w:t>
      </w:r>
    </w:p>
    <w:p w14:paraId="748607C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府采购政策的通知》（财库〔2017〕141 号）并提供本单位制造的货物、承担的工程或者服务，或者提供其他残疾人福利性单位制造的货物（不包括使用非残疾人福利性单位注册商标的货物）的投标人，视同小型、微型企业享受 10%的价格扣除。残疾人福利性单位属于小型、微型企业的，不重复享受价格优惠政策。</w:t>
      </w:r>
    </w:p>
    <w:p w14:paraId="2C9F6B6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(2)投标人为残疾人福利性单位且所投货物全部由残疾人福利性单位制造的，应当提供《残疾人福利性单位声明函》，未提供的不视为小型微型企业。</w:t>
      </w:r>
    </w:p>
    <w:p w14:paraId="1AAFE03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5.5 节能环境标志产品政策</w:t>
      </w:r>
    </w:p>
    <w:p w14:paraId="5F267DC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 执行《财政部发展改革委生态环境部市场监管总局关于调整优化节能产品、环境标志产品政府采购执行机制的通知》（财库〔2019〕9 号）《环境标志产品政府采购实施的意见》（财库〔2006〕90 号）《国务院办公厅关于建立政府强制采购节能产品制度的通知》（国办发〔2007〕51 号）等政府采购政策，对获得符合政府采购政策的产品实施政府优先采购或强制采购。</w:t>
      </w:r>
    </w:p>
    <w:p w14:paraId="784EEBB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(2)投标人可以提供所投产品经国家确定的认证机构出具的、处于有效期之内的</w:t>
      </w:r>
    </w:p>
    <w:p w14:paraId="260082E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节能产品、环境标志产品认证证书扫描件。采购代理机构通过中国政府采购网（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www.ccgp.gov.cn/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）对获证产品信息进行核对。</w:t>
      </w:r>
    </w:p>
    <w:p w14:paraId="334F492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(3)投标人所投产品属于下列情形之一的，本应属于优先采购的，不再享受优先采购政策；属于强制采购的，则按无效投标文件处理：</w:t>
      </w:r>
    </w:p>
    <w:p w14:paraId="627221B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1）未提供认证证书扫描件或经核对认证证书存在信息有误的；</w:t>
      </w:r>
    </w:p>
    <w:p w14:paraId="793F9BE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2）认证证书已过期。</w:t>
      </w:r>
    </w:p>
    <w:p w14:paraId="1DDCE78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①享受中小企业政府采购扶持政策的投标人，可以同时享受节能产品、环境标志产品优先采购政策。</w:t>
      </w:r>
    </w:p>
    <w:p w14:paraId="07BF936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②鼓励中标（中标）供应商在提供货物（产品）包装、运输按照《商品包装政府采购需求标准（试行）》（财办库〔2020〕）123 号）、《快递包装政府采购需求标准（试行）》（财办库〔2020〕 ）123 号）规定的环保要求进行包装。</w:t>
      </w:r>
    </w:p>
    <w:p w14:paraId="4E5818E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6.对于符合政策性优惠的，其评标价按照以下规则进行计算调整。</w:t>
      </w:r>
    </w:p>
    <w:p w14:paraId="1D51D98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6.1 符合（财库〔2020〕46 号）、（财库〔2022〕19 号）文件规定的小微企业单位的评标价计算规则：</w:t>
      </w:r>
    </w:p>
    <w:p w14:paraId="79304CE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6.2 对符合规定的小型和微型企业（非联合体投标）报价给予 10%的扣除，用扣除后的价格参加评审。</w:t>
      </w:r>
    </w:p>
    <w:p w14:paraId="44057E7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其评标价=投标报价*（1-10%）</w:t>
      </w:r>
    </w:p>
    <w:p w14:paraId="2F1A533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6.3 确认为小微企业（含小型、微型企业，下同）投标的，应当同时符合以下条件：</w:t>
      </w:r>
    </w:p>
    <w:p w14:paraId="76F71CE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（1）符合国务院有关部门根据企业从业人员、营业收入、资产总额等指标制定的中小企业划型标准（工信部联企业〔2011〕300 号）；</w:t>
      </w:r>
    </w:p>
    <w:p w14:paraId="5783370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（2）在货物采购项目中，货物由中小企业制造，即货物由中小企业生产且使用该中小企业商号或者注册商标；</w:t>
      </w:r>
    </w:p>
    <w:p w14:paraId="3183D27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（3）投标时须提供《中小企业声明函》；</w:t>
      </w:r>
    </w:p>
    <w:p w14:paraId="18FC9E0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6.4 符合（财库〔2017〕141 号）文件规定的残疾人福利性单位的评标价计算规则：</w:t>
      </w:r>
    </w:p>
    <w:p w14:paraId="443273D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在政府采购活动中，残疾人福利性单位视同小型、微型企业，享受预留份额、评审中价格扣除等促进中小企业发展的政府采购政策。向残疾人福利性单位采购的金额，计入面向中小企业采购的统计数据。报价给予 10%的扣除，用扣除后的价格参加评审。</w:t>
      </w:r>
    </w:p>
    <w:p w14:paraId="472600B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其评标价=投标报价*（1-10%）</w:t>
      </w:r>
    </w:p>
    <w:p w14:paraId="26CE79F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(2)确认为残疾人福利性单位投标的，应当同时符合以下条件：</w:t>
      </w:r>
    </w:p>
    <w:p w14:paraId="449FEA7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1）符合（财库〔2017〕141 号）文件相关规定。</w:t>
      </w:r>
    </w:p>
    <w:p w14:paraId="49C33E5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2）投标时提供本单位制造的货物、承担的工程或者服务（以下简称产品），或者提供其他残疾人福利性单位制造的货物（不包括使用非残疾人福利性单位注册商标的货物）。</w:t>
      </w:r>
    </w:p>
    <w:p w14:paraId="3D86AC2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3）投标人须提供《残疾人福利性单位声明函》。</w:t>
      </w:r>
    </w:p>
    <w:p w14:paraId="2F3090E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6.5 符合（财库〔2014〕68 号）文件规定的监狱企业的评标价计算规则：</w:t>
      </w:r>
    </w:p>
    <w:p w14:paraId="49E45A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(1)在政府采购活动中，监狱企业视同小型、微型企业，享受预留份额、评审中价格扣除等政府采购促进中小企业发展的政府采购政策。向监狱企业采购的金额，计入面向中小企业采购的统计数据。报价给予 10%的扣除，用扣除后的价格参加评审。</w:t>
      </w:r>
    </w:p>
    <w:p w14:paraId="6B5541F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其评标价=投标报价*（1-10%）</w:t>
      </w:r>
    </w:p>
    <w:p w14:paraId="5B79F32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6.6 确认为监狱企业投标的，应当同时符合以下条件：</w:t>
      </w:r>
    </w:p>
    <w:p w14:paraId="438047B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（1）符合（财库〔2014〕68 号）文件相关规定。</w:t>
      </w:r>
    </w:p>
    <w:p w14:paraId="273E759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（2）投标时提供本单位生产的货物，或者提供其他监狱企业生产的货物。</w:t>
      </w:r>
    </w:p>
    <w:p w14:paraId="1691F63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（3）投标人须提供由省级以上监狱管理局、戒毒管理局（含新疆生产建设兵团）出具的属于监狱企业的证明文件。</w:t>
      </w:r>
    </w:p>
    <w:p w14:paraId="28C553B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6.7 符合（财库〔2021〕19 号）文件规定的来自贫困地区提供农副产品的评标价计算规则：</w:t>
      </w:r>
    </w:p>
    <w:p w14:paraId="50C73C8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(1)在政府采购活动中，对于来自贫困地区提供农副产品的投标人，报价给予 5%的扣除，用扣除后的价格参加评审。</w:t>
      </w:r>
    </w:p>
    <w:p w14:paraId="5EBB26C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其评标价=投标报价*（1-5%）</w:t>
      </w:r>
    </w:p>
    <w:p w14:paraId="6268502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(2)确认为来自贫困地区提供农副产品的投标人，应当同时符合以下条件：</w:t>
      </w:r>
    </w:p>
    <w:p w14:paraId="2DCFA57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①符合（财库〔2021〕19 号）文件相关规定，在 832 个国家级贫困县域内注册的企业、农民专业合作社、家庭农场等出产的农副产品。</w:t>
      </w:r>
    </w:p>
    <w:p w14:paraId="7063193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②投标时提供本单位生产的货物，或者提供其他贫困地区生产的货物。</w:t>
      </w:r>
    </w:p>
    <w:p w14:paraId="2DC8B91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③投标人须提供相关证明文件。</w:t>
      </w:r>
    </w:p>
    <w:p w14:paraId="53E5AED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6.8 符合节能产品文件规定的评标价计算规则：</w:t>
      </w:r>
    </w:p>
    <w:p w14:paraId="150F10A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(1)投标货物涉及提供的所有投标产品进入“节能产品政府采购品目清单 ”</w:t>
      </w:r>
    </w:p>
    <w:p w14:paraId="0E0374C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（相关证书的颁发机构应来自《参与实施政府采购节能产品认证机构名录》）的，其评标价=投标报价*（1-3%）；（不是所有投标产品的不享受此项优惠）。</w:t>
      </w:r>
    </w:p>
    <w:p w14:paraId="7E0DFCF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(2)符合环境标志产品文件规定的评标价计算规则：</w:t>
      </w:r>
    </w:p>
    <w:p w14:paraId="0F58C6F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(3)投标货物涉及提供的所有投标产品进入“环境标志产品政府采购品目清单 ”（相关证书的颁发机构应来自《参与实施政府采购环境标志产品认证机构名录》）的，其评标价=投标报价*（1-3%）；（不是所有投标产品的不享受此项优惠）。</w:t>
      </w:r>
    </w:p>
    <w:p w14:paraId="2AE88B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7.评标委员会对进入详细评审的供应商进行综合评分，根据得分由高到低，推荐出一个以上三个以下中标候选单位。如果综合评分出现两个供应商得分相同的情况，按下列顺序排列：</w:t>
      </w:r>
    </w:p>
    <w:p w14:paraId="2E5455B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 投标价格低的；</w:t>
      </w:r>
    </w:p>
    <w:p w14:paraId="33AF720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 技术评估得分高的；</w:t>
      </w:r>
    </w:p>
    <w:p w14:paraId="7E53B0C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 售后服务承诺优的。</w:t>
      </w:r>
    </w:p>
    <w:p w14:paraId="49D22EE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（二十四）评标委员会根据原始评标记录和评标结果编写评标报告，报采购人</w:t>
      </w:r>
      <w:r>
        <w:rPr>
          <w:rFonts w:hint="eastAsia" w:ascii="仿宋" w:hAnsi="仿宋" w:eastAsia="仿宋" w:cs="仿宋"/>
          <w:color w:val="auto"/>
          <w:sz w:val="24"/>
          <w:szCs w:val="24"/>
          <w:lang w:eastAsia="zh-CN"/>
        </w:rPr>
        <w:t>。</w:t>
      </w:r>
    </w:p>
    <w:p w14:paraId="487692B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（二十五）确定中标单位</w:t>
      </w:r>
    </w:p>
    <w:p w14:paraId="4BAD4E3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采购人按照评标委员会推荐的中标供应商排名顺序确定中标单位。</w:t>
      </w:r>
    </w:p>
    <w:p w14:paraId="2248294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七、合同</w:t>
      </w:r>
    </w:p>
    <w:p w14:paraId="168AB39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1、中标人在收到中标通知书后二十五（25）个日历日内，持中标通知书与招标人签订合同。</w:t>
      </w:r>
    </w:p>
    <w:p w14:paraId="6C17FA7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中标人因自身原因不按规定与招标人签订供货合同或者拒绝与招标人签订合同的，则招标人将废除授标，并依法承担相应法律责任。同时，招标人可以按照评审报告推荐的中标候选人名单排序，确定下一候选人为中标人，以此类推，也可以重新开展政府采购活动。因自身原因拒绝签订政府采购合同的或者未按合同约定进行履约的，中标人不得参加对该项目重新开展的招标活动。</w:t>
      </w:r>
    </w:p>
    <w:p w14:paraId="65715C6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3、中标通知书将是合同的重要组成部分。招标文件、中标人的投标文件及评议过程中有关的澄清文件均作为合同附件。</w:t>
      </w:r>
    </w:p>
    <w:p w14:paraId="1DF0259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4、中标后，中标人应按照合同约定履行义务，完成招标项目的供货，不允许中标后另行转包或者分包履行。</w:t>
      </w:r>
    </w:p>
    <w:p w14:paraId="2F118B3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5、所签订的合同不得对招标文件确定的事项和中标人投标文件作实质性修改。</w:t>
      </w:r>
    </w:p>
    <w:p w14:paraId="65CB237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6、招标人需追加与合同标的相同的货物、工程或服务的，在不改变合同其他条款的前提下，可以与中标人协商签订补充合同，但所有补充合同的采购金额不得超过原合同采购金额的百分之十。</w:t>
      </w:r>
    </w:p>
    <w:p w14:paraId="1B4A1FF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八、合同的履约验收</w:t>
      </w:r>
    </w:p>
    <w:p w14:paraId="0F5874C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招标人应按照政府采购合同约定的技术、服务、安全标准组织对投标人每一项技术、服务、安全标准的履约情况进行验收。</w:t>
      </w:r>
    </w:p>
    <w:p w14:paraId="26E2695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九、招标服务费</w:t>
      </w:r>
    </w:p>
    <w:p w14:paraId="782FA0C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1、参照国家计委关于印发《招标代理服务收费管理暂行办法》的通知(计价格</w:t>
      </w:r>
    </w:p>
    <w:p w14:paraId="36967A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(2002) 1980号)、《国家发展和改革委员会办公关于招代理服务收费有关问题的通知 》 (发改办价格 (2003)857号)规定采用差额定率累进计费方式计取，招标代理服务费由中标（中标）供应商向安康市兴盛工程造价咨询有限公司缴纳。</w:t>
      </w:r>
    </w:p>
    <w:p w14:paraId="4F9A245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2、招标服务费应采用转账、现金形式缴纳。</w:t>
      </w:r>
    </w:p>
    <w:p w14:paraId="38B7332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十、重新组织采购活动</w:t>
      </w:r>
    </w:p>
    <w:p w14:paraId="624E8EA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如果发生下列情况之一，招标人和招标代理机构将按《政府采购法》、《政府采购货物与服务招标投标管理办法》（财政部令第 87 号）重新组织采购活动：</w:t>
      </w:r>
    </w:p>
    <w:p w14:paraId="4A3B627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（1）投标截止后投标人不足3家或者通过资格审查或符合性审查的投标人不足 3家的；</w:t>
      </w:r>
    </w:p>
    <w:p w14:paraId="7E38A71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（2）出现影响采购公正的违法、违规行为的；</w:t>
      </w:r>
    </w:p>
    <w:p w14:paraId="35A4466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（3）所有投标人的报价均超出采购预算，招标人不能支付的；</w:t>
      </w:r>
    </w:p>
    <w:p w14:paraId="75001BA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（4）因重大变故，采购任务取消的。</w:t>
      </w:r>
    </w:p>
    <w:p w14:paraId="39782C0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w:t>
      </w:r>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、特殊情况处理</w:t>
      </w:r>
    </w:p>
    <w:p w14:paraId="26E6DD5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若在实施采购项目过程中，因在不同阶段有效投标人不足三家，申请变更采购方式的，应按照《白河县财政局关于进一步规范市级预算单位变更政府采购方式审批管理的通知》执行。）</w:t>
      </w:r>
    </w:p>
    <w:p w14:paraId="387140F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w:t>
      </w:r>
      <w:r>
        <w:rPr>
          <w:rFonts w:hint="eastAsia" w:ascii="仿宋" w:hAnsi="仿宋" w:eastAsia="仿宋" w:cs="仿宋"/>
          <w:b/>
          <w:bCs/>
          <w:color w:val="auto"/>
          <w:sz w:val="24"/>
          <w:szCs w:val="24"/>
          <w:lang w:val="en-US" w:eastAsia="zh-CN"/>
        </w:rPr>
        <w:t>二</w:t>
      </w:r>
      <w:r>
        <w:rPr>
          <w:rFonts w:hint="eastAsia" w:ascii="仿宋" w:hAnsi="仿宋" w:eastAsia="仿宋" w:cs="仿宋"/>
          <w:b/>
          <w:bCs/>
          <w:color w:val="auto"/>
          <w:sz w:val="24"/>
          <w:szCs w:val="24"/>
        </w:rPr>
        <w:t>、询问、质疑与投诉</w:t>
      </w:r>
    </w:p>
    <w:p w14:paraId="551FD96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1.询问</w:t>
      </w:r>
    </w:p>
    <w:p w14:paraId="75649FB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投标人对政府采购活动事项有疑问的，可以向招标人、招标代理机构提出询问</w:t>
      </w:r>
      <w:r>
        <w:rPr>
          <w:rFonts w:hint="eastAsia" w:ascii="仿宋" w:hAnsi="仿宋" w:eastAsia="仿宋" w:cs="仿宋"/>
          <w:color w:val="auto"/>
          <w:sz w:val="24"/>
          <w:szCs w:val="24"/>
          <w:lang w:eastAsia="zh-CN"/>
        </w:rPr>
        <w:t>。</w:t>
      </w:r>
    </w:p>
    <w:p w14:paraId="2686B3D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2.质疑</w:t>
      </w:r>
    </w:p>
    <w:p w14:paraId="003D78F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（1）供应商认为采购文件、采购过程、中标或者中标结果使自己的权益受到损害的，可以在知道或者应知其权益受到损害之日起 7 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0A1DFC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（2）提出质疑的供应商应当是参与本项目采购活动的供应商。</w:t>
      </w:r>
    </w:p>
    <w:p w14:paraId="7DDD097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（3）潜在供应商已依法获取其可质疑的采购文件的，可以对该文件提出质疑。对采购文件提出质疑的，应当在获取采购文件（以供应商填写报名登记表的时间为准）起 </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 xml:space="preserve"> 个工作日内提出。</w:t>
      </w:r>
    </w:p>
    <w:p w14:paraId="12D8298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（4）供应商提出质疑应当提交质疑函和必要的证明材料，质疑函应包括下列内容：</w:t>
      </w:r>
    </w:p>
    <w:p w14:paraId="1BFF912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 供应商的姓名或者名称、地址、邮编、联系人及联系电话；</w:t>
      </w:r>
    </w:p>
    <w:p w14:paraId="454F9B7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 质疑项目的名称、编号；</w:t>
      </w:r>
    </w:p>
    <w:p w14:paraId="54C8E5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 具体、明确的质疑事项和与质疑事项相关的请求；</w:t>
      </w:r>
    </w:p>
    <w:p w14:paraId="320F7D2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④ 事实依据；</w:t>
      </w:r>
    </w:p>
    <w:p w14:paraId="7C22800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⑤ 必要的法律依据；</w:t>
      </w:r>
    </w:p>
    <w:p w14:paraId="29FEEB1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⑥ 提出质疑的日期。</w:t>
      </w:r>
    </w:p>
    <w:p w14:paraId="4010550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（5）供应商为自然人的，应当由本人签字；供应商为法人或者其他组织的，应当由法定代表人、主要负责人，或者其授权代表签字或者盖章并加盖公章。</w:t>
      </w:r>
    </w:p>
    <w:p w14:paraId="798F7F5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B4FF35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（7）采购人负责供应商质疑答复。采购人委托采购代理机构采购的，采购代理机构在委托授权范围内作出答复。</w:t>
      </w:r>
    </w:p>
    <w:p w14:paraId="71C0515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（8）接收质疑函的方式：</w:t>
      </w:r>
    </w:p>
    <w:p w14:paraId="23766A0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 接收质疑函的方式：书面递交质疑函纸质版（当面递交）或 PDF 格式扫描件（发至电子邮箱）</w:t>
      </w:r>
    </w:p>
    <w:p w14:paraId="4425E0B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 联系方式</w:t>
      </w:r>
    </w:p>
    <w:p w14:paraId="45DC9FF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 购 人：白河县城关镇中心小学</w:t>
      </w:r>
    </w:p>
    <w:p w14:paraId="26FF9AB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地址：白河县城关镇狮子山社区</w:t>
      </w:r>
    </w:p>
    <w:p w14:paraId="4F24986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联系方式：0915-7812990</w:t>
      </w:r>
    </w:p>
    <w:p w14:paraId="64C1C7A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采购代理机构：安康市兴盛工程造价咨询有限公司</w:t>
      </w:r>
    </w:p>
    <w:p w14:paraId="4CD125A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址：陕西省安康市汉滨区大桥路鑫街口公寓4楼</w:t>
      </w:r>
    </w:p>
    <w:p w14:paraId="3C7B2D9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联</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系</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方</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式：</w:t>
      </w:r>
      <w:r>
        <w:rPr>
          <w:rFonts w:hint="eastAsia" w:ascii="仿宋" w:hAnsi="仿宋" w:eastAsia="仿宋" w:cs="仿宋"/>
          <w:color w:val="auto"/>
          <w:sz w:val="24"/>
          <w:szCs w:val="24"/>
          <w:lang w:val="en-US" w:eastAsia="zh-CN"/>
        </w:rPr>
        <w:t>15929152837</w:t>
      </w:r>
    </w:p>
    <w:p w14:paraId="1048AFD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3.投诉</w:t>
      </w:r>
    </w:p>
    <w:p w14:paraId="6F3DA5A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（1）质疑供应商对采购人、采购代理机构的答复不满意，或者采购人、采购代理机构未在规定时间内作出答复的，可以在答复期满后 15 个工作日内向同级财政部门提起投诉。</w:t>
      </w:r>
    </w:p>
    <w:p w14:paraId="1F2BC6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4A4735BC">
      <w:pPr>
        <w:keepNext w:val="0"/>
        <w:keepLines w:val="0"/>
        <w:pageBreakBefore w:val="0"/>
        <w:widowControl/>
        <w:kinsoku w:val="0"/>
        <w:wordWrap/>
        <w:overflowPunct/>
        <w:topLinePunct w:val="0"/>
        <w:autoSpaceDE w:val="0"/>
        <w:autoSpaceDN w:val="0"/>
        <w:bidi w:val="0"/>
        <w:adjustRightInd w:val="0"/>
        <w:snapToGrid w:val="0"/>
        <w:spacing w:line="460" w:lineRule="exact"/>
        <w:ind w:left="479" w:leftChars="228" w:firstLine="0" w:firstLineChars="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 投诉人和被投诉人的姓名或者名称、通讯地址、邮编、联系人及联系电话；② 质疑和质疑答复情况说明及相关证明材料；</w:t>
      </w:r>
    </w:p>
    <w:p w14:paraId="056FBD0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 具体、明确的投诉事项和与投诉事项相关的投诉请求；</w:t>
      </w:r>
    </w:p>
    <w:p w14:paraId="2C79832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④ 事实依据；</w:t>
      </w:r>
    </w:p>
    <w:p w14:paraId="521A182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⑤ 法律依据；</w:t>
      </w:r>
    </w:p>
    <w:p w14:paraId="58A8B53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⑥ 提起投诉的日期。</w:t>
      </w:r>
    </w:p>
    <w:p w14:paraId="7D711D2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（3）投诉人为自然人的，应当由本人签字；投诉人为法人或者其他组织的，应当由法定代表人、主要负责人，或者其授权代表签字或者盖章，并加盖公章。</w:t>
      </w:r>
    </w:p>
    <w:p w14:paraId="68A8D55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（4）投诉人提起投诉应当符合下列条件：</w:t>
      </w:r>
    </w:p>
    <w:p w14:paraId="5A7B73C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① 提起投诉前已依法进行质疑；</w:t>
      </w:r>
    </w:p>
    <w:p w14:paraId="65B358E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 投诉书内容符合《政府采购质疑和投诉办法》（财政部令第 94 号令）的规定；</w:t>
      </w:r>
    </w:p>
    <w:p w14:paraId="0ACCC9A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 在投诉有效期限内提起投诉；</w:t>
      </w:r>
    </w:p>
    <w:p w14:paraId="0DABADA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④ 同一投诉事项未经财政部门投诉处理；</w:t>
      </w:r>
    </w:p>
    <w:p w14:paraId="416B83C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⑤ 财政部规定的其他条件。</w:t>
      </w:r>
    </w:p>
    <w:p w14:paraId="48F703C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（5）供应商投诉的事项不得超出已质疑事项的范围，但基于质疑答复内容提出的投诉事项除外。</w:t>
      </w:r>
    </w:p>
    <w:p w14:paraId="500A89BE">
      <w:pPr>
        <w:keepNext w:val="0"/>
        <w:keepLines w:val="0"/>
        <w:pageBreakBefore w:val="0"/>
        <w:widowControl/>
        <w:kinsoku w:val="0"/>
        <w:wordWrap/>
        <w:overflowPunct/>
        <w:topLinePunct w:val="0"/>
        <w:autoSpaceDE w:val="0"/>
        <w:autoSpaceDN w:val="0"/>
        <w:bidi w:val="0"/>
        <w:adjustRightInd w:val="0"/>
        <w:snapToGrid w:val="0"/>
        <w:spacing w:line="460" w:lineRule="exact"/>
        <w:ind w:firstLine="482" w:firstLineChars="200"/>
        <w:textAlignment w:val="baseline"/>
        <w:rPr>
          <w:rFonts w:hint="eastAsia" w:ascii="仿宋" w:hAnsi="仿宋" w:eastAsia="仿宋" w:cs="仿宋"/>
          <w:color w:val="auto"/>
          <w:sz w:val="24"/>
          <w:szCs w:val="24"/>
        </w:rPr>
      </w:pPr>
      <w:bookmarkStart w:id="6" w:name="bookmark4"/>
      <w:bookmarkEnd w:id="6"/>
      <w:r>
        <w:rPr>
          <w:rFonts w:hint="eastAsia" w:ascii="仿宋" w:hAnsi="仿宋" w:eastAsia="仿宋" w:cs="仿宋"/>
          <w:b/>
          <w:bCs/>
          <w:color w:val="auto"/>
          <w:sz w:val="24"/>
          <w:szCs w:val="24"/>
          <w:lang w:eastAsia="zh-CN"/>
        </w:rPr>
        <w:t>十三、</w:t>
      </w:r>
      <w:r>
        <w:rPr>
          <w:rFonts w:hint="eastAsia" w:ascii="仿宋" w:hAnsi="仿宋" w:eastAsia="仿宋" w:cs="仿宋"/>
          <w:color w:val="auto"/>
          <w:sz w:val="24"/>
          <w:szCs w:val="24"/>
        </w:rPr>
        <w:t>根据财政部《关于推动解决政府采购异常低价问题的通知》（财库〔2026〕2号）规定，强化政府采购异常低价审查，评审中出现下列情形之一的，评审委员会应当启动异常低价投标（响应）审查程序</w:t>
      </w:r>
      <w:r>
        <w:rPr>
          <w:rFonts w:hint="eastAsia" w:ascii="仿宋" w:hAnsi="仿宋" w:eastAsia="仿宋" w:cs="仿宋"/>
          <w:color w:val="auto"/>
          <w:sz w:val="24"/>
          <w:szCs w:val="24"/>
          <w:lang w:val="en-US" w:eastAsia="zh-CN"/>
        </w:rPr>
        <w:t xml:space="preserve">： </w:t>
      </w:r>
    </w:p>
    <w:p w14:paraId="6A060AD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（1）投标（响应）报价低于全部通过符合性审查供应商投标（响应）报价平均值50%的，即投标（响应）报价&lt;全部通过符合性审查供应商投标（响应）报价平均值×50%； </w:t>
      </w:r>
    </w:p>
    <w:p w14:paraId="4AB3F4B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（2）投标（响应）报价低于通过符合性审查的次低报价供应商投标（响应）报价50%的，即投标（响应）报价&lt;通过符合性审查的次低报价供应商投标（响应）报价×50%； </w:t>
      </w:r>
    </w:p>
    <w:p w14:paraId="48C637C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（3）投标（响应）报价低于采购项目最高限价45%的，即投标（响应）报价&lt;采购项目最高限价×45%； </w:t>
      </w:r>
    </w:p>
    <w:p w14:paraId="2B61290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（4）评审委员会基于专业判断，认为供应商报价过低，有可能影响产品质量或者不能诚信履约的其他情形。 </w:t>
      </w:r>
    </w:p>
    <w:p w14:paraId="5758246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采购人可以结合具体项目实际情况，提高上述第1项至第3项中启动异常低价投标（响应）审查的数值标准，但是最高不得超过65%。</w:t>
      </w:r>
    </w:p>
    <w:p w14:paraId="72B5255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相关法律法规对供应商报价有规定的，从其规定。</w:t>
      </w:r>
    </w:p>
    <w:p w14:paraId="4E7A909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23144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6D8A7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82151C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CAEEE5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FD4267D">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bookmarkStart w:id="7" w:name="_Toc5107"/>
    </w:p>
    <w:p w14:paraId="04508658">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6BEA1571">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0EF2E173">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57A18F2E">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482F51F2">
      <w:pPr>
        <w:rPr>
          <w:rFonts w:hint="eastAsia"/>
          <w:color w:val="auto"/>
          <w:sz w:val="24"/>
          <w:szCs w:val="24"/>
        </w:rPr>
      </w:pPr>
    </w:p>
    <w:p w14:paraId="7C319D9B">
      <w:pPr>
        <w:rPr>
          <w:rFonts w:hint="eastAsia"/>
          <w:color w:val="auto"/>
          <w:sz w:val="24"/>
          <w:szCs w:val="24"/>
        </w:rPr>
      </w:pPr>
    </w:p>
    <w:p w14:paraId="543CA985">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r>
        <w:rPr>
          <w:rFonts w:hint="eastAsia"/>
          <w:color w:val="auto"/>
          <w:sz w:val="24"/>
          <w:szCs w:val="24"/>
        </w:rPr>
        <w:t>第三章 采购内容及要求</w:t>
      </w:r>
      <w:bookmarkEnd w:id="7"/>
    </w:p>
    <w:p w14:paraId="680D062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一、采购内容:</w:t>
      </w:r>
    </w:p>
    <w:p w14:paraId="4B486FC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白河县城关镇第三小学多功能录播教室设备采购项目</w:t>
      </w:r>
    </w:p>
    <w:p w14:paraId="2D08993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2.预算金额：</w:t>
      </w:r>
      <w:r>
        <w:rPr>
          <w:rFonts w:hint="eastAsia" w:ascii="仿宋" w:hAnsi="仿宋" w:eastAsia="仿宋" w:cs="仿宋"/>
          <w:color w:val="auto"/>
          <w:sz w:val="24"/>
          <w:szCs w:val="24"/>
          <w:lang w:val="en-US" w:eastAsia="zh-CN"/>
        </w:rPr>
        <w:t>403,400.00</w:t>
      </w:r>
      <w:r>
        <w:rPr>
          <w:rFonts w:hint="eastAsia" w:ascii="仿宋" w:hAnsi="仿宋" w:eastAsia="仿宋" w:cs="仿宋"/>
          <w:color w:val="auto"/>
          <w:sz w:val="24"/>
          <w:szCs w:val="24"/>
        </w:rPr>
        <w:t xml:space="preserve"> 元</w:t>
      </w:r>
    </w:p>
    <w:p w14:paraId="7A3383D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b/>
          <w:bCs/>
          <w:color w:val="auto"/>
          <w:sz w:val="24"/>
          <w:szCs w:val="24"/>
        </w:rPr>
        <w:t>二、交货期：</w:t>
      </w:r>
      <w:r>
        <w:rPr>
          <w:rFonts w:hint="eastAsia" w:ascii="仿宋" w:hAnsi="仿宋" w:eastAsia="仿宋" w:cs="仿宋"/>
          <w:b/>
          <w:bCs/>
          <w:color w:val="auto"/>
          <w:sz w:val="24"/>
          <w:szCs w:val="24"/>
          <w:lang w:val="en-US" w:eastAsia="zh-CN"/>
        </w:rPr>
        <w:t>15</w:t>
      </w:r>
      <w:r>
        <w:rPr>
          <w:rFonts w:hint="eastAsia" w:ascii="仿宋" w:hAnsi="仿宋" w:eastAsia="仿宋" w:cs="仿宋"/>
          <w:color w:val="auto"/>
          <w:sz w:val="24"/>
          <w:szCs w:val="24"/>
        </w:rPr>
        <w:t>日历天</w:t>
      </w:r>
    </w:p>
    <w:p w14:paraId="700627B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b/>
          <w:bCs/>
          <w:color w:val="auto"/>
          <w:sz w:val="24"/>
          <w:szCs w:val="24"/>
        </w:rPr>
        <w:t>三、质保期</w:t>
      </w:r>
      <w:r>
        <w:rPr>
          <w:rFonts w:hint="eastAsia" w:ascii="仿宋" w:hAnsi="仿宋" w:eastAsia="仿宋" w:cs="仿宋"/>
          <w:color w:val="auto"/>
          <w:sz w:val="24"/>
          <w:szCs w:val="24"/>
        </w:rPr>
        <w:t>：验收合格之日起不少于</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个月</w:t>
      </w:r>
    </w:p>
    <w:p w14:paraId="66E3F04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、采购</w:t>
      </w:r>
      <w:r>
        <w:rPr>
          <w:rFonts w:hint="eastAsia" w:ascii="仿宋" w:hAnsi="仿宋" w:eastAsia="仿宋" w:cs="仿宋"/>
          <w:b/>
          <w:bCs/>
          <w:color w:val="auto"/>
          <w:sz w:val="24"/>
          <w:szCs w:val="24"/>
          <w:lang w:val="en-US" w:eastAsia="zh-CN"/>
        </w:rPr>
        <w:t>清单及</w:t>
      </w:r>
      <w:r>
        <w:rPr>
          <w:rFonts w:hint="eastAsia" w:ascii="仿宋" w:hAnsi="仿宋" w:eastAsia="仿宋" w:cs="仿宋"/>
          <w:b/>
          <w:bCs/>
          <w:color w:val="auto"/>
          <w:sz w:val="24"/>
          <w:szCs w:val="24"/>
        </w:rPr>
        <w:t>技术参数</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核心产品必须满足或优于采购清单要求</w:t>
      </w:r>
      <w:r>
        <w:rPr>
          <w:rFonts w:hint="eastAsia" w:ascii="仿宋" w:hAnsi="仿宋" w:eastAsia="仿宋" w:cs="仿宋"/>
          <w:b w:val="0"/>
          <w:bCs w:val="0"/>
          <w:color w:val="auto"/>
          <w:sz w:val="24"/>
          <w:szCs w:val="24"/>
          <w:lang w:eastAsia="zh-CN"/>
        </w:rPr>
        <w:t>）</w:t>
      </w:r>
    </w:p>
    <w:p w14:paraId="00B5F4F6">
      <w:pPr>
        <w:rPr>
          <w:rFonts w:hint="eastAsia"/>
          <w:color w:val="auto"/>
        </w:rPr>
      </w:pPr>
      <w:r>
        <w:rPr>
          <w:rFonts w:hint="eastAsia" w:ascii="仿宋" w:hAnsi="仿宋" w:eastAsia="仿宋" w:cs="仿宋"/>
          <w:color w:val="auto"/>
          <w:sz w:val="24"/>
          <w:szCs w:val="24"/>
        </w:rPr>
        <w:t>注：</w:t>
      </w:r>
      <w:r>
        <w:rPr>
          <w:rFonts w:hint="eastAsia"/>
          <w:color w:val="auto"/>
        </w:rPr>
        <w:t>本项目重要技术指标参数以“▲”标记，一般技术指标参数不作标记。</w:t>
      </w:r>
      <w:bookmarkStart w:id="8" w:name="bookmark5"/>
      <w:bookmarkEnd w:id="8"/>
      <w:bookmarkStart w:id="9" w:name="_Toc9568"/>
    </w:p>
    <w:tbl>
      <w:tblPr>
        <w:tblStyle w:val="17"/>
        <w:tblW w:w="101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2"/>
        <w:gridCol w:w="1206"/>
        <w:gridCol w:w="6788"/>
        <w:gridCol w:w="731"/>
        <w:gridCol w:w="683"/>
      </w:tblGrid>
      <w:tr w14:paraId="4A560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trPr>
        <w:tc>
          <w:tcPr>
            <w:tcW w:w="10140" w:type="dxa"/>
            <w:gridSpan w:val="5"/>
            <w:tcBorders>
              <w:top w:val="nil"/>
              <w:left w:val="nil"/>
              <w:bottom w:val="single" w:color="000000" w:sz="4" w:space="0"/>
              <w:right w:val="nil"/>
            </w:tcBorders>
            <w:shd w:val="clear" w:color="auto" w:fill="auto"/>
            <w:noWrap/>
            <w:vAlign w:val="center"/>
          </w:tcPr>
          <w:p w14:paraId="15E427BF">
            <w:pPr>
              <w:keepNext w:val="0"/>
              <w:keepLines w:val="0"/>
              <w:widowControl/>
              <w:suppressLineNumbers w:val="0"/>
              <w:jc w:val="center"/>
              <w:textAlignment w:val="center"/>
              <w:rPr>
                <w:rFonts w:ascii="微软雅黑" w:hAnsi="微软雅黑" w:eastAsia="微软雅黑" w:cs="微软雅黑"/>
                <w:b/>
                <w:bCs/>
                <w:i w:val="0"/>
                <w:iCs w:val="0"/>
                <w:color w:val="auto"/>
                <w:sz w:val="36"/>
                <w:szCs w:val="36"/>
                <w:u w:val="none"/>
              </w:rPr>
            </w:pPr>
            <w:r>
              <w:rPr>
                <w:rFonts w:hint="eastAsia" w:ascii="微软雅黑" w:hAnsi="微软雅黑" w:eastAsia="微软雅黑" w:cs="微软雅黑"/>
                <w:b/>
                <w:bCs/>
                <w:i w:val="0"/>
                <w:iCs w:val="0"/>
                <w:color w:val="auto"/>
                <w:kern w:val="0"/>
                <w:sz w:val="36"/>
                <w:szCs w:val="36"/>
                <w:u w:val="none"/>
                <w:lang w:val="en-US" w:eastAsia="zh-CN" w:bidi="ar"/>
              </w:rPr>
              <w:t>多功能录播教室设备采购清单表</w:t>
            </w:r>
          </w:p>
        </w:tc>
      </w:tr>
      <w:tr w14:paraId="3362C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3"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B90E">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序号</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C360">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设备名称</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82B9">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技术参数及性能要求</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A20C">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数量</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5695">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color w:val="auto"/>
                <w:kern w:val="0"/>
                <w:sz w:val="22"/>
                <w:szCs w:val="22"/>
                <w:u w:val="none"/>
                <w:lang w:val="en-US" w:eastAsia="zh-CN" w:bidi="ar"/>
              </w:rPr>
              <w:t>单位</w:t>
            </w:r>
          </w:p>
        </w:tc>
      </w:tr>
      <w:tr w14:paraId="75C08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4"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CF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206" w:type="dxa"/>
            <w:tcBorders>
              <w:top w:val="nil"/>
              <w:left w:val="nil"/>
              <w:bottom w:val="single" w:color="000000" w:sz="4" w:space="0"/>
              <w:right w:val="nil"/>
            </w:tcBorders>
            <w:shd w:val="clear" w:color="auto" w:fill="auto"/>
            <w:vAlign w:val="center"/>
          </w:tcPr>
          <w:p w14:paraId="170287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4K录播主机</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top"/>
          </w:tcPr>
          <w:p w14:paraId="5B25CCA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一、整体设计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1.主机架构：整体采用嵌入式设计、非PC与服务器工作站等架构，以保障系统运行稳定、安全。且为方便设备布线实施，主机需为标准1U机架式设计，支持外接不同尺寸控制屏满足不同环境的操作需要；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▲2.高度集成：主机需同时具备录制、直播、导播、自动跟踪、音频编码、视频编码、音频处理、视频处理、存储、点播、互动多功能于一体；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3.优质性能：主机采用嵌入式架构处理器同时内置GPU与NPU协处理器，CPU核心数≥8，核心主频≥2.4GHz；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4.工作噪声：主机在正常工作状态下的生产噪声不高于30dB(A)；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5.工作功率：要求整机正常工作状态下功耗不超过50W；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6.视频接口：数字视频接口D-Video（RJ45）≥4，HDMI 输入≥2，HDMI 输出≥2路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7.音频接口：要求主机支持线性音频输入与数字音频输入，要求Line in接口≥2，Line out接口≥2，数字音频接口D-Mic（RJ45）≥6；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8.网络接口：RJ45≥1，支持100/1000M网络自适应及IPv4、IPv6双协议栈；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9.控制接口：支持RS232串行通信协议进行外接控制；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10.外设接口：USB2.0≥2，可用于连接U盘等外设；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11.系统存储≥2T，保障设备的正常运行与录制视频文件的本地存储；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12.视频一线通：支持摄像机与主机之间仅通过一根双绞线即可同时实现供电、控制和视频信号的同步传输，不接受使用转接器的方式；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13.音频一线通：支持麦克风与主机之间仅通过一根双绞线即可同时实现供电和音频信号的采集，实现音频信号的高品质、抗干扰稳定传输；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14.视频录制：兼容标准H.264视频编解码能力，要求支持4K@30fps、1080P@30fps、720P@30fps，以及AAC音频编解码协议标准且内置音频处理功能；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15.视频传输技术：支持对同品牌高清摄像机实现基于RJ45双绞线的视频裸数据传输技术，支持摄像机到录播主机端的视频采集和传输过程无需编解码、无画质损耗并实现≤100ms的声画同步，保障录制视频效果；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二、功能设计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16.便捷导播：软件需采用B/S架构设计，支持通过浏览器即可进行管理配置与操作，而无需额外安装客户端或APP；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▲17.AI全场景跟踪：录播内置跟踪算法且跟踪功能基于AI人工智能技术无需额外增加图像定位主机或摄像机即可实现多机位的全自动跟踪切换；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18.画面同步：要求录播主机配套同品牌摄像机支持在多机位接入的情况下所有画面高度同步。在多画面布局以及多流录制、多流直播的使用场景下不同画面保持高度同步，满足最佳的使用体验；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19.中英双语：需支持中英双语版本切换，适合不同用户的应用需求。要求通过网络导播界面即可便捷切换，无需进行更改授权、系统升级等复杂操作；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20.上电模式：需支持通电模式选择，实现主机通电后自动进入相应模式，包含但不限于自动开机、开机且休眠、不开机等模式；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21.版本管理：支持查看系统软件版本，提供离线文件升级、网络在线升级和定时自动升级三种升级方式，且支持导出和导入系统配置文件；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22.安装信息：支持填写设备的安装信息，包括位置、所在学校、安装地点、联系人等；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23.休眠唤醒：需支持定时休眠唤醒功能，提供精确到秒的自定义时间设置，可以单独设置是否定时休眠或者定时唤醒；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24.权限管理：需支持对主机后台设置管理员用户与普通用户两种使用权限，普通用户无法进行相关参数与配置修改；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25.系统状态：支持在导播界面实时查看主机当前CPU温度、磁盘空间占用情况、视频录制的参数配置和正在录制的视频时长与大小等信息；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▲26.UVC/UAC功能：要求主机具备通过USB口直接输出音视频信号的能力，实现便捷的视频会议软件接入；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27.智能音频处理：支持音频采样率的设置，且支持AGC自动增益、ANS噪声抑制、EQ均衡、AEC回声抑制等音频处理功能；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28.录制码流：支持主码流和子码流的高低双码流录制，且支持自定义清晰度、帧率、码率和I帧间隔，支持动态比特率或静态比特率两种模式；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29.存储管理：需支持录像文件循环覆盖功能，开启循环覆盖功能后，录播硬盘在已存储90%的空间时，再次启动录制将删除录播内现存时间最早的录像文件以应对录制频率比较高的情况；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30.标签设置：需支持视频信号源标签设置，对摄像机实时拍摄信号、HDMI高清输入信号均可自定义名称标签，为导播控制与编辑灵活性提供便利；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31.多场景音频：需支持录制模式和互动模式的独立音频场景设置，针对无线MIC和多媒体等不同设备类型，进行场景化的音频参数设置；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32.跟踪自定义：要求支持根据实际喜好，自定义AI跟踪逻辑下所切换的画面信号，且支持双分屏、画中画等布局；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33.互动能力：要求主机内置互动功能，支持在单机且不连接互联网的情况下实现不少于3方的音视频互动，满足专递课堂教学与视频会议活动，同时也需要支持对接互动软件，实现大规模互动会议并发；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▲34.AI边缘计算：主机内置AI课堂行为和AI课堂语音实时分析能力，无需额外设备或互联网云端服务，即可实现基于课堂上师生行为、PPT课件、语音和板书等多模态课堂数据的融合分析。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三、其他要求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▲34.整体系统具有较强的兼容性，能够实现与本校及教共体成员校系统设备的互联互通，实现视频会议、互动教学任务。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35.要求支持FTP文件传输协议，主机录制生成的视频文件与应用平台实现自动归档上传；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▲36.提供该产品的具有CNAS标识的国家权威检测机构出具的检测报告复印件并加盖厂家公章。</w:t>
            </w:r>
          </w:p>
        </w:tc>
        <w:tc>
          <w:tcPr>
            <w:tcW w:w="731" w:type="dxa"/>
            <w:tcBorders>
              <w:top w:val="nil"/>
              <w:left w:val="single" w:color="000000" w:sz="4" w:space="0"/>
              <w:bottom w:val="single" w:color="000000" w:sz="4" w:space="0"/>
              <w:right w:val="single" w:color="000000" w:sz="4" w:space="0"/>
            </w:tcBorders>
            <w:shd w:val="clear" w:color="auto" w:fill="auto"/>
            <w:noWrap/>
            <w:vAlign w:val="center"/>
          </w:tcPr>
          <w:p w14:paraId="5DB598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0234F2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13EE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7B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206" w:type="dxa"/>
            <w:tcBorders>
              <w:top w:val="single" w:color="000000" w:sz="4" w:space="0"/>
              <w:left w:val="nil"/>
              <w:bottom w:val="single" w:color="000000" w:sz="4" w:space="0"/>
              <w:right w:val="nil"/>
            </w:tcBorders>
            <w:shd w:val="clear" w:color="auto" w:fill="auto"/>
            <w:vAlign w:val="center"/>
          </w:tcPr>
          <w:p w14:paraId="4831C4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录播流媒体处理软件</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top"/>
          </w:tcPr>
          <w:p w14:paraId="2C4EFEA8">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▲1.要求软件在出厂时内嵌于录播主机中，且应具备自主知识产权，提供计算机软件著作权登记证书复印件并加盖原厂公章或投标专用章；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2.录制模式：支持电影模式和资源模式两种录制模式。电影模式下支持将多路视频信号的复合成一路画面进行录制；资源模式下支持将接入的摄像机画面和电脑画面进行独立录制；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3.分段录制：支持30分钟分段、60分钟分段两种分段录制方式，系统可在不结束录制的条件下根据分段时长自动将视频录制为多个分段文件；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4.录制存储：采用H.264/H.265的视频编码格式和MP4的视频封装格式，支持在断网情况下也可以进行视频录制并存储于录播主机中，也支持在联网情况下通过FTP自动上传视频文件；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5.同步录制：支持外接存储设备（如U盘），实现在视频录制的过程中，自动同步录制多一份并存储至U盘中；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6.录制关联：支持在录制启动时自动关联开启直播和全自动跟踪模式；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7.视频管理：支持查看已录制的视频文件，并可按录制时间进行排序和按关键字检索查看，也支持对视频文件进行在线播放、下载、删除和FTP上传；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8.网络导播：支持通过浏览器即可访问并使用导播功能，而无需额外安装客户端或APP；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9.导播模式：支持全自动、半自动、手动三种导播模式，且支持在录制、直播和互动过程中任意切换导播模式；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10.导播预览：支持对接入的所有画面进行导播预览，包括教师特写、教师全景、学生全景、学生特写、电脑画面等，电脑画面包括两路HDMI画面可切换，并支持点击预览画面即可切换为导播输出画面；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11.视频布局：支持二分屏、三分屏、画中画等布局，也支持自定义布局方式，且支持对布局内的每个画面窗口进行拖动、叠加、缩放和指定视频源的操作，实现灵活调整；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12.台标字幕：需支持在导播预览界面添加Logo台标与字幕，可自主上传Logo图标、设置logo位置、编辑字幕内容、选择字幕字体颜色与是否滚动显示，且后台管理设置可预设字幕作为备选，方便灵活调整与切换；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13.片头片尾：需支持片头片尾设置，可上传JPG格式图片作为录制默认的片头片尾画面，并可自定义片头片尾显示时长，支持片头片尾显示视频信息；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摄像机控制：支持对接入摄像机特写画面进行电子云台控制，包括画面上下左右移动、放大缩小变焦等操作。云台控制功能应具有鼠标快速定位功能，通过鼠标点击快速居中画面区域。也支持设置和调用摄像机预置位，支持不少于8个预置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15.音量控制：支持在导播过程中进行音量控制，可调整相关输入输出的音量大小，且支持一键静音功能；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16.直播码流：需支持主码流和子码流高低双码流，且支持自定义清晰度、帧率和码流，主码流清晰度支持4K、1080P、720P；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17.直播推流：支持不少于4路RTMP同步推流直播，并可自定义选择主码流或子码流进行推流直播；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18.直播模式：需支持RTMP直播、TS直播、集控推流直播等不少于3种不同直播模式，以适应不同场景直播需求；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19.互动协议：需支持H.323、SIP 、BFCP、WebRTC等视音频互动协议技术，也支持内置互动模块，无需额外MCU类设备即可进行远程互动教学应用；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20.互动画质：支持1080P@30fps的高清互动画质，且支持设置互动码流，并支持基于SVC技术实现在不同网络状况下的画面质量自适应；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互动模式：支持“1+3”的互动授课模式和多方视频会议模式，授课模式支持主讲端查看所有听讲端画面并可控制听讲端的互动画面显示，会议模式支持二分屏、三分屏、四分屏等布局，也支持选择参会方进行轮巡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双流互动：支持在实时互动过程中，可将教学场景信号与电脑课件信号以互相独立的信号进行传输，并最终在接收端可通过两路独立HDMI接口将接收到的教学场景画面与电脑课件画面同时分别输出到两个显示设备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23.发言权限控制：支持通过网络导播界面，主讲端在互动过程中对其余互动参与者的发言权限进行控制，支持单人禁言/开启以及全场禁言/开启的控制方式；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24.呼叫应答：需支持呼叫应答设置，满足不同互动场景的需要，包括自动应答与勾选手动应答两种方式；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▲25.智能降噪：需支持AI智能降噪处理，通过算法智能在录制过程中处理环境的噪音，如场室内空调与风扇声，保证录制后的音频质量；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▲26.智能混音：需支持自动识别人物声音与多媒体声音并动态调节其他音源的音量，避免音源间相互干扰，确保视频教师声音清晰可闻；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4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10A023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6B22A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4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3B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9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高清云台摄像机</w:t>
            </w:r>
          </w:p>
        </w:tc>
        <w:tc>
          <w:tcPr>
            <w:tcW w:w="6788" w:type="dxa"/>
            <w:tcBorders>
              <w:top w:val="single" w:color="000000" w:sz="4" w:space="0"/>
              <w:left w:val="single" w:color="000000" w:sz="4" w:space="0"/>
              <w:bottom w:val="single" w:color="000000" w:sz="4" w:space="0"/>
              <w:right w:val="nil"/>
            </w:tcBorders>
            <w:shd w:val="clear" w:color="auto" w:fill="auto"/>
            <w:vAlign w:val="center"/>
          </w:tcPr>
          <w:p w14:paraId="133955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1.传感器：要求采用CMOS类型图像传感器，尺寸≥1/2.5英寸；</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2.像素：有效像素≥800万；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3.视频分辨率：最大可支持3840×2160并向下兼容；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4.变焦：要求支持自动和手动变焦，综合变焦倍数≥22倍；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5.云台转动：要求具备机械云台可进行转动跟踪。水平转动速度最大不少于90°/s，垂直转动速度最大不少70°/s；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6.快门速度：要求支持高速与慢速快门速度，最快不小于1/10000s，最慢不小于1/25s；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7.视场角大小：支持水平视场角≥70°，垂直视场角≥43°；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8.视频编码：要求支持H.265、H.264高清视频编码协议；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9.视频输出：要求具备数字视频输出口（RJ45）≥1，HDMI视频输出口≥1；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10.通讯接口：要求具备RS232/RS422≥1；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11.网络接入：RJ45网络接口≥1，并支持100M/1000M自适应以太网接入与RTSP协议网络视频输出；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12.音频接口：Line in输入口≥1；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13.音频编码：要求支持OPUS、G.711A、AAC等常用音频编码协议；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14.USB接口：要求具备USB Type-A≥1；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15.协议支持：要求支持VISCA/ONVIF协议满足多种场景控制要求；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16.背光补偿：要求具备背光补偿功能；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17.数字降噪：支持2D/3D数字降噪，信噪比≥55dB；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18.一线通：要求与搭配的录播主机实现基于RJ45双绞线的一线通连接，完成摄像机供电、控制以及视频信号传输；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19.高效数据传输：支持对同品牌录播主机实现基于数据链路层的数字视频数据传输技术，能实现≤100ms的声画同步，在拍摄运动画面和复杂画面时不存在镜头呼吸效应带来的周期性画面焦距抖动；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▲20.AI跟踪：要求内置跟踪算法，摄像机内无额外辅助摄像头也无需增加任何设备即可实现人像自动跟踪，包括水平运动、俯仰运动、变焦、聚焦四维实时跟踪；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21.跟踪逻辑自选：要求支持根据AI智能算法，同一摄像机可根据部署使用场景智能应用为教师、学生跟踪模式，无需手动设置；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22.交叉识别：需支持对锁定跟拍对象进行人脸特征与肢体双重认证识别，在多人同时进入拍摄画面的情况下，持续锁定跟踪对象，不出现跟丢和误跟的情况；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23.AI抗干扰：支持在拍摄画面有显示设备或其他动态视频播放的情况下，自动启用AI抗干扰能力，保障画面始终锁定被跟踪对象，且跟踪效果不受影响；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25.电源支持：支持录播主机供电和DC12V电源适配器等供电方式；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26.要求摄像机与录播主机为同一品牌。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48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33EA6F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A45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AD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206" w:type="dxa"/>
            <w:tcBorders>
              <w:top w:val="single" w:color="000000" w:sz="4" w:space="0"/>
              <w:left w:val="single" w:color="000000" w:sz="4" w:space="0"/>
              <w:bottom w:val="nil"/>
              <w:right w:val="nil"/>
            </w:tcBorders>
            <w:shd w:val="clear" w:color="auto" w:fill="auto"/>
            <w:vAlign w:val="center"/>
          </w:tcPr>
          <w:p w14:paraId="177272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摄像机跟踪拍摄软件</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top"/>
          </w:tcPr>
          <w:p w14:paraId="2681746D">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1.摄像机传输处理软件需采用B/S架构，支持通用浏览器直接访问进行管理；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2.需支持曝光模式设置功能，包括自动、手动；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3.需支持抗闪烁频率、动态范围、光圈、快门参数设置；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4.需支持设置自动/手动/一键锁定/室内/室外多场景白平衡设置，红、蓝增益可调以满足不同环境取景需要；；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5.需支持噪声抑制设置功能，支持2D、3D降噪；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6.需支持摄像机图像质量调节功能，包括亮度、对比度、色调、饱和度；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7.需支持图像水平、垂直翻转，适应摄像机不同的安装方式要求；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8.需支持摄像机控制功能，包括云台控制、预置位设置与调用、焦距调节等；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9.需支持自动/手动两种聚焦锁定模式；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10.支持设置预置位数量≥255，预置位设置精度≤0.1°；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11.需支持跟踪人物丢失寻回机制，在智能跟踪的场景下跟拍对象出画后重新回到拍摄画面将再次锁定跟踪；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▲12.支持配合录播主机设置五分像、七分像、全身像等多种教师图像跟踪画面模式，根据实际需要设置选用教师跟踪画面的大小；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13.支持配合录播主机划分的自动跟踪区域，当锁定跟踪人物走出自动跟踪区域时即停止跟踪，直到重新回到区域出现在画面中为止；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14.需支持依据录播主机设置的跟踪目标更新周期时间，被跟拍人员脱离跟踪拍摄区域后开始计时，到达更新周期时间后自动解除目标跟拍锁定，回归默认状态，待下一位人员进入画面中开始重新锁定跟踪；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▲15.要求软件在出厂时内嵌于摄像机中，且应具备自主知识产权，提供计算机软件著作权登记证书复印件并加盖原厂公章或投标专用章。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B7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2818A8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5CE9C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2"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E3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34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AI智能跟踪处理软件</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top"/>
          </w:tcPr>
          <w:p w14:paraId="23D09B3E">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1.跟踪逻辑：支持智能识别接入摄像机的使用定位，并联动摄像机选用对应的跟踪逻辑，如教师跟踪、学生跟踪等；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2.检测区域：支持对接入摄像机的AI跟踪检测区域设置，可基于实景拍摄画面框选跟踪区域，框选后只在区域中方能触发跟踪，所见所得方便操作；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3.跟踪切换：支持根据设定的跟踪策略形成跟踪指令，实现多路接入摄像机的全自动AI跟踪画面切换；且支持自定义跟踪切换逻辑的画面布局，包含但不限于双分屏、画中画与自定义布局等；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4.跟踪策略：支持对接入摄像机自定义设置AI跟踪目标更新周期时间，摄像机依据配置实现相应跟踪策略；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5.智能构图：支持设置摄像机拍摄画面的智能构图模式，包含但不限于五分像、七分像、全身像等；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丢失处理机制：需支持对接入摄像机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7.全场景跟拍：要求支持基于计算机视觉CV技术的AI人工智能跟踪算法，实现教师识别、教师移动跟拍、教师轨迹识别以及学生上台识别、板书行为识别、单人与多人起立识别等教学焦点进行自动捕捉与切换；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▲8.要求软件在出厂时内嵌于录播主机中，且应具备自主知识产权，提供计算机软件著作权登记证书复印件并加盖原厂公章或投标专用章。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85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18E703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49746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F58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11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智能课堂行为分析软件</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EB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一.整体要求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1.兼容对接：要求实现录播主机内置的实时课堂行为分析，同时支持与视频资源管理平台无缝对接，将数据通过平台进行展示或主机内部展示两种模式，两种模式均支持下载分析报告；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多维分析：支持对课堂数据进行综合多维度的分析，包括“课堂师生行为时序”、“教学行为分析”、“理答分析”、“PPT与板书分析”、“教师讲授分析”、“姿态与情感分析”、“课堂管理分析”、“学生学情分析”等多维度多类型分析数据板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3.实时分析：支持对师生出勤率、教学行为、教师活动轨迹、学生课堂动作表情分析等维度数据进行实时统计分析，并且能在课程录制结束三分钟内将数据整合建模生成分析报告；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4.教学环节识别：要求支持按照教学环节定义将课程视频切片，并且在视频播放进度条上有明显标签显示对应的教学环节；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行为时序播放：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二.教师教情分析要求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教师行为分析：支持自动分析并统计老师授课过程中的教学行为，包括但不限于“教师板书”、“教师提问”、“教师追问”、“教师巡视”、“PPT演示”、“操作大屏”、“教师姿态”、“目光注视”、“教师发言”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2.PPT分析：要求支持教师授课PPT分析，分析每页PPT所用时长以及PPT内的图片与图表页数，并可识别PPT内留给学生课堂任务的数量，分析任务时间占比；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3.板书分析：要求支持教师板书分析，判定授课过程中教师板书的规范字、行间距合规程度、板书均衡情况、板书时间的学生抬头率、板书所用颜色；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4.教师巡视：要求支持分析教师课堂管理能力，统计教师巡视次数与巡视时长，并提供热点图直观查看教师授课轨迹情况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▲5.目光注视：要求支持分析教师对学生学习的观察情况，统计分析教师注视学生区域的时间占比情况；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6.S-T分析：要求支持以图表的形式分析课堂过程中的师生行为，观察教师的课堂环节设计与师生互动情况；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三.学生学情分析要求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学生行为分析：要求支持自动分析并统计学生课堂过程中的学习行为，包括但不限于“多人站立”、“学生举手”、“学生低头”、“多人抬头”、“学生上台”、“学生应答”、“补充发言”、“课堂氛围”、“学生操作电脑”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2.学情观察统计：要求支持对学生区域进行预置位划分，统计学生举手次数以及应答次数，上台人数以及趴桌时长；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▲3.个体观察分析：要求支持对学生区域进行预置位划分，同时在未上传人脸信息的前提下也对每个学生进行编号标记，记录并呈现每个学生具体某个时间点的行为截图；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4.学情区域对比：要求支持针对学生抬头率、学生情绪以及互动情况，选择2个不同的预置位进行听课情况对比，以图表的形式呈现学生的听课情况和次数对比；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5.学生站立分析：支持以热点图的形式呈现学生站立、学生举手、补充发言的情况与分布，并支持统计站立人数与站立次数，针对学生站立行为支持具体到某个时间以及某位学生；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6.学生专注分析：要求支持统计在不同场景下学生的抬头率情况，如教师板书时、学生上台时、教师PPT授课时，并呈现不同环节的抬头率比例；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▲7.课堂氛围分析：支持学生课堂表情分析，并支持对各类表情进行实时检测，统计课堂过程中不同时间点学生开心或平静的表情峰值；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8.学生低头分析：要求支持整堂课学生的低头时长统计，并支持展示低头时间点的具体截图。</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FF5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25C2BC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w:t>
            </w:r>
          </w:p>
        </w:tc>
      </w:tr>
      <w:tr w14:paraId="3D408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A1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8D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智能语音分析软件</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CC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1.教师提问情况分析：支持基于课堂语音识别能力进行教师课堂提问行为分析，从提问次数与高级认知提问比例两个核心维度进行数据统计，实现课堂提问情况的清晰回顾。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2.教师语速分析：支持通过语音识别能力进行教师课堂授课语速分析，呈现数据需包括整体语速的变化图以及平均语速结论；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3.课堂语音转写：要求基于语音语义识别完成课堂音频的文字转换，实现课堂教学过程语音全纪录，要求平台上可输出整节课的文字字幕。并支持由上课老师课后自主编辑转写文本实现纠偏；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▲5.课堂语气词分析：支持通过进行课堂语音识别，判断老师教学过程中出现的常规语气词出现频次，如“呐”，“嘛”，等语气词，辅助老师调整教学过程中的不良习惯；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6.教师普通话分析：要求支持对教师授课音频进行自适应分段，并分析每个段落教师授课过程中的普通话水平、语速、音量以及关键词；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7.教师音量分析：要求支持分析本堂课教师平均的授课音量，以及根据时间推移呈现音量波动的变化图表；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8.理答类型分析：要求支持对教师课堂理答情况进行分析，支持统计教师提问次数、抽答次数、追问次数，并可以获取每个问题以时间轴的形式记录在什么时间提问；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9.教师追问分析：要求支持分析教师追问类型与次数，并标记具体在第几次提问时发起追问，对追问内容分析是否对学生有诱发思考的作用并统计次数；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FC7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5CAC33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w:t>
            </w:r>
          </w:p>
        </w:tc>
      </w:tr>
      <w:tr w14:paraId="65AB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4"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F0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DE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录播拾音话筒设备</w:t>
            </w:r>
          </w:p>
        </w:tc>
        <w:tc>
          <w:tcPr>
            <w:tcW w:w="6788" w:type="dxa"/>
            <w:tcBorders>
              <w:top w:val="single" w:color="000000" w:sz="4" w:space="0"/>
              <w:left w:val="single" w:color="000000" w:sz="4" w:space="0"/>
              <w:bottom w:val="nil"/>
              <w:right w:val="single" w:color="000000" w:sz="4" w:space="0"/>
            </w:tcBorders>
            <w:shd w:val="clear" w:color="auto" w:fill="auto"/>
            <w:vAlign w:val="center"/>
          </w:tcPr>
          <w:p w14:paraId="7E0472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1.指向性：超心型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2.频率响应：40Hz—16kHz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3.灵敏度≥-7dB±1dB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4.最大声压级≥110dB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5.信噪比≥62dB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6.动态范围≥78.5dB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7.使用电源：麦克风一线通供电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8.输出接口：RJ45，数字音频接口</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671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6DFC71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r>
      <w:tr w14:paraId="68848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2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71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BB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无线话筒</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E8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1、接收机参数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2、频道组数：双频道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3、装配方式：固定式接收模组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4、面板显示：LCD液晶显示可同时显示RF/AF信号强度,自动选讯,可设定频道/频率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5、振荡模式：PLL相位锁定频率合成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6、射频稳定度：±0.005%(-5~50°C)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7、载波频段：UHF：640.125MHz -690.000MHz；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8、频带宽度：50MHz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9、频率间隔：125KHz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10、可切换频率数：400组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11、操作方式：手动调整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12、接收方式：双调谐器自动选讯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13、灵敏度：在偏移度等于40KHz,输入6dBμ V时，S/N&gt;80dB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14、最大偏移度：±68KHz具有音量扩展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15、综合S/N比：±105dB(1KHz-A)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16、综合失真度：&lt;0.5% @ 1KHz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17、综合频率响应：50Hz-18KHz±3dB具低频衰减滤频电路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18、最大输出电压：平衡式MIC-LEVEL-0dBV/600Ω,非平衡式0dBV/600Ω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19、输出插座：XLR平衡式插座独立输出及Φ6.3不平衡式插座混合输出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20、音量输出调整：输出电平可随意调整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21、静音控制模式：独立“音码及杂讯锁定”双重静音控制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22、DC电源供应：0.5A 12-15VDC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23、产品尺寸(W*D*H)：426*185*50mm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24、话筒参数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25、振荡模式：PLL相位锁定频率合成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26、载波频率：UHF频段（640.125~690.000 MHz）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27、频带宽度：50 MHz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28、可调频率：400组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29、输出功率：30MW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30、射频稳定性：±0.005%（-5~50℃）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31、最大偏移：±70KHz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32、拾音头：电容式/动圈式 </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D2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65C7B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5DB7F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2"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4A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07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控制系统</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0E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1.硬件设计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1）具备10.1英寸1280*800高清IPS屏幕；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2）存储性能：缓存容量不小于1G,存储容量不小于16G；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3）操作系统 ：Android 6.0及以上；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2.整体设计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1）控制方式：支持通过网络连接进行录播主机的管理、控制；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2）电源管理：支持控制录播主机的关机、休眠、唤醒操作；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3）按键组合功能：支持最大5个功能按键组合成一个按键组合，可自定义组合按键名称、图标、按键；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3.录课模式控制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1）支持通过触控面板实时预览录制信号画面，进行导播操作；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2）支持录制开始/停止、录制暂停/恢复、直播开启/关闭、电脑画面锁定/解锁等功能操作；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4.互动模式控制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1）支持通讯录呼叫功能，读取显示录播主机通讯录，并能够通过通讯录进行快速呼叫；</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2）支持快速拨号呼叫功能，输入用户短号实现快速呼叫；</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3）支持通过触控面板实时预览互动信号画面，实现直观互动控制；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5.录像资源管理控制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1）支持录像资源管理，通过导播控制软件直观呈现当前录播主机的录像资源信息，并支持选择相关的录课资源进行回放；</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1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68BCB1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05EA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5"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36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B8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时序电源控制器</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0D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1.接口：1路220V强电输入，8路独立继电器控制，每路都供电源状态指示灯。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采用金属外壳，机架式安装。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支持对录播系统控制功能，实现通过录制面板一键启动录播系统相关设备的电源；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支持录播系统的远程集中统一控制，实现录播主机远程开关机；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408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310DA2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5CDA0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77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FB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音箱</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E5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1、采用二分频线路设计，外观设计经典，高密度中纤板喷漆，层次感清晰。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2、全频音箱具有大功率，高效率的特点。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3、低频浑厚有力，中、高频通透亮丽。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技术参数：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1、额定功率：150W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2、峰值功率：600W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3、阻抗：8</w:t>
            </w:r>
            <w:r>
              <w:rPr>
                <w:rStyle w:val="27"/>
                <w:rFonts w:eastAsia="宋体"/>
                <w:color w:val="auto"/>
                <w:lang w:val="en-US" w:eastAsia="zh-CN" w:bidi="ar"/>
              </w:rPr>
              <w:t>Ω</w:t>
            </w:r>
            <w:r>
              <w:rPr>
                <w:rStyle w:val="30"/>
                <w:color w:val="auto"/>
                <w:lang w:val="en-US" w:eastAsia="zh-CN" w:bidi="ar"/>
              </w:rPr>
              <w:t xml:space="preserve"> </w:t>
            </w:r>
            <w:r>
              <w:rPr>
                <w:rStyle w:val="30"/>
                <w:color w:val="auto"/>
                <w:lang w:val="en-US" w:eastAsia="zh-CN" w:bidi="ar"/>
              </w:rPr>
              <w:br w:type="textWrapping"/>
            </w:r>
            <w:r>
              <w:rPr>
                <w:rStyle w:val="30"/>
                <w:color w:val="auto"/>
                <w:lang w:val="en-US" w:eastAsia="zh-CN" w:bidi="ar"/>
              </w:rPr>
              <w:t xml:space="preserve">4、低音单元：1×10英寸锥形振膜低音 </w:t>
            </w:r>
            <w:r>
              <w:rPr>
                <w:rStyle w:val="30"/>
                <w:color w:val="auto"/>
                <w:lang w:val="en-US" w:eastAsia="zh-CN" w:bidi="ar"/>
              </w:rPr>
              <w:br w:type="textWrapping"/>
            </w:r>
            <w:r>
              <w:rPr>
                <w:rStyle w:val="30"/>
                <w:color w:val="auto"/>
                <w:lang w:val="en-US" w:eastAsia="zh-CN" w:bidi="ar"/>
              </w:rPr>
              <w:t xml:space="preserve">5、高音单元：2×3英寸纸盆高音 </w:t>
            </w:r>
            <w:r>
              <w:rPr>
                <w:rStyle w:val="30"/>
                <w:color w:val="auto"/>
                <w:lang w:val="en-US" w:eastAsia="zh-CN" w:bidi="ar"/>
              </w:rPr>
              <w:br w:type="textWrapping"/>
            </w:r>
            <w:r>
              <w:rPr>
                <w:rStyle w:val="30"/>
                <w:color w:val="auto"/>
                <w:lang w:val="en-US" w:eastAsia="zh-CN" w:bidi="ar"/>
              </w:rPr>
              <w:t xml:space="preserve">6、频率响应±3dB：50Hz-17KHz </w:t>
            </w:r>
            <w:r>
              <w:rPr>
                <w:rStyle w:val="30"/>
                <w:color w:val="auto"/>
                <w:lang w:val="en-US" w:eastAsia="zh-CN" w:bidi="ar"/>
              </w:rPr>
              <w:br w:type="textWrapping"/>
            </w:r>
            <w:r>
              <w:rPr>
                <w:rStyle w:val="30"/>
                <w:color w:val="auto"/>
                <w:lang w:val="en-US" w:eastAsia="zh-CN" w:bidi="ar"/>
              </w:rPr>
              <w:t xml:space="preserve">7、频率范围±10dB：45Hz-18KHz </w:t>
            </w:r>
            <w:r>
              <w:rPr>
                <w:rStyle w:val="30"/>
                <w:color w:val="auto"/>
                <w:lang w:val="en-US" w:eastAsia="zh-CN" w:bidi="ar"/>
              </w:rPr>
              <w:br w:type="textWrapping"/>
            </w:r>
            <w:r>
              <w:rPr>
                <w:rStyle w:val="30"/>
                <w:color w:val="auto"/>
                <w:lang w:val="en-US" w:eastAsia="zh-CN" w:bidi="ar"/>
              </w:rPr>
              <w:t xml:space="preserve">8、灵敏度（1W/1m）：89dB </w:t>
            </w:r>
            <w:r>
              <w:rPr>
                <w:rStyle w:val="30"/>
                <w:color w:val="auto"/>
                <w:lang w:val="en-US" w:eastAsia="zh-CN" w:bidi="ar"/>
              </w:rPr>
              <w:br w:type="textWrapping"/>
            </w:r>
            <w:r>
              <w:rPr>
                <w:rStyle w:val="30"/>
                <w:color w:val="auto"/>
                <w:lang w:val="en-US" w:eastAsia="zh-CN" w:bidi="ar"/>
              </w:rPr>
              <w:t xml:space="preserve">9、覆盖角度（H×V）：70°×70° </w:t>
            </w:r>
            <w:r>
              <w:rPr>
                <w:rStyle w:val="30"/>
                <w:color w:val="auto"/>
                <w:lang w:val="en-US" w:eastAsia="zh-CN" w:bidi="ar"/>
              </w:rPr>
              <w:br w:type="textWrapping"/>
            </w:r>
            <w:r>
              <w:rPr>
                <w:rStyle w:val="30"/>
                <w:color w:val="auto"/>
                <w:lang w:val="en-US" w:eastAsia="zh-CN" w:bidi="ar"/>
              </w:rPr>
              <w:t xml:space="preserve">10、连续声压级：112dB </w:t>
            </w:r>
            <w:r>
              <w:rPr>
                <w:rStyle w:val="30"/>
                <w:color w:val="auto"/>
                <w:lang w:val="en-US" w:eastAsia="zh-CN" w:bidi="ar"/>
              </w:rPr>
              <w:br w:type="textWrapping"/>
            </w:r>
            <w:r>
              <w:rPr>
                <w:rStyle w:val="30"/>
                <w:color w:val="auto"/>
                <w:lang w:val="en-US" w:eastAsia="zh-CN" w:bidi="ar"/>
              </w:rPr>
              <w:t xml:space="preserve">11、峰值声压级：118dB </w:t>
            </w:r>
            <w:r>
              <w:rPr>
                <w:rStyle w:val="30"/>
                <w:color w:val="auto"/>
                <w:lang w:val="en-US" w:eastAsia="zh-CN" w:bidi="ar"/>
              </w:rPr>
              <w:br w:type="textWrapping"/>
            </w:r>
            <w:r>
              <w:rPr>
                <w:rStyle w:val="30"/>
                <w:color w:val="auto"/>
                <w:lang w:val="en-US" w:eastAsia="zh-CN" w:bidi="ar"/>
              </w:rPr>
              <w:t xml:space="preserve">12、箱体板材：中纤板 </w:t>
            </w:r>
            <w:r>
              <w:rPr>
                <w:rStyle w:val="30"/>
                <w:color w:val="auto"/>
                <w:lang w:val="en-US" w:eastAsia="zh-CN" w:bidi="ar"/>
              </w:rPr>
              <w:br w:type="textWrapping"/>
            </w:r>
            <w:r>
              <w:rPr>
                <w:rStyle w:val="30"/>
                <w:color w:val="auto"/>
                <w:lang w:val="en-US" w:eastAsia="zh-CN" w:bidi="ar"/>
              </w:rPr>
              <w:t xml:space="preserve">13、面网：模压钢制圆型面网 </w:t>
            </w:r>
            <w:r>
              <w:rPr>
                <w:rStyle w:val="30"/>
                <w:color w:val="auto"/>
                <w:lang w:val="en-US" w:eastAsia="zh-CN" w:bidi="ar"/>
              </w:rPr>
              <w:br w:type="textWrapping"/>
            </w:r>
            <w:r>
              <w:rPr>
                <w:rStyle w:val="30"/>
                <w:color w:val="auto"/>
                <w:lang w:val="en-US" w:eastAsia="zh-CN" w:bidi="ar"/>
              </w:rPr>
              <w:t xml:space="preserve">14、连接方式：红黑接线端子 </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F38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5D4FBF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r>
      <w:tr w14:paraId="65FBD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6"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4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15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功放</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1B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1、具有四路话筒输入，可独立或统一音量调节，支持48V幻象供电统一控制。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2、具有2组辅助线路输入，可独立音量调节，方便连接外部音源设备。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3、具有1组混合音频输出，方便连接至其它音频设备。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4、专业音效调节，支持高、中、低音独立控制，混响延时、深度、音量独立控制。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5、双通道信号电平指示灯，工作状态一目了然。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6、具有噪声门音质优化，无信号时自动关闭功放输出，降低噪声干扰。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7、具有完善保护措施，短路过载高温多重保护装置，智能多级风扇变速散热。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技术参数：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1、输出功率：8</w:t>
            </w:r>
            <w:r>
              <w:rPr>
                <w:rStyle w:val="27"/>
                <w:rFonts w:eastAsia="宋体"/>
                <w:color w:val="auto"/>
                <w:lang w:val="en-US" w:eastAsia="zh-CN" w:bidi="ar"/>
              </w:rPr>
              <w:t>Ω</w:t>
            </w:r>
            <w:r>
              <w:rPr>
                <w:rStyle w:val="30"/>
                <w:color w:val="auto"/>
                <w:lang w:val="en-US" w:eastAsia="zh-CN" w:bidi="ar"/>
              </w:rPr>
              <w:t xml:space="preserve"> 2×300W,4</w:t>
            </w:r>
            <w:r>
              <w:rPr>
                <w:rStyle w:val="27"/>
                <w:rFonts w:eastAsia="宋体"/>
                <w:color w:val="auto"/>
                <w:lang w:val="en-US" w:eastAsia="zh-CN" w:bidi="ar"/>
              </w:rPr>
              <w:t>Ω</w:t>
            </w:r>
            <w:r>
              <w:rPr>
                <w:rStyle w:val="30"/>
                <w:color w:val="auto"/>
                <w:lang w:val="en-US" w:eastAsia="zh-CN" w:bidi="ar"/>
              </w:rPr>
              <w:t xml:space="preserve"> 2×450W </w:t>
            </w:r>
            <w:r>
              <w:rPr>
                <w:rStyle w:val="30"/>
                <w:color w:val="auto"/>
                <w:lang w:val="en-US" w:eastAsia="zh-CN" w:bidi="ar"/>
              </w:rPr>
              <w:br w:type="textWrapping"/>
            </w:r>
            <w:r>
              <w:rPr>
                <w:rStyle w:val="30"/>
                <w:color w:val="auto"/>
                <w:lang w:val="en-US" w:eastAsia="zh-CN" w:bidi="ar"/>
              </w:rPr>
              <w:t>2、输出阻抗：4</w:t>
            </w:r>
            <w:r>
              <w:rPr>
                <w:rStyle w:val="27"/>
                <w:rFonts w:eastAsia="宋体"/>
                <w:color w:val="auto"/>
                <w:lang w:val="en-US" w:eastAsia="zh-CN" w:bidi="ar"/>
              </w:rPr>
              <w:t>Ω</w:t>
            </w:r>
            <w:r>
              <w:rPr>
                <w:rStyle w:val="30"/>
                <w:color w:val="auto"/>
                <w:lang w:val="en-US" w:eastAsia="zh-CN" w:bidi="ar"/>
              </w:rPr>
              <w:t>-8</w:t>
            </w:r>
            <w:r>
              <w:rPr>
                <w:rStyle w:val="27"/>
                <w:rFonts w:eastAsia="宋体"/>
                <w:color w:val="auto"/>
                <w:lang w:val="en-US" w:eastAsia="zh-CN" w:bidi="ar"/>
              </w:rPr>
              <w:t>Ω</w:t>
            </w:r>
            <w:r>
              <w:rPr>
                <w:rStyle w:val="30"/>
                <w:color w:val="auto"/>
                <w:lang w:val="en-US" w:eastAsia="zh-CN" w:bidi="ar"/>
              </w:rPr>
              <w:t xml:space="preserve"> </w:t>
            </w:r>
            <w:r>
              <w:rPr>
                <w:rStyle w:val="30"/>
                <w:color w:val="auto"/>
                <w:lang w:val="en-US" w:eastAsia="zh-CN" w:bidi="ar"/>
              </w:rPr>
              <w:br w:type="textWrapping"/>
            </w:r>
            <w:r>
              <w:rPr>
                <w:rStyle w:val="30"/>
                <w:color w:val="auto"/>
                <w:lang w:val="en-US" w:eastAsia="zh-CN" w:bidi="ar"/>
              </w:rPr>
              <w:t>3、总谐波失真：2×0.5%(1KHz,50W,16</w:t>
            </w:r>
            <w:r>
              <w:rPr>
                <w:rStyle w:val="27"/>
                <w:rFonts w:eastAsia="宋体"/>
                <w:color w:val="auto"/>
                <w:lang w:val="en-US" w:eastAsia="zh-CN" w:bidi="ar"/>
              </w:rPr>
              <w:t>Ω</w:t>
            </w:r>
            <w:r>
              <w:rPr>
                <w:rStyle w:val="30"/>
                <w:color w:val="auto"/>
                <w:lang w:val="en-US" w:eastAsia="zh-CN" w:bidi="ar"/>
              </w:rPr>
              <w:t xml:space="preserve">) </w:t>
            </w:r>
            <w:r>
              <w:rPr>
                <w:rStyle w:val="30"/>
                <w:color w:val="auto"/>
                <w:lang w:val="en-US" w:eastAsia="zh-CN" w:bidi="ar"/>
              </w:rPr>
              <w:br w:type="textWrapping"/>
            </w:r>
            <w:r>
              <w:rPr>
                <w:rStyle w:val="30"/>
                <w:color w:val="auto"/>
                <w:lang w:val="en-US" w:eastAsia="zh-CN" w:bidi="ar"/>
              </w:rPr>
              <w:t xml:space="preserve">4、频率响应：20Hz-20KHz(±2dB) </w:t>
            </w:r>
            <w:r>
              <w:rPr>
                <w:rStyle w:val="30"/>
                <w:color w:val="auto"/>
                <w:lang w:val="en-US" w:eastAsia="zh-CN" w:bidi="ar"/>
              </w:rPr>
              <w:br w:type="textWrapping"/>
            </w:r>
            <w:r>
              <w:rPr>
                <w:rStyle w:val="30"/>
                <w:color w:val="auto"/>
                <w:lang w:val="en-US" w:eastAsia="zh-CN" w:bidi="ar"/>
              </w:rPr>
              <w:t xml:space="preserve">5、转换速率：100V/us </w:t>
            </w:r>
            <w:r>
              <w:rPr>
                <w:rStyle w:val="30"/>
                <w:color w:val="auto"/>
                <w:lang w:val="en-US" w:eastAsia="zh-CN" w:bidi="ar"/>
              </w:rPr>
              <w:br w:type="textWrapping"/>
            </w:r>
            <w:r>
              <w:rPr>
                <w:rStyle w:val="30"/>
                <w:color w:val="auto"/>
                <w:lang w:val="en-US" w:eastAsia="zh-CN" w:bidi="ar"/>
              </w:rPr>
              <w:t xml:space="preserve">6、阻尼系数：&gt;100:1 </w:t>
            </w:r>
            <w:r>
              <w:rPr>
                <w:rStyle w:val="30"/>
                <w:color w:val="auto"/>
                <w:lang w:val="en-US" w:eastAsia="zh-CN" w:bidi="ar"/>
              </w:rPr>
              <w:br w:type="textWrapping"/>
            </w:r>
            <w:r>
              <w:rPr>
                <w:rStyle w:val="30"/>
                <w:color w:val="auto"/>
                <w:lang w:val="en-US" w:eastAsia="zh-CN" w:bidi="ar"/>
              </w:rPr>
              <w:t xml:space="preserve">7、输出连接：左右通道两组功率输出 </w:t>
            </w:r>
            <w:r>
              <w:rPr>
                <w:rStyle w:val="30"/>
                <w:color w:val="auto"/>
                <w:lang w:val="en-US" w:eastAsia="zh-CN" w:bidi="ar"/>
              </w:rPr>
              <w:br w:type="textWrapping"/>
            </w:r>
            <w:r>
              <w:rPr>
                <w:rStyle w:val="30"/>
                <w:color w:val="auto"/>
                <w:lang w:val="en-US" w:eastAsia="zh-CN" w:bidi="ar"/>
              </w:rPr>
              <w:t xml:space="preserve">8、动态压限：&lt;0.05% </w:t>
            </w:r>
            <w:r>
              <w:rPr>
                <w:rStyle w:val="30"/>
                <w:color w:val="auto"/>
                <w:lang w:val="en-US" w:eastAsia="zh-CN" w:bidi="ar"/>
              </w:rPr>
              <w:br w:type="textWrapping"/>
            </w:r>
            <w:r>
              <w:rPr>
                <w:rStyle w:val="30"/>
                <w:color w:val="auto"/>
                <w:lang w:val="en-US" w:eastAsia="zh-CN" w:bidi="ar"/>
              </w:rPr>
              <w:t xml:space="preserve">9、信噪比：≥71dB </w:t>
            </w:r>
            <w:r>
              <w:rPr>
                <w:rStyle w:val="30"/>
                <w:color w:val="auto"/>
                <w:lang w:val="en-US" w:eastAsia="zh-CN" w:bidi="ar"/>
              </w:rPr>
              <w:br w:type="textWrapping"/>
            </w:r>
            <w:r>
              <w:rPr>
                <w:rStyle w:val="30"/>
                <w:color w:val="auto"/>
                <w:lang w:val="en-US" w:eastAsia="zh-CN" w:bidi="ar"/>
              </w:rPr>
              <w:t xml:space="preserve">10、面板指示：削波，压限，信号 </w:t>
            </w:r>
            <w:r>
              <w:rPr>
                <w:rStyle w:val="30"/>
                <w:color w:val="auto"/>
                <w:lang w:val="en-US" w:eastAsia="zh-CN" w:bidi="ar"/>
              </w:rPr>
              <w:br w:type="textWrapping"/>
            </w:r>
            <w:r>
              <w:rPr>
                <w:rStyle w:val="30"/>
                <w:color w:val="auto"/>
                <w:lang w:val="en-US" w:eastAsia="zh-CN" w:bidi="ar"/>
              </w:rPr>
              <w:t xml:space="preserve">11、后面板接口：TRS/XLR二合一头×4，莲花×4，输出：莲花×2，2组专用欧姆头输出接口 </w:t>
            </w:r>
            <w:r>
              <w:rPr>
                <w:rStyle w:val="30"/>
                <w:color w:val="auto"/>
                <w:lang w:val="en-US" w:eastAsia="zh-CN" w:bidi="ar"/>
              </w:rPr>
              <w:br w:type="textWrapping"/>
            </w:r>
            <w:r>
              <w:rPr>
                <w:rStyle w:val="30"/>
                <w:color w:val="auto"/>
                <w:lang w:val="en-US" w:eastAsia="zh-CN" w:bidi="ar"/>
              </w:rPr>
              <w:t xml:space="preserve">12、输入灵敏度线路输入：350MV,话筒输入：XLR:30MV,6.35:350MV </w:t>
            </w:r>
            <w:r>
              <w:rPr>
                <w:rStyle w:val="30"/>
                <w:color w:val="auto"/>
                <w:lang w:val="en-US" w:eastAsia="zh-CN" w:bidi="ar"/>
              </w:rPr>
              <w:br w:type="textWrapping"/>
            </w:r>
            <w:r>
              <w:rPr>
                <w:rStyle w:val="30"/>
                <w:color w:val="auto"/>
                <w:lang w:val="en-US" w:eastAsia="zh-CN" w:bidi="ar"/>
              </w:rPr>
              <w:t xml:space="preserve">13、保护电路：软启动，输入浪涌限制，输出短路、直流、过载保护、主保险丝保护，开关机哑音保护、射频干扰保护 </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9C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148D8A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B93F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4"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7D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04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智慧黑板</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top"/>
          </w:tcPr>
          <w:p w14:paraId="799C576D">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一、硬件参数要求：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1.智能交互黑板整机采用三拼接平面一体化设计，无推拉式结构及外露连接线，外观简洁。双侧黑板支持磁性吸附功能，正面书写区域支持水笔、普通粉笔、无尘粉笔等多种笔书写。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2.智能交互黑板整机屏幕采用≥86英寸UHD超高清LED 液晶屏，显示比例16:9，屏幕图像分辨率≥3840*2160，整体长度≥4300mm。（提供生产厂家出具的、相应的功能证明材料,包括但不限于测试报告、官网和功能截图等）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3.支持Windows系统和Android系统至少20点触控及同时书写；（提供生产厂家出具的、相应的功能证明材料,包括但不限于测试报告、官网和功能截图等）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4.整机屏幕触摸有效识别高度≤3mm，即触摸物体离玻璃外表面高度不超3mm 时，触摸屏识别为点击操作。最小识别直径≤2mm，Windows系统下触摸书写延迟≤15ms，触摸响应时间：≤4ms。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5.整机采用全贴合技术，中间贴合层无空气介质、无水汽、无雾气，减少显示面板与玻璃间的偏光，显示更加清晰；（提供生产厂家出具的、相应的功能证明材料,包括但不限于测试报告、官网和功能截图等）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交互黑板支持板书记忆功能，可将黑板上的粉笔笔记实时同步至黑板显示区域，副板书写内容可实现本地保存并可选择保存路径，保存的板书内容自带页码并可保存至本地或进行二维码分享。（提供生产厂家出具的、相应的功能证明材料，包括但不限于测试报告、官网和功能截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7.支持粉笔、书写笔、手指都可以实现记忆互联功能；在手指关节连续敲击书写板面时，可快速启动板书记忆软件。（提供生产厂家出具的、相应的功能证明材料，包括但不限于测试报告、官网和功能截图等）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侧板采用顶部单边光学与红外技术，底部及双侧无电子结构，粉笔书写底部不积尘，无惧粉笔粉尘堆积，书写区域全板面水洗清洁。（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互联黑板支持不接触互联黑板无法书写，书写高度为0mm，通过上下翻页实现板书呈现，板书内容可无限叠加保存；提供悬浮窗功能，可在桌面与板书书写界面间进行切换（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开启或关闭书写同步功能，关闭时副板书写，主屏不予显示;开启时主屏恢复同步书写显示可通过副板擦除主屏上电子化记录的字迹，也可在主屏上进行擦除操作。（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11.支持通过副板擦除主屏上电子化记录的字迹，也可在主屏上进行擦除操作（提供生产厂家出具的、相应的功能证明材料，包括但不限于测试报告、官网和功能截图等）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12.交互黑板功耗≤350W，待机功耗≤0.5W,符合GB21520-2015能源1级要求；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13.交互黑板安卓系统具备四核CPU， Android 系统版本不低于11.0，存储空间≥8GB，并支持扩展存储；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14.智能交互黑板显示部分需采用高色域覆盖技术，NTSC色域标准下覆盖率不低于90%；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整机屏体具有物理防蓝光功能，无需其他操作即可达到蓝光防护效果,整机视力防护符合GB40070-2021视力防护标准，蓝光危害为RGO豁免级别。通过扫描交互设备前面板二维码即可获取产品防蓝光检测证书；（提供权威机构防蓝光检测证书；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16.整机提供前置输入接口，≥1路前置HDMI接口、≥2路前置双通道USB 3.0接口, ≥1路Type-C，Type-C支持音频、视频、数据、触控等功能，方便教学操作，外接设备与交互黑板连接时，外接设备可调用交互设备麦克风、音响、摄像头等功能；（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前置按键具有清晰简体中文标识，设备前置按键不少于8个，可实现音量加减、窗口关闭、触控开关、录屏等功能，电源按键支持开机、关机、待机三合一功能；（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18.整机内置2.0声道音箱，采用针孔阵列发声设计，至少2个前置15W中高音音箱，后置1个 20W低音音箱;满足教室基础的音视频播放需求；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设备教学常用接口和按键采用模块化设计，前置接口面板和按键面板支持单独前拆，在不需要拆黑板的背板情况下就可进行维修，方便快捷不影响教学；（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20.交互黑板具备一体化4K摄像头，支持 1300W有效像素的视频采集，视角在135°的范围下， 支持上下调节摄像头角度，支持扫描二维码功能快速调用信息;支持击鼓传花等AI教学功能，支持远程巡课、微课录制等功能，具备工作指示灯。（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交互黑板具有悬浮菜单，两指可快速移动悬浮菜单至按压位置，悬浮菜单可进行自定义分组，可添加AI互动软件等不少于30个应用（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交互黑板支持多种手势操作，如通过多指滑动屏幕，可快速实现Windows与专属教学系统界面的切换；通过按压屏幕即可进行息屏操作；通过两指即可实现快捷罗盘的瞬移；通过五指捏合即可快速实现多任务等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23.智能黑板需支持至少三种方式屏幕下移，屏幕下移后仍可进行触控、书写等操作，方便老师操作电脑上方功能；（提供生产厂家出具的、相应的功能证明材料,包括但不限于测试报告、官网和功能截图等）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24.交互黑板具备极速开机功能，在通电关机状态下，开机速度不超过2秒；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25.在windows的任意界面下均可开启录课功能，可实现三种录制模式，屏幕录制、屏幕+摄像头录制、专业级录制直播；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交互黑板整机须具备前置物理电脑还原按键，针孔式设计防止误操作，并具有中文丝印标识便于识别，无需专业人员即可轻松解决电脑系统故障；（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交互黑板可一键进行硬件自检，包括对系统内存、存储、触控系统、光感系统、内置电脑、屏体信息、主板型号、CPU型号、CPU使用率、设备名称等进行状态提示及故障提示；具备屏体温度实时监控、高温预警及断电保护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28.Android系统下主页提供不少于5个应用程序，并可随意替换。本地安卓白板软件具备面积识别功能，通过接触交互设备的面积大小实现智能擦除、粗细笔迹书写；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29.设备具备双侧软快捷功能键，黑板在任意通道下支持左右侧边工具栏功能，侧边工具栏不少于15个菜单工具，具备开关，且可单侧或双侧显示，可设置自动隐藏时间，包含的功能有桌面、窗口下移、多任务窗口切换、信号源切换、自定义等;操作便捷，功能丰富，满足教学应用需求。（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30.具备智能节电模式，在无操作或无信号输入15分钟时,出现关机提示倒计时；在无操作或无信号输入30分钟时, 自动关机；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31.交互黑板处于关机通电状态，外接设备接入交互黑板时，交互黑板可识别到外接设备的输入信号后自动开机；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32.在任意信号源下，从屏幕下方任意位置向上滑动，可调用快捷设置菜单；无需切换系统，可快速调节Windows 和Android 的设置；（提供生产厂家出具的、相应的功能证明材料,包括但不限于测试报告、官网和功能截图等）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二、内置电脑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1.整机架构:为降低电脑模块维护成本，接口严格遵循Intel相关规范,针脚数要求行业通用80Pin ,与设备无单独接线；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2.为保证产品安全性，采用螺丝固定，无需工具即可快速拆卸电脑模块；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3.CPU采用Intel第11代及以上平台处理器酷睿I5处理器；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4.内存：≥8G DDR4；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5.硬盘：≥256G SSD固态硬盘；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6.接口：非外扩展具备5个USB接口；具有独立非外扩展的视频输出接口：≥1路HDMI等；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7.标配正版windows系统及常用office教学办公软件, 提供软件、硬件一键系统还原方案;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三、智能交互教学系统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1.提供符合教师授课场景的教学桌面教学系统。支持将教师授课常用应用放至主页，单击即可打开应用，方便教师快捷调用软件；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提供专属定制的教育桌面，桌面中可显示时间、日期电脑中预装的教学软件等，并可根据功能应用自动归类，提供不少于四种应用类别。（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3.开机即可进入教学桌面，教师可按照自己使用习惯，更换常用软件、背景，形成教师的定制化桌面。可通过登录账户，在其他设备上同步展示教师定制化教学桌面；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4.支持三种（账号、扫码、U盘-key）登录方式，支持应用登录联动功能，教师登录系统后打开其他应用，可进行快捷登录，无需再次输入账户密码；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5.U盘插入时，无需额外操作自动弹出U盘文件夹，方便教师直接选取U盘中内容；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6.支持手势操作，左右滑动方便教师快速切换主页、应用页及Windows桌面，下滑屏幕下移，方便教师点击大屏上方功能按钮，上滑调起系统设置，方便教师快捷设置系统；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7.支持在任意界面下，通过前置物理按键返回教学桌面；同时支持一键调出多任务窗口，将所有运行中应用进行展示，方便教师快速切换应用；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8.提供数字资源模块，可快速到达专属教学云资源网站、国家智慧云平台，支持自定义添加常用教育教学资源网站。（提供生产厂家出具的、相应的功能证明材料,包括但不限于测试报告、官网和功能截图等）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四、备授课软件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1.支持多种登录方式；账号密码直接登录，手机验证码快捷登录、微信扫码登录；还支持免登录打开本地课件。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2.老师个人账号无需完成特定任务，即可获取不少于 200G 云端存储空间；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软件内预置的高质量课件素材，任课教师可根据教材章节目录、知识点选择对应的教学内容。老师仅需要按每个教学环节选择所需的教学模块即可快速生成一份课件。（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允许老师在网页端、移动端、电脑端浏览教学设计和课件内容。所有制作的课件均实时保存至云端，老师只需登录即可同步查看；（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5.提供PPT导入功能,支持导入进度条提示功能，可查看当前导入进度，上传完成后具有中文提示功能；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6.语文学科可以根据老师选择的课件组合自动生成与课件内容相匹配的个性化教案，并支持教案的在线编辑及教案的保存和打印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提供模块化的高质量课件素材和教案，课件支持组选：课堂导入，知识讲解，例题与变式，拓展延伸，课外活动等。课件总课时量不低于1000个课时；（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精选各省市高考、统考真题、学校考试真题，以及主流教辅书中的习题组成中学数学学科题库，题库总量达到20万题，题库自带答案及解析，题库内的题目支持支持筛选题型和试题难度，可支持直接插入到课件中。题库内容插入到课件之后，可以对题、答案、解析进行二次编辑，还可以对文本、公式进行二次编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9.提供英语生词卡片，按不同年级提供同一单词的不同释义生词卡片。常用单词自动生成配图、发音、释义；配图可根据老师的需求进行切换。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提供消消乐、知识配对、翻翻卡、填空能手、分屏竞技、连词成句、趣味选择等多种类型的课堂活动，每种课堂活动提供不少于3种活动模板，老师备课时通过活动模板即可快速制作交互式课堂活动；（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可自定义创建交互式动态课件，提供相应的教学画板工具。通过拖动或输入的方式改变对象的参数数值，相应的图像和函数随数值的变化而发生变化。调节缩放坐标轴，图像生成后可重新编辑。画板工具支持通过指令快速绘制平面图形、立体图形和函数图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12.支持绘制任意平面图形、任意几何图形、任意3D动态课件等，并可将绘制的函数图像一键导出为图片，插入课件中。（提供生产厂家出具的、相应的功能证明材料,包括但不限于测试报告、官网和功能截图等）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 课件播放状态下支持手写标注圈选功能，提供软笔、硬笔、纹理笔、智能笔、图章笔等不少于10种笔型6种颜色可选，可在课件中任意绘画,且可以用橡皮擦功能部分擦除和一键清页。（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14.支持课堂评价以勋章的形式，始终悬浮在页面右下角。支持对全班、单个或多个学生进行评价，评价结果可撤回。</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15.老师可通过移动端、PC端及网页端对学生进行行为评价打分，可显示班级得分前列的学生信息，界面、评价项、学生头像均采用卡通化方式，软件支持随机抽选学生进行评价。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五、媒体中心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提供课堂专属的影音播放平台，媒体中心主界面预留至少4个常用频道模块，支持教师自定义添加常用视频频道，用户可将常用频道一键添加至媒体中心主界面，无需单独安装视频播放软件。（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2.支持播放德育、美育、科普等各大频道的网络电台频道资源，频道可自定义添加，自由切换，也可在后台对频道进行统一创建、发布和删除，也可指定频道的轮播图和展示数量；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3.支持一键查看交互设备使用教程，视频教程不少于200个，包含交互设备使用基础教程、开学锦囊、软件使用、学科应用等内容，便于用户快速掌握交互设备的使用技巧。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4.支持扫码登录即可享有专属资源空间不少于50G，，教师可根据需求自行添加课程资源，频道资源、课件资源皆支持，资源需以链接方式添加；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5.支持本地视频资源模块可快速检索设备内视频资源，当有外接U盘等设备接入时，会自动弹出并快速检索U盘等外接设备中的视频资源；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为方便教师与学生快速了解实时新闻与科教资讯，无需下载视频播放APP，在线即可播放CCTV官网所有频道；具备新闻、体育、健康、科教、经济、农业、法制、军事、纪实、戏曲、音乐、影视等不少于16种类别视频资讯。（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六、录课助手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1.支持屏幕、屏幕+摄像头等多种形式的录制，也可结合录播系统进行全景录制；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2.支持对视频清晰度的调整，提供高清、超清、超高清的切换，方便用户在手机、电脑或者大屏上观看。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3.具有便捷的录制工具条，可快速录制，可移动，3s 无操作即变为半透明；可实时查看录制进度，进行暂停、 开始、结束操作；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4.录制过程中支持随时开启分享功能，实现即时直播，听课端无需下载软件，扫描二维码即可进入直播课堂并进行互动；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5.支持麦克风功能测试；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6.在桌面及摄像头录制场景下，能自动侦测摄像头，可识别出展台摄像头，同时支持摄像头 画面的切换、移动及大小的调整；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开通直播后生成直播海报、直播码，易于分享，多人观看无压力，且支持手机端、PC端观看直播，可实现课堂实时评论；（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8.录制视频可自动保存在本地，也可上传至云端教师空间，结束录制即生成回看视频，可快速浏览录制情况；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9.录制列表支持按时间查找所有已录制视频并可查看录制详情，包括录制日期、文件大小、 上传状态，同时可扫码回看所有已上传视频；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10.录制视频支持点播、分享、编辑等功能，也可将视频共享到学校空间，方便校本资源的建设和管理。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七、演示助手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1.支持双侧工具栏位置自定义；可适用于WPS与PPT，打开课件自动启动，无需手动打开；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2.在不修改WPS与PPT的课件格式情况下，支持原文档随时批注，擦除；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提供十种书写笔，包括：硬笔、软笔、手势笔、竹笔、图章笔等。其中多种书写笔支持至少五种颜色和多种笔迹粗细模式的更换，为方便教师辨识，所有书写笔提供中文指引；（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4.提供多种教学常用工具，无需切换软件，即可在WPS与PPT的课件中添加时钟、放大镜、聚光灯等小工具；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5.支持在WPS与PPT的课件播放音视频时，无需通过物理按键即可实现黑屏，轻触屏幕即可点亮，同时支持在黑屏状态下不影响音视频的正常播放。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八、集控管理平台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（一）终端软件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1.支持一键查看设备连接信息，包含Windows/office版本，硬盘、CPU、蓝牙状态（关闭状态下可进行开启）、内存、网络状态、OPS S/N号、固件版本号；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提供冰点还原，支持一键开启/关闭系统保护;开启系统保护时，可有效避免病毒的入侵和系统破坏，此期间无论安装软件、拷贝文件、删除文件、更改系统配置等操作，设备重启后又将恢复到之前开启保护前状态；（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3.提供广告拦截，对广告弹窗实现一键拦截，默认直接开启拦截;支持查看各软件弹窗拦截次数，拦截数量，所有拦截记录等，可提供软件拦截名单，保障教室设备正常教学；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4.软件窗口支持最小化隐藏到系统托盘，不影响教师日常使用；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微信小程序实时查看在线离线设备,对一台或多台设备集中管理,可执行开机、关机、童锁锁定、解锁等操作;支持实时监控桌面画面，查看当前设备使用详情，包含CPU使用率、内存使用率、C盘容量、音量、开机时长、童锁状态信息；保障教室设备正常教学。（提供生产厂家出具的、相应的功能证明材料,包括但不限于测试报告、官网和功能截图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（二）、集控平台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1.后台控制端采用B/S架构设计，支持Windows、Linux、Android、IOS等多种不同的操作系统上通过网页浏览器登录进行操作；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2.支持查看校园内所有设备的状态，包括在线、离线状态，教室名称、内存使用率、CPU使用率、C盘使用率，支持按照设备类型、设备名称进行查询筛选;支持按列表展示以及按缩略图展示；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3.支持批量对选定的受控设备进行关机、重启、触控切换（屏幕触控锁定、解锁），童锁切换、信号源切换、音量调节、打铃操作；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查看控制列表,查看立即控制、定时计划、信息发布等内容;包含下发命令内容、执行时间、执行策略、已执行数量等内容;可对具体某项定时操作进行撤销;并可查看定时计划名称、命令、执行策略、计划状态等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5.可即时向任意选定的设备发布纯文本信息，至少支持常驻桌面型、滚动发布型及气泡弹出提示，可设置播放时长，支持再次编辑；支持设置字体及字体颜色；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远程开启/关闭系统保护;开启系统保护时，可有效避免病毒的入侵和系统破坏,此期间无论安装软件、拷贝文件、删除文件、更改系统配置等操作，设备重启后又将恢复到之前开启保护前状态;开启系统保护时，终端右下角提示开保护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可远程巡课，默认查看当前屏幕画面，实时监控当前设备桌面，支持同时查看设备不少于100台;可一键切换为摄像头画面，包括学生画面、教师画面（搭配录播设备使用），同步教室声音;无需部署本地巡课服务器（云集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8.课间文化：选择音视频下发至大屏，自定义时间自动播放；单次播放，每日/月/周定时播放；无需部署本地服务器；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 提供以图文形式对设备的使用情况进行数据统计,可以按照一定时间周期进行统计，也支持按日、周、月进行统计；统计内容包括设备数量、设备开机率、设备开机时长、软件使用活跃度、设备活跃度排行、设备使用时长分布、设备在线数量、学科使用情况等，支持以统计图表显示及以excel格式导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FB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DE5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0824D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FF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53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互动显示屏</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23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国内知名品牌：屏幕尺寸（英寸）≧55英寸屏幕宽高比16:9显示色彩16.7M分辨率1920×1080 （含吊架)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亮度指标：≧350CD/㎡</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64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8B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44DC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1"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9D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D0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资源平台服务器</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F1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（1）设备高度：≤1U</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▲（2）硬件架构：嵌入式ARM架构设计，主机出厂内置视频资源管理平台，无需进行复杂的系统环境、软件安装操作。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（3）系统支持：Linux系统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（4）数据库支持：MYSQL</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（5）存储容量：4TB SATA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（6）网络连接：RJ45千兆网口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（7）通讯接口：USB2.0≥2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（8）支持Rst设备一键复位功能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（9）采用安全电压不大于DC36V供电，节能环保，采用无风扇设计，低噪音。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（10）支持流媒体转发、直播、点播功能，单台主机支持不少于200点转发直播、支持大规模点播。</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F0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3A2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4E5E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15"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BA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76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资源管理平台系统</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3E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总体架构: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1、采用B/S构架，促进优质教育资源的共建共享，可观看教师授课直播实况；可同时支持多个直播间的设定；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▲2、支持与区县资源平台的对接，实现学校平台与区县平台的的优质资源上传与管理。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一．信息管理模块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（1）录播管理：支持将录播设备接入平台，实现自动转码、视频直播点播，并具备多画面直播和点播功能。支持后台自动转码，无需等待。支持对录播进行远程关机、休眠唤醒、启动录制等操作。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（2）支持校平台与上级平台进行对接，校平台资源可向上级平台提交，并能参加上级平台组织的活动。提交资源，并能参加区域平台组织的各项教学、教研活动。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（3）用户管理：支持用户的初始化导入、用户组管理、用户权限管理，为教师、学生提供注册、个人信息管理等服务。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（4）支持教师通过课表对录播设备进行预约，并可设置是否直播。设置直播后，在平台首页显示直播预告信息。预约成功后，课堂教学录像可自动上传至教师个人空间。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（5）平台支持视频资源多维度分类查看，如按年级、学科等分类管理，并根据关注度、用户推荐度和点击热度的不同在页面显眼处自动生成相应的列表。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（6）视频专辑：用户可灵活创建各种视频专辑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（7）公告发布：当学校有临时紧急或重要通知时，可通过资源管理平台发布字幕通知。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（8）支持视频下载、上传、编辑、管理。可实现所有主流视频文件格式自动转码，包括asf、mpg、rmvb、mov、rm、avi、3gp、wmv、flv、mp4等，可设置下载及观看权限。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（9）手动生成知识点片段视频，知识点标识内嵌于视频播放窗口界面，观看视频时可以通过点击索引自动播放相应时间点视频片段。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（10）支持S-T分析，可根据直播内容，自动生成S—T模型；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（11）支持通过搜素关键词，对某个视频标题、知识点和教学环节进行搜索。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（12）当国家在特殊日子进行追悼、缅怀或特殊纪念日时，应能配合国家及教育局的倡导，能一键让资源管理平台页面呈现灰色；网站置灰后可设置恢复。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（13）强制播放功能：点播任意视频时时强制播放已设定视频，便于学校统一播放和管理。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（14）支持平台对用户访问数量进行统计，并图形化展示。支持对视频直播、点播进行统计，并以图形展现近期访问流量变化趋势。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（15）存储管理：平台支持设置视频的保存期限，支持平台对录播内的视频进行保存期限设置。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二.直播点播模块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（1）基于flash技术，无需安装插件即可进行视频点播观看。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（2）支持流媒体转发服务，平台支持高并发高清直播功能。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（4）平台支持多码流直播点播，能够根据网络带宽情况，实现高清/标清/流畅切换。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（5）支持直播权限及密码设置，让直播信息更加安全。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三.微课管理系统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（1）提供微课自定义时长，支持按学段、学科进行自动归类整理。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（2）平台下载微课录制软件并安装于笔记本电脑中。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（3）微课视频录制完毕后支持一键上传到平台，或下载到本地电脑保存。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四.移动APP应用服务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（1）支持与视频资源管理平台对接。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（2）平台支持多终端访问，可以通过windows、IOS、Android、WinPhone等跨平台访问.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（3）移动端同步支持虚拟切片功能，实现知识点的快速跳转观看、学习，提高学生的学习效率。</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CD4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D5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6764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2"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01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18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多媒体讲桌</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2F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1、讲桌采用钢木结合构造，桌体上部分采用圆弧设计。讲台整体设计符合人体力学原 理，提供左右实木扶手，供使用者扶用。重点部位须采用一次冲压成型技术；所有钣 金部分均采用激光切割加工，所有尖角倒圆角不小于R3，保证使用者和维护者不划伤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2、上柜体只需由一把机械锁控制，采用环环相扣设计，键盘、中控和展示台抽屉逐步 打开。上柜配有键盘抽屉及中控抽屉。操作更简易，使用更安全。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3、讲桌桌面采用木质耐划台面，闭合时讲台桌面为完整水平木台面，可作为教师演 讲桌使用。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4、讲桌主体材料采用1.5mm冷轧钢板，其他辅助部门采用1.2mm冷轧钢板。讲台正面配有留有LOGO木制面板。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5、讲桌上下层采用分体式设计，桌面部分和桌体部分自成一体，方便进出设计比较窄 的教室门。讲桌内置固定螺丝孔位，安装简单，安全防盗；独立包装，运输轻便。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6、显示器可调节倾斜角度，可装置19-22寸液晶宽屏显 示器，上柜右侧抽屉可放置实物展示台，关闭后所有设备都隐藏在讲台内。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7、可选配漏电保护器。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AFE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D9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34155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6"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0A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E1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培训桌椅</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9F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边脚：采用φ32*1.5MM弯管+4.0冷轧钢板组合焊接而成，两侧配置挂钩配件，底部配配球形调节脚或M8灰白活动轮；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横梁：采用1.5冷轧钢板折弯成型；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挡板：采用0.9冷轧钢板冲孔成型；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钢斗：采用0.7冷轧钢制作成型；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艺要求：采用国标一级冷轧钢（白管），焊接部位均采用C02气体保护焊及激光焊工艺高频焊接，焊接吻合无裂缝；所有组件经模具冲压折弯焊接而成，暴露焊接部分打磨，焊点无毛刺、无脱焊，且经打磨、平磨、平整处理，符合GB/T3325-2024《金属家具通用技术条件》*QB/T 4767-2014《家具用钢构件》，成品和所有原材料除达到以上约定标准外，其他技术指标和质量要求（如安全性能、环保性能等）均应符合相关国家标准或行业标准。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产品表面经除油、去锈、酸洗、磷化等九道工序处理，采用静电喷粉工艺，涂层使用环保型阿克苏静电粉末涂料，高温塑化而具有抗冲击、耐老化、耐磨、防火等性能；粉末符合欧盟RoHS 2.0重金属限值及HG/T 2006-2022《热固性和热塑性粉末涂料》要求；金属涂层按QB/T 3827-1999：乙酸盐雾（ASS，300h） 进行腐蚀试验，试验结果按 QB/T 3832-1999 评定：涂层对基体保护等级10级，涂层耐蚀等级10级。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规格尺寸：720*520*750mm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6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222EDD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6B795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6"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D2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BB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辅助显示屏</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7F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国内知名品牌：屏幕尺寸（英寸）≧65英寸屏幕宽高比16:9显示色彩16.7M分辨率1920×1080 （含吊架)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亮度指标：≧350CD/㎡</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A9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4082B9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563E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75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E8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教室及观摩室吸音降噪处理</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D2B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教室尺寸：19m*7.5m*3.42m，分割为2部分功能区域，一部分为多功能录播教室，一部分为听课观摩室，采用轻钢龙骨分割，双层石膏板打底，填充岩棉，贴饰面板。材料环保达到一级防火。</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一、教室顶部处理：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1、顶部采用矿棉板、轻钢龙骨、吊顶杆件等材料。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2、天花板吊顶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3、顶部灯光设计和安装，灯光照度满足4k摄像机录制要求，光线充足，无阴影。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二、教室地面处理：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1、地面需铺设，地面需做自流平、讲台区域根据现场环境加工。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2、铺设塑胶或石塑地板，色调要与墙面及桌椅协调，需提供塑胶地板材料小样。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3、讲台处理：讲台上也需铺设塑胶地板以减少老师走动时的杂音。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三、教室墙面处理：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1、墙面基层用石膏板找平，填充岩棉，饰面板采用聚酯纤维吸引板、木质环保吸音板、不锈钢腰线和不锈钢踢脚线、木龙骨、吸音棉等材料。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2、腰线以上使用聚酯纤维吸引板材装饰，腰线以下采用木质吸音板装饰，聚酯纤维吸引板和木质吸音板颜色必须搭配协调。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3、窗帘采用厚实窗帘，具有吸音和有效隔绝自然光的作用，色调与墙体协调。</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5D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nil"/>
              <w:left w:val="single" w:color="000000" w:sz="4" w:space="0"/>
              <w:bottom w:val="single" w:color="000000" w:sz="4" w:space="0"/>
              <w:right w:val="single" w:color="000000" w:sz="4" w:space="0"/>
            </w:tcBorders>
            <w:shd w:val="clear" w:color="auto" w:fill="auto"/>
            <w:noWrap/>
            <w:vAlign w:val="center"/>
          </w:tcPr>
          <w:p w14:paraId="6DC675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间</w:t>
            </w:r>
          </w:p>
        </w:tc>
      </w:tr>
      <w:tr w14:paraId="3BA93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9"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6B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4F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观摩室显示屏</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F7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国内知名品牌：屏幕尺寸（英寸）≧55英寸屏幕宽高比16:9显示色彩16.7M分辨率1920×1080 （含吊架)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亮度指标：≧350CD/㎡</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75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58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417B6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9"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8C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DC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强弱电布线</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EA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1、独立配电箱，满足照明、设备、空调等供电。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2、弱电布线：六类网线满足网络信号传输；音频、视频3G-SDI。</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44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0D5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6C64D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8C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2C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机柜及辅材</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41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24U机柜，16口千兆交换机，视频线、音频线、HDMI线等辅材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0B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3A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8D87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C9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0D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施工费</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EA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设备安装、调试等</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DC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89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r>
      <w:tr w14:paraId="4F7F9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65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71F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观摩室操作桌椅</w:t>
            </w:r>
          </w:p>
        </w:tc>
        <w:tc>
          <w:tcPr>
            <w:tcW w:w="6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84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桌子规格材质：1.6米，钢木结构；2把电脑转椅。</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960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03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bl>
    <w:p w14:paraId="5B015B2C">
      <w:pPr>
        <w:rPr>
          <w:rFonts w:hint="eastAsia"/>
          <w:color w:val="auto"/>
        </w:rPr>
      </w:pPr>
    </w:p>
    <w:p w14:paraId="20B6A866">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0819AB4F">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72D58CB8">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581EF4EC">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702CE012">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1C26154C">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12586154">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p>
    <w:p w14:paraId="35762C9F">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r>
        <w:rPr>
          <w:rFonts w:hint="eastAsia"/>
          <w:color w:val="auto"/>
          <w:sz w:val="24"/>
          <w:szCs w:val="24"/>
        </w:rPr>
        <w:t>第四章 商务条款</w:t>
      </w:r>
      <w:bookmarkEnd w:id="9"/>
    </w:p>
    <w:p w14:paraId="3909195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一、交货期：</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日历天</w:t>
      </w:r>
    </w:p>
    <w:p w14:paraId="3C99CD7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二、供货地点：甲方指定范围</w:t>
      </w:r>
    </w:p>
    <w:p w14:paraId="0D183FB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三、报价要求：</w:t>
      </w:r>
    </w:p>
    <w:p w14:paraId="46943FE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1、投标总价包括设备价款、安装调试费用、税金、验收、培训、维保、售后服务等为完成该项目所需的一切相关费用，采购人不再单独支付其他任何费用。</w:t>
      </w:r>
    </w:p>
    <w:p w14:paraId="04AD460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2、中标价（中标价）不受国家政策性调价或原材料价格变化的影响。</w:t>
      </w:r>
    </w:p>
    <w:p w14:paraId="1E4E000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3.项目采购预算：</w:t>
      </w:r>
      <w:r>
        <w:rPr>
          <w:rFonts w:hint="eastAsia" w:ascii="仿宋" w:hAnsi="仿宋" w:eastAsia="仿宋" w:cs="仿宋"/>
          <w:color w:val="auto"/>
          <w:sz w:val="24"/>
          <w:szCs w:val="24"/>
          <w:lang w:val="en-US" w:eastAsia="zh-CN"/>
        </w:rPr>
        <w:t>403,400.00</w:t>
      </w:r>
      <w:r>
        <w:rPr>
          <w:rFonts w:hint="eastAsia" w:ascii="仿宋" w:hAnsi="仿宋" w:eastAsia="仿宋" w:cs="仿宋"/>
          <w:color w:val="auto"/>
          <w:sz w:val="24"/>
          <w:szCs w:val="24"/>
        </w:rPr>
        <w:t xml:space="preserve"> 元，报价若超过项目采购预算，其报价将视为无效。</w:t>
      </w:r>
    </w:p>
    <w:p w14:paraId="580D351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四、付款方式：</w:t>
      </w:r>
    </w:p>
    <w:p w14:paraId="38F1FD9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1.支付方式：银行转账。</w:t>
      </w:r>
    </w:p>
    <w:p w14:paraId="5285B42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2.签订合同时，双方协商给予付款。</w:t>
      </w:r>
    </w:p>
    <w:p w14:paraId="47766E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五、质量保证</w:t>
      </w:r>
    </w:p>
    <w:p w14:paraId="54AE53D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1、验收合格之日起不少于</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 xml:space="preserve"> 个月（参数中有具体要求的，按参数要求提供质保）。中标人承诺的质保时间超过招标文件要求的，按其承诺时间质保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提供质量保证书面承诺书并加盖公章，否则视同未实质性响应标书处理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p>
    <w:p w14:paraId="3DDB6E2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2、为便于采购人能及时掌握并熟练操作，中标单位应保证两期教学培训。</w:t>
      </w:r>
    </w:p>
    <w:p w14:paraId="61E37DE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3、中标人承诺的质保期起始时间为终验合格之日。</w:t>
      </w:r>
    </w:p>
    <w:p w14:paraId="0678B3A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4、所有产品质量必须符合国家有关规范和相关政策。所有货物及辅材必须是未使用过的新产品，质量优良、渠道正当。</w:t>
      </w:r>
    </w:p>
    <w:p w14:paraId="146FED4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5、质保期出现的非人为破坏的质量问题由中标人负责解决并承担所有费用。</w:t>
      </w:r>
    </w:p>
    <w:p w14:paraId="396FEFF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六、售后服务</w:t>
      </w:r>
    </w:p>
    <w:p w14:paraId="3F11620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1.质量保证期： 自交货验收完毕之日算起，所有产品质保期不低于1年。报价供应商对提供的物资在质保期内，因产品质量而导致的缺陷，必须免费提供包修、包换、包退服务， 因此导致的损失采购单位有权向成交供应商追偿。超出质保期后，报价供应商应当提供上门维修服务，仅收取成本费。</w:t>
      </w:r>
    </w:p>
    <w:p w14:paraId="5A733D0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2.投标供应商须承诺提供该货物的技术培训、技术支持和维修巡检服务，并在投标文件中提供相应书面方案。</w:t>
      </w:r>
    </w:p>
    <w:p w14:paraId="703A9AF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3.投标供应商须提供生命周期内零备件和消耗品清单，并明确供应周期和价格等优惠条件。</w:t>
      </w:r>
    </w:p>
    <w:p w14:paraId="266EE88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投标供应商须承诺，对售后服务需求提供不高于2小时响应。24小时内到达现场实施维修。48小时仍未排除故障、恢复正常运转的，由投标供应商提供同类型备品、备件等（投标人提供书面售后服务承诺函并加盖投标人公章</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投标人必须做出实质性响应，否则按无效投标处理）。</w:t>
      </w:r>
    </w:p>
    <w:p w14:paraId="6FBAD36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七、技术资料</w:t>
      </w:r>
    </w:p>
    <w:p w14:paraId="1AE10D3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供货时提供包括但不限于以下资料：</w:t>
      </w:r>
    </w:p>
    <w:p w14:paraId="64BCA44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1、产品合格证；</w:t>
      </w:r>
    </w:p>
    <w:p w14:paraId="5494B4B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2、产品使用说明书；</w:t>
      </w:r>
    </w:p>
    <w:p w14:paraId="3F39657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3、厂家对该产品的出厂配置清单；</w:t>
      </w:r>
    </w:p>
    <w:p w14:paraId="7C916FF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4、其它相关资料。</w:t>
      </w:r>
    </w:p>
    <w:p w14:paraId="6E08C93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八、运输及方式</w:t>
      </w:r>
    </w:p>
    <w:p w14:paraId="3CA2028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1、选择运输风险小、运费低、距离短的运输路线。</w:t>
      </w:r>
    </w:p>
    <w:p w14:paraId="77385F8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2、运输方式：乙方根据自己需求自行决定</w:t>
      </w:r>
    </w:p>
    <w:p w14:paraId="05C8ADD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3、运杂费一次包死在总价内，包括生产厂到施工现场所需的装卸、运输（含保险费）、现场保管费、三次倒运费、吊装费等费用。</w:t>
      </w:r>
    </w:p>
    <w:p w14:paraId="4D6FF24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九、验收</w:t>
      </w:r>
    </w:p>
    <w:p w14:paraId="77477B5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1、验收原则</w:t>
      </w:r>
    </w:p>
    <w:p w14:paraId="359E8A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供应商须保证本次招标所涉及到的所有产品全部满足本项目的需求，并且不会因知识产权问题给采购人造成法律等方面纠纷或造成的项目进度拖延，否则采购方有权拒绝验收。</w:t>
      </w:r>
    </w:p>
    <w:p w14:paraId="7691BAF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2、项目验收分初验和终验：</w:t>
      </w:r>
    </w:p>
    <w:p w14:paraId="4AB1F8F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初验：货物到达交货地点后，由使用单位根据合同对货物（设备）的名称、品牌、规格、型号、产地、数量进行检查；所有设备兼容性良好，性能稳定，功能完善，符合使用单位要求。</w:t>
      </w:r>
    </w:p>
    <w:p w14:paraId="7D907F2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终验：所有货物(设备)安装、调试完毕，所有设备兼容性良好、性能稳定，正常使用10个日历日后，由采购人进行终验（最终验收），合格后签发《终验合格单》。</w:t>
      </w:r>
    </w:p>
    <w:p w14:paraId="45DFB9B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验收不合格的中标单位，必须在接到通知后7个日历日内确保货物(设备)通过验收。若接到通知后7个日历日内验收仍不合格，采购人可提出索赔或取消其供货合同。招标代理机构将把中标资格授予评审排序下一名的供应商。</w:t>
      </w:r>
    </w:p>
    <w:p w14:paraId="3B65EF2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3、验收依据</w:t>
      </w:r>
    </w:p>
    <w:p w14:paraId="45EABCA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（1）合同文本及合同补充文件（条款）。</w:t>
      </w:r>
    </w:p>
    <w:p w14:paraId="6175830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（2）产品来源的相关证明材料。</w:t>
      </w:r>
    </w:p>
    <w:p w14:paraId="200D1B6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（3）招标文件。</w:t>
      </w:r>
    </w:p>
    <w:p w14:paraId="3205DA0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（4）中标人的响应文件。</w:t>
      </w:r>
    </w:p>
    <w:p w14:paraId="6C9B0A9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（5）合同货物清单。</w:t>
      </w:r>
    </w:p>
    <w:p w14:paraId="6AA4107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十、合同实施：</w:t>
      </w:r>
    </w:p>
    <w:p w14:paraId="0F70A2A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1、中标单位应在合同签订后3个日历日内安排人员与采购单位对接采购设备技术参数实施情况。</w:t>
      </w:r>
    </w:p>
    <w:p w14:paraId="37E5808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2、若因中标单位原因未能在招标文件要求的时间完成合同规定的义务，由此对采购人造成的延误和一切损失，由中标单位人承担和赔偿。</w:t>
      </w:r>
    </w:p>
    <w:p w14:paraId="1B4EF3F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十一、违约责任：</w:t>
      </w:r>
    </w:p>
    <w:p w14:paraId="70F2DB4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1、按《中华人民共和国民法典》中的相关条款执行。</w:t>
      </w:r>
    </w:p>
    <w:p w14:paraId="0C3A8CD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2、未按合同要求提供产品或产品质量不能满足技术要求，采购人有权终止合同，并对供方违约行为进行追究，同时按《政府采购法》的有关规定进行处罚。</w:t>
      </w:r>
    </w:p>
    <w:p w14:paraId="4971445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3、中标供应商不得将项目任意事项转包或分包，否则采购方有权依据《民法典》有关条款及合同约定终止合同，并要求供货方承担违约责任。</w:t>
      </w:r>
    </w:p>
    <w:p w14:paraId="495DF5C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注：商务要求为实质性要求，不得负偏离</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否则投标无效</w:t>
      </w:r>
      <w:r>
        <w:rPr>
          <w:rFonts w:hint="eastAsia" w:ascii="仿宋" w:hAnsi="仿宋" w:eastAsia="仿宋" w:cs="仿宋"/>
          <w:color w:val="auto"/>
          <w:sz w:val="24"/>
          <w:szCs w:val="24"/>
        </w:rPr>
        <w:t>。</w:t>
      </w:r>
    </w:p>
    <w:p w14:paraId="4EB153C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headerReference r:id="rId7" w:type="default"/>
          <w:footerReference r:id="rId8" w:type="default"/>
          <w:pgSz w:w="11907" w:h="16840"/>
          <w:pgMar w:top="709" w:right="1531" w:bottom="709" w:left="1531" w:header="0" w:footer="1041" w:gutter="0"/>
          <w:pgNumType w:fmt="decimal"/>
          <w:cols w:space="720" w:num="1"/>
        </w:sectPr>
      </w:pPr>
    </w:p>
    <w:p w14:paraId="23468AB6">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bookmarkStart w:id="10" w:name="_Toc26058"/>
      <w:r>
        <w:rPr>
          <w:rFonts w:hint="eastAsia"/>
          <w:color w:val="auto"/>
          <w:sz w:val="24"/>
          <w:szCs w:val="24"/>
        </w:rPr>
        <w:t>第五章 采购合同</w:t>
      </w:r>
      <w:bookmarkEnd w:id="10"/>
    </w:p>
    <w:p w14:paraId="721AA0C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货物类</w:t>
      </w:r>
    </w:p>
    <w:p w14:paraId="739A215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bookmarkStart w:id="11" w:name="bookmark6"/>
      <w:bookmarkEnd w:id="11"/>
      <w:r>
        <w:rPr>
          <w:rFonts w:hint="eastAsia" w:ascii="仿宋" w:hAnsi="仿宋" w:eastAsia="仿宋" w:cs="仿宋"/>
          <w:color w:val="auto"/>
          <w:sz w:val="24"/>
          <w:szCs w:val="24"/>
        </w:rPr>
        <w:t>政府采购合同</w:t>
      </w:r>
    </w:p>
    <w:p w14:paraId="128F46E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lang w:val="en-US" w:eastAsia="zh-CN"/>
        </w:rPr>
        <w:t>白河县城关镇第三小学多功能录播教室设备采购项目</w:t>
      </w:r>
    </w:p>
    <w:p w14:paraId="02C5FE7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招标采购文件编号：                            </w:t>
      </w:r>
    </w:p>
    <w:p w14:paraId="1424EC6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甲方：白河县城关镇中心小学</w:t>
      </w:r>
    </w:p>
    <w:p w14:paraId="56F89C5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乙方：</w:t>
      </w:r>
    </w:p>
    <w:p w14:paraId="34FB185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【注：本合同仅为参考文本，合同签订双方根据具体要求进行修订。】</w:t>
      </w:r>
    </w:p>
    <w:p w14:paraId="1EECC05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430B72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CC6493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甲方：白河县城关镇中心小学</w:t>
      </w:r>
    </w:p>
    <w:p w14:paraId="17DD096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乙方：</w:t>
      </w:r>
    </w:p>
    <w:p w14:paraId="5DB83BA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双方根据《中华人民共和国民典法》、《中华人民共和国政府采购法》及其他法律、法规的规定，并按照平等、 自愿的原则，同意按照下面的条款和条件，签署本合同。</w:t>
      </w:r>
    </w:p>
    <w:p w14:paraId="34B67D5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第一条 设备明细表如下:</w:t>
      </w:r>
    </w:p>
    <w:tbl>
      <w:tblPr>
        <w:tblStyle w:val="20"/>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66"/>
        <w:gridCol w:w="1262"/>
        <w:gridCol w:w="1262"/>
        <w:gridCol w:w="1262"/>
        <w:gridCol w:w="1264"/>
        <w:gridCol w:w="1262"/>
        <w:gridCol w:w="1268"/>
      </w:tblGrid>
      <w:tr w14:paraId="7C195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15" w:type="pct"/>
            <w:vAlign w:val="top"/>
          </w:tcPr>
          <w:p w14:paraId="6344F00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货物名称</w:t>
            </w:r>
          </w:p>
        </w:tc>
        <w:tc>
          <w:tcPr>
            <w:tcW w:w="713" w:type="pct"/>
            <w:vAlign w:val="top"/>
          </w:tcPr>
          <w:p w14:paraId="056A901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品牌</w:t>
            </w:r>
          </w:p>
        </w:tc>
        <w:tc>
          <w:tcPr>
            <w:tcW w:w="713" w:type="pct"/>
            <w:vAlign w:val="top"/>
          </w:tcPr>
          <w:p w14:paraId="79E3426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规格型号</w:t>
            </w:r>
          </w:p>
        </w:tc>
        <w:tc>
          <w:tcPr>
            <w:tcW w:w="713" w:type="pct"/>
            <w:vAlign w:val="top"/>
          </w:tcPr>
          <w:p w14:paraId="362298C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714" w:type="pct"/>
            <w:vAlign w:val="top"/>
          </w:tcPr>
          <w:p w14:paraId="59E3D7A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c>
          <w:tcPr>
            <w:tcW w:w="713" w:type="pct"/>
            <w:vAlign w:val="top"/>
          </w:tcPr>
          <w:p w14:paraId="151C23D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单价</w:t>
            </w:r>
          </w:p>
        </w:tc>
        <w:tc>
          <w:tcPr>
            <w:tcW w:w="716" w:type="pct"/>
            <w:vAlign w:val="top"/>
          </w:tcPr>
          <w:p w14:paraId="2DDB8C7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总价</w:t>
            </w:r>
          </w:p>
        </w:tc>
      </w:tr>
      <w:tr w14:paraId="58CEC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15" w:type="pct"/>
            <w:vAlign w:val="top"/>
          </w:tcPr>
          <w:p w14:paraId="2458EFF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3" w:type="pct"/>
            <w:vAlign w:val="top"/>
          </w:tcPr>
          <w:p w14:paraId="293051C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3" w:type="pct"/>
            <w:vAlign w:val="top"/>
          </w:tcPr>
          <w:p w14:paraId="0B50E5B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3" w:type="pct"/>
            <w:vAlign w:val="top"/>
          </w:tcPr>
          <w:p w14:paraId="52F4C51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4" w:type="pct"/>
            <w:vAlign w:val="top"/>
          </w:tcPr>
          <w:p w14:paraId="13D2FA3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3" w:type="pct"/>
            <w:vAlign w:val="top"/>
          </w:tcPr>
          <w:p w14:paraId="6B89106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16" w:type="pct"/>
            <w:vAlign w:val="top"/>
          </w:tcPr>
          <w:p w14:paraId="4EFF188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1883FC5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乙方应提供设备的技术文件，包括相应的图纸、操作手册、维护手册、质量保证文件、检验合格证、服务指南等。</w:t>
      </w:r>
    </w:p>
    <w:p w14:paraId="6DAFB02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第二条 技术标准</w:t>
      </w:r>
    </w:p>
    <w:p w14:paraId="3781367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在符合招标文件采购需求和技术要求以及国家相关技术标准的基础上，甲、乙双方根据投标文件、技术标准和规范及本合同约定进行技术验收;甲方验收合格后，双方在《验收合格单》上签字确认。</w:t>
      </w:r>
    </w:p>
    <w:p w14:paraId="50808A0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第三条 供货时间及交付地点:</w:t>
      </w:r>
    </w:p>
    <w:p w14:paraId="0C910D9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1.交货期：</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日历天</w:t>
      </w:r>
    </w:p>
    <w:p w14:paraId="4258DFD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2.乙方在合同生效按采购人需求向甲方交付上述设备。</w:t>
      </w:r>
    </w:p>
    <w:p w14:paraId="1C4AFE9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3.乙方确保设备安全无损地运抵甲方指定现场，并承担运费、保险费、税费及设备的安装调试。</w:t>
      </w:r>
    </w:p>
    <w:p w14:paraId="5587541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第四条 安装和验收</w:t>
      </w:r>
    </w:p>
    <w:p w14:paraId="342C236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1.设备到货后，乙方应在接到甲方通知后    天内安装调试完成。</w:t>
      </w:r>
    </w:p>
    <w:p w14:paraId="6F83C49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2.甲、乙双方在符合国家相关技术标准的基础上，根据合同的技术标准进行技术验收，验收合格后，双方在甲方《验收合格单》上签字确认。</w:t>
      </w:r>
    </w:p>
    <w:p w14:paraId="44C6577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第五条 货款及支付方式</w:t>
      </w:r>
    </w:p>
    <w:p w14:paraId="323F4B0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1.合同总价为人民币:（大写）    ；  (¥:    )</w:t>
      </w:r>
    </w:p>
    <w:p w14:paraId="26433A3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2.投标人须向采购人出具合法有效完整的完税发票及凭证资料进行支付结算。验收完成半年后全额付款。</w:t>
      </w:r>
    </w:p>
    <w:p w14:paraId="690B51A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第六条 售后服务及质量保证</w:t>
      </w:r>
    </w:p>
    <w:p w14:paraId="12C6756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1.乙方对货物实行三包(包修、包换、包退)。</w:t>
      </w:r>
    </w:p>
    <w:p w14:paraId="47E9F22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2.乙方自收到甲方电话、传真等维修要求后应当在    小时内响应，    小时内解决问题；逾期甲方可自行组织维修，费用由乙方承担。</w:t>
      </w:r>
    </w:p>
    <w:p w14:paraId="5CE6877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3.免费质保期为    年， 自设备安装调试合格之日起算。在免费质保期内，乙方履行保修义务应免收材料和人工等一切费用;免费质保期满后，乙方履行保修义务只收取人工费。</w:t>
      </w:r>
    </w:p>
    <w:p w14:paraId="1AEFA3DF">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4.设备运至甲方指定处，乙方应指派技师对甲方操作人员安装、使用设备进行培训，直至甲方操作人员能熟练操作为止，乙方承担培训技师的薪资等全部费用。</w:t>
      </w:r>
    </w:p>
    <w:p w14:paraId="79438EC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第七条 违约责任</w:t>
      </w:r>
    </w:p>
    <w:p w14:paraId="5C6ACEA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1.乙方逾期供货，每逾期一日，按合同总金额的    向甲方支付违约金。</w:t>
      </w:r>
    </w:p>
    <w:p w14:paraId="3C178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2.乙方逾期供货超过 </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  日，甲方有权解除合同，并按合同总金额的   向甲方支付违约金。</w:t>
      </w:r>
    </w:p>
    <w:p w14:paraId="7192622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3.乙方违反质量条款交付产品，乙方应在甲方书面通知七日内提供符合约定质量标准的产品，每逾期一日承担合同金额    的违约金。</w:t>
      </w:r>
    </w:p>
    <w:p w14:paraId="4C19E1A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第八条 不可抗力</w:t>
      </w:r>
    </w:p>
    <w:p w14:paraId="501A570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甲、乙任何一方由于不可抗力原因不能履行合同时，应及时向对方通报不能履行或不能完全履行的理由，以减轻可能给对方造成的损失，并根据情况可部分或全部免予承担违约责任。</w:t>
      </w:r>
    </w:p>
    <w:p w14:paraId="6DD50DD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第九条 争议解决方法</w:t>
      </w:r>
    </w:p>
    <w:p w14:paraId="7A531D0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甲、乙双方因履行本合同发生争议时，应友好协商;如协商未果的，任何一方均有权将争议向合同签订所在地人民法院提起诉讼。</w:t>
      </w:r>
    </w:p>
    <w:p w14:paraId="653303E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第十条 其他内容</w:t>
      </w:r>
    </w:p>
    <w:p w14:paraId="1FDB6C0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1、本合同未尽事宜，由甲乙双方另行签订补充协议，补充协议是本合同的组成部分，与本合同具有同等法律效力。</w:t>
      </w:r>
    </w:p>
    <w:p w14:paraId="577FADAE">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2、本合同一式 4 份，甲方   份、乙方   份， 自双方签字、盖章之日生效。</w:t>
      </w:r>
    </w:p>
    <w:p w14:paraId="3DC3FDB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3、乙方指定专人（姓名：      ，电话：      ，通讯地址：       ）作为本次项目的负责人、对接人和联络人，负责与甲方协调、沟通履行本合同过程中的相关事宜，并作为乙方指定接收甲方法律文书、函件、通知等内容的专职负责人，如该指定专人发生变更、乙方应在发生变更后三日书面通知甲方，未书面通知的由此造成的法律后果均由乙方承担。</w:t>
      </w:r>
    </w:p>
    <w:p w14:paraId="64E176E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478438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9E46D6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甲方名称：（盖章）                 乙方名称：（盖章）</w:t>
      </w:r>
    </w:p>
    <w:p w14:paraId="1D99654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地址：                             地址：</w:t>
      </w:r>
    </w:p>
    <w:p w14:paraId="37652E7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法定代表人或授权代表（签字）       法定代表人或授权代表（签字）</w:t>
      </w:r>
    </w:p>
    <w:p w14:paraId="7EF30A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开户银行：                         开户银行：</w:t>
      </w:r>
    </w:p>
    <w:p w14:paraId="709388D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银行帐号：                         银行帐号：</w:t>
      </w:r>
    </w:p>
    <w:p w14:paraId="0218838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年     月      日                    年     月      日</w:t>
      </w:r>
    </w:p>
    <w:p w14:paraId="02539A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9" w:type="default"/>
          <w:pgSz w:w="11907" w:h="16840"/>
          <w:pgMar w:top="1531" w:right="1531" w:bottom="1531" w:left="1531" w:header="0" w:footer="1041" w:gutter="0"/>
          <w:pgNumType w:fmt="decimal"/>
          <w:cols w:space="720" w:num="1"/>
        </w:sectPr>
      </w:pPr>
    </w:p>
    <w:p w14:paraId="653C1E03">
      <w:pPr>
        <w:pStyle w:val="2"/>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color w:val="auto"/>
          <w:sz w:val="24"/>
          <w:szCs w:val="24"/>
        </w:rPr>
      </w:pPr>
      <w:bookmarkStart w:id="12" w:name="_Toc1647"/>
      <w:r>
        <w:rPr>
          <w:rFonts w:hint="eastAsia"/>
          <w:color w:val="auto"/>
          <w:sz w:val="24"/>
          <w:szCs w:val="24"/>
        </w:rPr>
        <w:t>第六章 投标文件格式</w:t>
      </w:r>
      <w:bookmarkEnd w:id="12"/>
    </w:p>
    <w:p w14:paraId="04A61AF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FC85EB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项目编号: XSDL-BH2026014</w:t>
      </w:r>
    </w:p>
    <w:p w14:paraId="09AFF48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ABF9EB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lang w:val="en-US" w:eastAsia="zh-CN"/>
        </w:rPr>
      </w:pPr>
      <w:bookmarkStart w:id="13" w:name="bookmark7"/>
      <w:bookmarkEnd w:id="13"/>
      <w:r>
        <w:rPr>
          <w:rFonts w:hint="eastAsia" w:ascii="仿宋" w:hAnsi="仿宋" w:eastAsia="仿宋" w:cs="仿宋"/>
          <w:b/>
          <w:bCs/>
          <w:color w:val="auto"/>
          <w:sz w:val="24"/>
          <w:szCs w:val="24"/>
          <w:lang w:val="en-US" w:eastAsia="zh-CN"/>
        </w:rPr>
        <w:t>白河县城关镇第三小学多功能录播教室设备采购项目</w:t>
      </w:r>
    </w:p>
    <w:p w14:paraId="128EBC3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投标文件</w:t>
      </w:r>
    </w:p>
    <w:p w14:paraId="55DDE3D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B71D6E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BEAD07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8A90A6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EB84B5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85EAD9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76EA02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A3DB29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7D4CD6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D5F6673">
      <w:pPr>
        <w:keepNext w:val="0"/>
        <w:keepLines w:val="0"/>
        <w:pageBreakBefore w:val="0"/>
        <w:widowControl/>
        <w:kinsoku w:val="0"/>
        <w:wordWrap/>
        <w:overflowPunct/>
        <w:topLinePunct w:val="0"/>
        <w:autoSpaceDE w:val="0"/>
        <w:autoSpaceDN w:val="0"/>
        <w:bidi w:val="0"/>
        <w:adjustRightInd w:val="0"/>
        <w:snapToGrid w:val="0"/>
        <w:spacing w:line="460" w:lineRule="exact"/>
        <w:ind w:firstLine="1200" w:firstLineChars="5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投 标 人:    (公章)  </w:t>
      </w:r>
    </w:p>
    <w:p w14:paraId="45AEF612">
      <w:pPr>
        <w:keepNext w:val="0"/>
        <w:keepLines w:val="0"/>
        <w:pageBreakBefore w:val="0"/>
        <w:widowControl/>
        <w:kinsoku w:val="0"/>
        <w:wordWrap/>
        <w:overflowPunct/>
        <w:topLinePunct w:val="0"/>
        <w:autoSpaceDE w:val="0"/>
        <w:autoSpaceDN w:val="0"/>
        <w:bidi w:val="0"/>
        <w:adjustRightInd w:val="0"/>
        <w:snapToGrid w:val="0"/>
        <w:spacing w:line="460" w:lineRule="exact"/>
        <w:ind w:firstLine="1200" w:firstLineChars="5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法定代表人(被授权人):   (签字或盖章)</w:t>
      </w:r>
    </w:p>
    <w:p w14:paraId="06397317">
      <w:pPr>
        <w:keepNext w:val="0"/>
        <w:keepLines w:val="0"/>
        <w:pageBreakBefore w:val="0"/>
        <w:widowControl/>
        <w:kinsoku w:val="0"/>
        <w:wordWrap/>
        <w:overflowPunct/>
        <w:topLinePunct w:val="0"/>
        <w:autoSpaceDE w:val="0"/>
        <w:autoSpaceDN w:val="0"/>
        <w:bidi w:val="0"/>
        <w:adjustRightInd w:val="0"/>
        <w:snapToGrid w:val="0"/>
        <w:spacing w:line="460" w:lineRule="exact"/>
        <w:ind w:firstLine="1200" w:firstLineChars="5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时        间:                                         </w:t>
      </w:r>
    </w:p>
    <w:p w14:paraId="53D5AC8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0" w:type="default"/>
          <w:pgSz w:w="11907" w:h="16840"/>
          <w:pgMar w:top="1531" w:right="1531" w:bottom="1531" w:left="1531" w:header="0" w:footer="1041" w:gutter="0"/>
          <w:pgNumType w:fmt="decimal"/>
          <w:cols w:space="720" w:num="1"/>
        </w:sectPr>
      </w:pPr>
    </w:p>
    <w:p w14:paraId="0A928DD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目   录</w:t>
      </w:r>
    </w:p>
    <w:p w14:paraId="1CCF693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C52CB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一、投标函</w:t>
      </w:r>
    </w:p>
    <w:p w14:paraId="0BCD68D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二、开标一览表</w:t>
      </w:r>
    </w:p>
    <w:p w14:paraId="7DE5FA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三、资格证明文件</w:t>
      </w:r>
    </w:p>
    <w:p w14:paraId="4EFF295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四、供应商概况</w:t>
      </w:r>
    </w:p>
    <w:p w14:paraId="70C5D61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五、供应商参加政府采购活动承诺书</w:t>
      </w:r>
    </w:p>
    <w:p w14:paraId="24FE59F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六、商务响应偏离表</w:t>
      </w:r>
    </w:p>
    <w:p w14:paraId="0EFB22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七、技术偏离表</w:t>
      </w:r>
    </w:p>
    <w:p w14:paraId="1D419AB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八、实施方案</w:t>
      </w:r>
    </w:p>
    <w:p w14:paraId="1E96EC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九、业绩</w:t>
      </w:r>
    </w:p>
    <w:p w14:paraId="72BAC30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十、产品证明材料</w:t>
      </w:r>
    </w:p>
    <w:p w14:paraId="40CFE90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十一、供应商认为需要提供的其他文件</w:t>
      </w:r>
    </w:p>
    <w:p w14:paraId="506340A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1" w:type="default"/>
          <w:pgSz w:w="11907" w:h="16840"/>
          <w:pgMar w:top="1531" w:right="1531" w:bottom="1531" w:left="1531" w:header="0" w:footer="1041" w:gutter="0"/>
          <w:pgNumType w:fmt="decimal"/>
          <w:cols w:space="720" w:num="1"/>
        </w:sectPr>
      </w:pPr>
    </w:p>
    <w:p w14:paraId="470C26B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一、投标函</w:t>
      </w:r>
    </w:p>
    <w:p w14:paraId="006C05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安康市兴盛工程造价咨询有限公司</w:t>
      </w:r>
      <w:bookmarkStart w:id="18" w:name="_GoBack"/>
      <w:bookmarkEnd w:id="18"/>
      <w:r>
        <w:rPr>
          <w:rFonts w:hint="eastAsia" w:ascii="仿宋" w:hAnsi="仿宋" w:eastAsia="仿宋" w:cs="仿宋"/>
          <w:color w:val="auto"/>
          <w:sz w:val="24"/>
          <w:szCs w:val="24"/>
        </w:rPr>
        <w:t>：</w:t>
      </w:r>
    </w:p>
    <w:p w14:paraId="7DE1113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根据贵方为  （采购项目名称）   招标采购货物的招标公告 （项目编号）  ， 签字代表 （姓名、职务）  经正式授权并代表投标单位   （投标单位名称、地址）</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 提交电子投标文件 1 份。</w:t>
      </w:r>
    </w:p>
    <w:p w14:paraId="6A2CDA5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在此,签字代表宣布同意如下:</w:t>
      </w:r>
    </w:p>
    <w:p w14:paraId="71232ED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1．所附报价表中规定的应提交和交付的总报价为  人民币金额数（同时用汉字大写和数字表示的总报价），交货期      日历天，货物质保期      。</w:t>
      </w:r>
    </w:p>
    <w:p w14:paraId="687E5F9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2．我们将按招标文件的规定履行合同责任和义务。</w:t>
      </w:r>
    </w:p>
    <w:p w14:paraId="1410E34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3．我们已详细审查全部招标文件。我们完全理解并同意放弃对这方面有不明及误解的权力。</w:t>
      </w:r>
    </w:p>
    <w:p w14:paraId="2665DB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4．本招标有效期为自招标之日起 90 个日历日（中标投标单位的响应文件有效期延长为与合同有效期一致）。</w:t>
      </w:r>
    </w:p>
    <w:p w14:paraId="18ECB25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5．我们完全理解并同意贵方在招标文件中的有关拒绝招标的条款。</w:t>
      </w:r>
    </w:p>
    <w:p w14:paraId="17EF3CE4">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6．我们同意提供按照贵方可能要求的与其招标有关的一切数据或资料，完全理解贵方不一定接受最低招标报价的响应文件或收到的任何响应文件。</w:t>
      </w:r>
    </w:p>
    <w:p w14:paraId="69CBAB1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7．若我方获得中标，我方保证按有关规定向贵方支付中标服务费。</w:t>
      </w:r>
    </w:p>
    <w:p w14:paraId="30D63B95">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8．与本招标有关的一切正式往来信函请寄：</w:t>
      </w:r>
    </w:p>
    <w:p w14:paraId="5F8444ED">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供应商名称（公章）：                              </w:t>
      </w:r>
    </w:p>
    <w:p w14:paraId="6F42638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法定代表人或授权代理人签字：                      </w:t>
      </w:r>
    </w:p>
    <w:p w14:paraId="1723A07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pict>
          <v:shape id="_x0000_s1037" o:spid="_x0000_s1037" o:spt="202" type="#_x0000_t202" style="position:absolute;left:0pt;margin-left:23.2pt;margin-top:36.4pt;height:73.45pt;width:112.9pt;z-index:251659264;mso-width-relative:page;mso-height-relative:page;" filled="f" stroked="f" coordsize="21600,21600">
            <v:path/>
            <v:fill on="f" focussize="0,0"/>
            <v:stroke on="f"/>
            <v:imagedata o:title=""/>
            <o:lock v:ext="edit" aspectratio="f"/>
            <v:textbox inset="0mm,0mm,0mm,0mm">
              <w:txbxContent>
                <w:p w14:paraId="322C023A">
                  <w:pPr>
                    <w:spacing w:before="20" w:line="219" w:lineRule="auto"/>
                    <w:jc w:val="right"/>
                    <w:rPr>
                      <w:rFonts w:ascii="宋体" w:hAnsi="宋体" w:eastAsia="宋体" w:cs="宋体"/>
                      <w:sz w:val="24"/>
                      <w:szCs w:val="24"/>
                    </w:rPr>
                  </w:pPr>
                  <w:r>
                    <w:rPr>
                      <w:rFonts w:ascii="宋体" w:hAnsi="宋体" w:eastAsia="宋体" w:cs="宋体"/>
                      <w:spacing w:val="-26"/>
                      <w:sz w:val="24"/>
                      <w:szCs w:val="24"/>
                    </w:rPr>
                    <w:t>邮</w:t>
                  </w:r>
                  <w:r>
                    <w:rPr>
                      <w:rFonts w:ascii="宋体" w:hAnsi="宋体" w:eastAsia="宋体" w:cs="宋体"/>
                      <w:spacing w:val="2"/>
                      <w:sz w:val="24"/>
                      <w:szCs w:val="24"/>
                    </w:rPr>
                    <w:t xml:space="preserve">   </w:t>
                  </w:r>
                  <w:r>
                    <w:rPr>
                      <w:rFonts w:ascii="宋体" w:hAnsi="宋体" w:eastAsia="宋体" w:cs="宋体"/>
                      <w:spacing w:val="-26"/>
                      <w:sz w:val="24"/>
                      <w:szCs w:val="24"/>
                    </w:rPr>
                    <w:t>政</w:t>
                  </w:r>
                  <w:r>
                    <w:rPr>
                      <w:rFonts w:ascii="宋体" w:hAnsi="宋体" w:eastAsia="宋体" w:cs="宋体"/>
                      <w:spacing w:val="4"/>
                      <w:sz w:val="24"/>
                      <w:szCs w:val="24"/>
                    </w:rPr>
                    <w:t xml:space="preserve">   </w:t>
                  </w:r>
                  <w:r>
                    <w:rPr>
                      <w:rFonts w:ascii="宋体" w:hAnsi="宋体" w:eastAsia="宋体" w:cs="宋体"/>
                      <w:spacing w:val="-26"/>
                      <w:sz w:val="24"/>
                      <w:szCs w:val="24"/>
                    </w:rPr>
                    <w:t>编</w:t>
                  </w:r>
                  <w:r>
                    <w:rPr>
                      <w:rFonts w:ascii="宋体" w:hAnsi="宋体" w:eastAsia="宋体" w:cs="宋体"/>
                      <w:spacing w:val="2"/>
                      <w:sz w:val="24"/>
                      <w:szCs w:val="24"/>
                    </w:rPr>
                    <w:t xml:space="preserve">   </w:t>
                  </w:r>
                  <w:r>
                    <w:rPr>
                      <w:rFonts w:ascii="宋体" w:hAnsi="宋体" w:eastAsia="宋体" w:cs="宋体"/>
                      <w:spacing w:val="-26"/>
                      <w:sz w:val="24"/>
                      <w:szCs w:val="24"/>
                    </w:rPr>
                    <w:t>码：</w:t>
                  </w:r>
                </w:p>
                <w:p w14:paraId="766532F7">
                  <w:pPr>
                    <w:spacing w:before="289" w:line="221" w:lineRule="auto"/>
                    <w:jc w:val="right"/>
                    <w:rPr>
                      <w:rFonts w:ascii="宋体" w:hAnsi="宋体" w:eastAsia="宋体" w:cs="宋体"/>
                      <w:sz w:val="24"/>
                      <w:szCs w:val="24"/>
                    </w:rPr>
                  </w:pPr>
                  <w:r>
                    <w:rPr>
                      <w:rFonts w:ascii="宋体" w:hAnsi="宋体" w:eastAsia="宋体" w:cs="宋体"/>
                      <w:spacing w:val="-34"/>
                      <w:w w:val="97"/>
                      <w:sz w:val="24"/>
                      <w:szCs w:val="24"/>
                    </w:rPr>
                    <w:t>电</w:t>
                  </w:r>
                  <w:r>
                    <w:rPr>
                      <w:rFonts w:ascii="宋体" w:hAnsi="宋体" w:eastAsia="宋体" w:cs="宋体"/>
                      <w:spacing w:val="8"/>
                      <w:sz w:val="24"/>
                      <w:szCs w:val="24"/>
                    </w:rPr>
                    <w:t xml:space="preserve">            </w:t>
                  </w:r>
                  <w:r>
                    <w:rPr>
                      <w:rFonts w:ascii="宋体" w:hAnsi="宋体" w:eastAsia="宋体" w:cs="宋体"/>
                      <w:spacing w:val="-34"/>
                      <w:w w:val="97"/>
                      <w:sz w:val="24"/>
                      <w:szCs w:val="24"/>
                    </w:rPr>
                    <w:t>话：</w:t>
                  </w:r>
                </w:p>
                <w:p w14:paraId="61E9E6EE">
                  <w:pPr>
                    <w:spacing w:before="282" w:line="219" w:lineRule="auto"/>
                    <w:jc w:val="right"/>
                    <w:rPr>
                      <w:rFonts w:ascii="宋体" w:hAnsi="宋体" w:eastAsia="宋体" w:cs="宋体"/>
                      <w:sz w:val="24"/>
                      <w:szCs w:val="24"/>
                    </w:rPr>
                  </w:pPr>
                  <w:r>
                    <w:rPr>
                      <w:rFonts w:ascii="宋体" w:hAnsi="宋体" w:eastAsia="宋体" w:cs="宋体"/>
                      <w:spacing w:val="-29"/>
                      <w:sz w:val="24"/>
                      <w:szCs w:val="24"/>
                    </w:rPr>
                    <w:t>传</w:t>
                  </w:r>
                  <w:r>
                    <w:rPr>
                      <w:rFonts w:ascii="宋体" w:hAnsi="宋体" w:eastAsia="宋体" w:cs="宋体"/>
                      <w:spacing w:val="1"/>
                      <w:sz w:val="24"/>
                      <w:szCs w:val="24"/>
                    </w:rPr>
                    <w:t xml:space="preserve">             </w:t>
                  </w:r>
                  <w:r>
                    <w:rPr>
                      <w:rFonts w:ascii="宋体" w:hAnsi="宋体" w:eastAsia="宋体" w:cs="宋体"/>
                      <w:spacing w:val="-29"/>
                      <w:sz w:val="24"/>
                      <w:szCs w:val="24"/>
                    </w:rPr>
                    <w:t>真：</w:t>
                  </w:r>
                </w:p>
              </w:txbxContent>
            </v:textbox>
          </v:shape>
        </w:pict>
      </w:r>
      <w:r>
        <w:rPr>
          <w:rFonts w:hint="eastAsia" w:ascii="仿宋" w:hAnsi="仿宋" w:eastAsia="仿宋" w:cs="仿宋"/>
          <w:color w:val="auto"/>
          <w:sz w:val="24"/>
          <w:szCs w:val="24"/>
        </w:rPr>
        <w:t>详   细   地   址：</w:t>
      </w:r>
    </w:p>
    <w:tbl>
      <w:tblPr>
        <w:tblStyle w:val="20"/>
        <w:tblW w:w="3735" w:type="dxa"/>
        <w:tblInd w:w="27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735"/>
      </w:tblGrid>
      <w:tr w14:paraId="61BD977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6" w:hRule="atLeast"/>
        </w:trPr>
        <w:tc>
          <w:tcPr>
            <w:tcW w:w="3735" w:type="dxa"/>
            <w:tcBorders>
              <w:top w:val="single" w:color="000000" w:sz="4" w:space="0"/>
              <w:bottom w:val="single" w:color="000000" w:sz="4" w:space="0"/>
            </w:tcBorders>
            <w:vAlign w:val="top"/>
          </w:tcPr>
          <w:p w14:paraId="60B74D5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419B9B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0" w:hRule="atLeast"/>
        </w:trPr>
        <w:tc>
          <w:tcPr>
            <w:tcW w:w="3735" w:type="dxa"/>
            <w:tcBorders>
              <w:top w:val="single" w:color="000000" w:sz="4" w:space="0"/>
              <w:bottom w:val="single" w:color="000000" w:sz="4" w:space="0"/>
            </w:tcBorders>
            <w:vAlign w:val="top"/>
          </w:tcPr>
          <w:p w14:paraId="311E9F4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7AC2BD3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2" w:hRule="atLeast"/>
        </w:trPr>
        <w:tc>
          <w:tcPr>
            <w:tcW w:w="3735" w:type="dxa"/>
            <w:tcBorders>
              <w:top w:val="single" w:color="000000" w:sz="4" w:space="0"/>
              <w:bottom w:val="single" w:color="000000" w:sz="4" w:space="0"/>
            </w:tcBorders>
            <w:vAlign w:val="top"/>
          </w:tcPr>
          <w:p w14:paraId="20DB35F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5EA07A0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1B03811">
      <w:pPr>
        <w:keepNext w:val="0"/>
        <w:keepLines w:val="0"/>
        <w:pageBreakBefore w:val="0"/>
        <w:widowControl/>
        <w:kinsoku w:val="0"/>
        <w:wordWrap/>
        <w:overflowPunct/>
        <w:topLinePunct w:val="0"/>
        <w:autoSpaceDE w:val="0"/>
        <w:autoSpaceDN w:val="0"/>
        <w:bidi w:val="0"/>
        <w:adjustRightInd w:val="0"/>
        <w:snapToGrid w:val="0"/>
        <w:spacing w:line="460" w:lineRule="exact"/>
        <w:ind w:firstLine="6960" w:firstLineChars="29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年   月   日</w:t>
      </w:r>
    </w:p>
    <w:p w14:paraId="3D70CA4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2" w:type="default"/>
          <w:pgSz w:w="11907" w:h="16840"/>
          <w:pgMar w:top="1531" w:right="1531" w:bottom="1531" w:left="1531" w:header="0" w:footer="1041" w:gutter="0"/>
          <w:pgNumType w:fmt="decimal"/>
          <w:cols w:space="720" w:num="1"/>
        </w:sectPr>
      </w:pPr>
    </w:p>
    <w:p w14:paraId="711C432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二、投标报价表</w:t>
      </w:r>
    </w:p>
    <w:p w14:paraId="412DB4C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(1) 报价一览表</w:t>
      </w:r>
    </w:p>
    <w:p w14:paraId="53EA413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9049"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6"/>
        <w:gridCol w:w="5183"/>
      </w:tblGrid>
      <w:tr w14:paraId="498F5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3866" w:type="dxa"/>
            <w:vAlign w:val="top"/>
          </w:tcPr>
          <w:p w14:paraId="4DD6E75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5183" w:type="dxa"/>
            <w:vAlign w:val="top"/>
          </w:tcPr>
          <w:p w14:paraId="4D9BC8C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0E83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3866" w:type="dxa"/>
            <w:vAlign w:val="top"/>
          </w:tcPr>
          <w:p w14:paraId="195615C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tc>
        <w:tc>
          <w:tcPr>
            <w:tcW w:w="5183" w:type="dxa"/>
            <w:vAlign w:val="top"/>
          </w:tcPr>
          <w:p w14:paraId="2DA0276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C936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3866" w:type="dxa"/>
            <w:vAlign w:val="top"/>
          </w:tcPr>
          <w:p w14:paraId="13FB690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供应商全称</w:t>
            </w:r>
          </w:p>
        </w:tc>
        <w:tc>
          <w:tcPr>
            <w:tcW w:w="5183" w:type="dxa"/>
            <w:vAlign w:val="top"/>
          </w:tcPr>
          <w:p w14:paraId="182144D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3336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0" w:hRule="atLeast"/>
        </w:trPr>
        <w:tc>
          <w:tcPr>
            <w:tcW w:w="3866" w:type="dxa"/>
            <w:vAlign w:val="top"/>
          </w:tcPr>
          <w:p w14:paraId="64A00FB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本项目总报价(人民币)</w:t>
            </w:r>
          </w:p>
        </w:tc>
        <w:tc>
          <w:tcPr>
            <w:tcW w:w="5183" w:type="dxa"/>
            <w:vAlign w:val="top"/>
          </w:tcPr>
          <w:p w14:paraId="4B6D784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大写：</w:t>
            </w:r>
          </w:p>
          <w:p w14:paraId="60F9BBA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小写：</w:t>
            </w:r>
          </w:p>
        </w:tc>
      </w:tr>
      <w:tr w14:paraId="2F574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3866" w:type="dxa"/>
            <w:vAlign w:val="top"/>
          </w:tcPr>
          <w:p w14:paraId="7ED993A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9DB32D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交货期（ 日历天）</w:t>
            </w:r>
          </w:p>
        </w:tc>
        <w:tc>
          <w:tcPr>
            <w:tcW w:w="5183" w:type="dxa"/>
            <w:vAlign w:val="top"/>
          </w:tcPr>
          <w:p w14:paraId="2BC111C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57CCD2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合同签订之日起      日历天。</w:t>
            </w:r>
          </w:p>
        </w:tc>
      </w:tr>
      <w:tr w14:paraId="16579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3866" w:type="dxa"/>
            <w:vAlign w:val="top"/>
          </w:tcPr>
          <w:p w14:paraId="2B56C33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质保期</w:t>
            </w:r>
          </w:p>
        </w:tc>
        <w:tc>
          <w:tcPr>
            <w:tcW w:w="5183" w:type="dxa"/>
            <w:vAlign w:val="top"/>
          </w:tcPr>
          <w:p w14:paraId="0451F85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07BAE10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备注：1、本表价格应按投标总价填写。</w:t>
      </w:r>
    </w:p>
    <w:p w14:paraId="5E7C84B2">
      <w:pPr>
        <w:keepNext w:val="0"/>
        <w:keepLines w:val="0"/>
        <w:pageBreakBefore w:val="0"/>
        <w:widowControl/>
        <w:kinsoku w:val="0"/>
        <w:wordWrap/>
        <w:overflowPunct/>
        <w:topLinePunct w:val="0"/>
        <w:autoSpaceDE w:val="0"/>
        <w:autoSpaceDN w:val="0"/>
        <w:bidi w:val="0"/>
        <w:adjustRightInd w:val="0"/>
        <w:snapToGrid w:val="0"/>
        <w:spacing w:line="460" w:lineRule="exact"/>
        <w:ind w:firstLine="720" w:firstLineChars="3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2、投标总价=所有产品综合单价×数量</w:t>
      </w:r>
    </w:p>
    <w:p w14:paraId="6BB9DAF3">
      <w:pPr>
        <w:keepNext w:val="0"/>
        <w:keepLines w:val="0"/>
        <w:pageBreakBefore w:val="0"/>
        <w:widowControl/>
        <w:kinsoku w:val="0"/>
        <w:wordWrap/>
        <w:overflowPunct/>
        <w:topLinePunct w:val="0"/>
        <w:autoSpaceDE w:val="0"/>
        <w:autoSpaceDN w:val="0"/>
        <w:bidi w:val="0"/>
        <w:adjustRightInd w:val="0"/>
        <w:snapToGrid w:val="0"/>
        <w:spacing w:line="460" w:lineRule="exact"/>
        <w:ind w:firstLine="720" w:firstLineChars="3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投标报价是供应商响应招标项目要求的全部工作内容的价格体现，即供应商的投标报价是指完成招标内容所需的全部费用,达到正常使用条件下的所有费用，包括完成通过合同验收并正常运行所必须的交货安装、调试、试运行、验收、培训、售后服务及按国家现行税收政策征收的一切税费等。供应商在报价时应充分考虑所有可能发生的费用，采购招标文件未列明，而供应商认为应当计取的费用均应列入报价中。报价时不论是否计取，采购人均按已计取对待。</w:t>
      </w:r>
    </w:p>
    <w:p w14:paraId="089AAB2B">
      <w:pPr>
        <w:keepNext w:val="0"/>
        <w:keepLines w:val="0"/>
        <w:pageBreakBefore w:val="0"/>
        <w:widowControl/>
        <w:kinsoku w:val="0"/>
        <w:wordWrap/>
        <w:overflowPunct/>
        <w:topLinePunct w:val="0"/>
        <w:autoSpaceDE w:val="0"/>
        <w:autoSpaceDN w:val="0"/>
        <w:bidi w:val="0"/>
        <w:adjustRightInd w:val="0"/>
        <w:snapToGrid w:val="0"/>
        <w:spacing w:line="460" w:lineRule="exact"/>
        <w:ind w:firstLine="720" w:firstLineChars="3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3、以上报价应与“投标函 ”、“投标报价明细表 ” 中的“总价 ”相一致</w:t>
      </w:r>
      <w:r>
        <w:rPr>
          <w:rFonts w:hint="eastAsia" w:ascii="仿宋" w:hAnsi="仿宋" w:eastAsia="仿宋" w:cs="仿宋"/>
          <w:color w:val="auto"/>
          <w:sz w:val="24"/>
          <w:szCs w:val="24"/>
          <w:lang w:eastAsia="zh-CN"/>
        </w:rPr>
        <w:t>。</w:t>
      </w:r>
    </w:p>
    <w:p w14:paraId="4B396E7D">
      <w:pPr>
        <w:keepNext w:val="0"/>
        <w:keepLines w:val="0"/>
        <w:pageBreakBefore w:val="0"/>
        <w:widowControl/>
        <w:kinsoku w:val="0"/>
        <w:wordWrap/>
        <w:overflowPunct/>
        <w:topLinePunct w:val="0"/>
        <w:autoSpaceDE w:val="0"/>
        <w:autoSpaceDN w:val="0"/>
        <w:bidi w:val="0"/>
        <w:adjustRightInd w:val="0"/>
        <w:snapToGrid w:val="0"/>
        <w:spacing w:line="460" w:lineRule="exact"/>
        <w:ind w:firstLine="720" w:firstLineChars="3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4、报价精确到小数点后两位。</w:t>
      </w:r>
    </w:p>
    <w:p w14:paraId="33F267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4924CC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供应商：（盖章）                        </w:t>
      </w:r>
    </w:p>
    <w:p w14:paraId="2443125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法定代表人或授权代理人签字：                        </w:t>
      </w:r>
    </w:p>
    <w:p w14:paraId="14A4DB5A">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日期：   年   月    日</w:t>
      </w:r>
    </w:p>
    <w:p w14:paraId="5258768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3" w:type="default"/>
          <w:pgSz w:w="11907" w:h="16840"/>
          <w:pgMar w:top="1531" w:right="1531" w:bottom="1531" w:left="1531" w:header="0" w:footer="1041" w:gutter="0"/>
          <w:pgNumType w:fmt="decimal"/>
          <w:cols w:space="720" w:num="1"/>
        </w:sectPr>
      </w:pPr>
    </w:p>
    <w:p w14:paraId="1469927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（2）分项报价表</w:t>
      </w:r>
    </w:p>
    <w:p w14:paraId="4E05930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1"/>
        <w:gridCol w:w="297"/>
        <w:gridCol w:w="294"/>
        <w:gridCol w:w="591"/>
        <w:gridCol w:w="1177"/>
        <w:gridCol w:w="591"/>
        <w:gridCol w:w="591"/>
        <w:gridCol w:w="591"/>
        <w:gridCol w:w="1770"/>
        <w:gridCol w:w="1761"/>
        <w:gridCol w:w="593"/>
      </w:tblGrid>
      <w:tr w14:paraId="5BF3D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334" w:type="pct"/>
            <w:vAlign w:val="center"/>
          </w:tcPr>
          <w:p w14:paraId="08986A7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334" w:type="pct"/>
            <w:gridSpan w:val="2"/>
            <w:vAlign w:val="center"/>
          </w:tcPr>
          <w:p w14:paraId="4BE23C3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334" w:type="pct"/>
            <w:vAlign w:val="center"/>
          </w:tcPr>
          <w:p w14:paraId="205B7E5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品牌</w:t>
            </w:r>
          </w:p>
        </w:tc>
        <w:tc>
          <w:tcPr>
            <w:tcW w:w="665" w:type="pct"/>
            <w:vAlign w:val="center"/>
          </w:tcPr>
          <w:p w14:paraId="3DE7239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制造厂家</w:t>
            </w:r>
          </w:p>
        </w:tc>
        <w:tc>
          <w:tcPr>
            <w:tcW w:w="334" w:type="pct"/>
            <w:vAlign w:val="center"/>
          </w:tcPr>
          <w:p w14:paraId="1878637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型号</w:t>
            </w:r>
          </w:p>
        </w:tc>
        <w:tc>
          <w:tcPr>
            <w:tcW w:w="334" w:type="pct"/>
            <w:vAlign w:val="center"/>
          </w:tcPr>
          <w:p w14:paraId="63BC41F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c>
          <w:tcPr>
            <w:tcW w:w="334" w:type="pct"/>
            <w:vAlign w:val="center"/>
          </w:tcPr>
          <w:p w14:paraId="33D160D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995" w:type="pct"/>
            <w:vAlign w:val="center"/>
          </w:tcPr>
          <w:p w14:paraId="68E59B8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单价</w:t>
            </w:r>
          </w:p>
          <w:p w14:paraId="5686FC3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（人民币元）</w:t>
            </w:r>
          </w:p>
        </w:tc>
        <w:tc>
          <w:tcPr>
            <w:tcW w:w="995" w:type="pct"/>
            <w:vAlign w:val="center"/>
          </w:tcPr>
          <w:p w14:paraId="2C4C8AC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总价</w:t>
            </w:r>
          </w:p>
          <w:p w14:paraId="71E16E8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（人民币元）</w:t>
            </w:r>
          </w:p>
        </w:tc>
        <w:tc>
          <w:tcPr>
            <w:tcW w:w="334" w:type="pct"/>
            <w:vAlign w:val="center"/>
          </w:tcPr>
          <w:p w14:paraId="2AB7C2D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3AADC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334" w:type="pct"/>
            <w:vAlign w:val="center"/>
          </w:tcPr>
          <w:p w14:paraId="2593C59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0DC5DAA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334" w:type="pct"/>
            <w:gridSpan w:val="2"/>
            <w:vAlign w:val="center"/>
          </w:tcPr>
          <w:p w14:paraId="15565D0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7B13C1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665" w:type="pct"/>
            <w:vAlign w:val="center"/>
          </w:tcPr>
          <w:p w14:paraId="6FEE9B9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6385139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6DB3664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5D40C96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268CBCD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2F9BC16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4921694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r>
      <w:tr w14:paraId="59613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334" w:type="pct"/>
            <w:vAlign w:val="center"/>
          </w:tcPr>
          <w:p w14:paraId="3548B76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4C1E232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34" w:type="pct"/>
            <w:gridSpan w:val="2"/>
            <w:vAlign w:val="center"/>
          </w:tcPr>
          <w:p w14:paraId="6397826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792F1AB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665" w:type="pct"/>
            <w:vAlign w:val="center"/>
          </w:tcPr>
          <w:p w14:paraId="1DFCA0D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2B3B0B9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B0C776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7F46104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1D1A30C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1EA06E1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1CA198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r>
      <w:tr w14:paraId="6E6DD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334" w:type="pct"/>
            <w:vAlign w:val="center"/>
          </w:tcPr>
          <w:p w14:paraId="0226083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1BF5D40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334" w:type="pct"/>
            <w:gridSpan w:val="2"/>
            <w:vAlign w:val="center"/>
          </w:tcPr>
          <w:p w14:paraId="71AED85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566610D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665" w:type="pct"/>
            <w:vAlign w:val="center"/>
          </w:tcPr>
          <w:p w14:paraId="3186A59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A8692C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6DC61A7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574BE92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77B6BA4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0EAA368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6529D1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r>
      <w:tr w14:paraId="4D1A9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334" w:type="pct"/>
            <w:vAlign w:val="center"/>
          </w:tcPr>
          <w:p w14:paraId="69BAFC8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1002C8C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334" w:type="pct"/>
            <w:gridSpan w:val="2"/>
            <w:vAlign w:val="center"/>
          </w:tcPr>
          <w:p w14:paraId="1D4F8E0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304070E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665" w:type="pct"/>
            <w:vAlign w:val="center"/>
          </w:tcPr>
          <w:p w14:paraId="05954FD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6A03B4D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25BF671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09734CE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3CBFB2C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995" w:type="pct"/>
            <w:vAlign w:val="center"/>
          </w:tcPr>
          <w:p w14:paraId="54905B4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c>
          <w:tcPr>
            <w:tcW w:w="334" w:type="pct"/>
            <w:vAlign w:val="center"/>
          </w:tcPr>
          <w:p w14:paraId="79F2219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tc>
      </w:tr>
      <w:tr w14:paraId="7BF90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502" w:type="pct"/>
            <w:gridSpan w:val="2"/>
            <w:vAlign w:val="center"/>
          </w:tcPr>
          <w:p w14:paraId="7BD8EDD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64F3EAD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总计</w:t>
            </w:r>
          </w:p>
        </w:tc>
        <w:tc>
          <w:tcPr>
            <w:tcW w:w="3167" w:type="pct"/>
            <w:gridSpan w:val="7"/>
            <w:vAlign w:val="center"/>
          </w:tcPr>
          <w:p w14:paraId="6327AA08">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17B78DE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（大写）</w:t>
            </w:r>
          </w:p>
        </w:tc>
        <w:tc>
          <w:tcPr>
            <w:tcW w:w="1330" w:type="pct"/>
            <w:gridSpan w:val="2"/>
            <w:vAlign w:val="center"/>
          </w:tcPr>
          <w:p w14:paraId="00CA414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p>
          <w:p w14:paraId="1515643F">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w:t>
            </w:r>
          </w:p>
        </w:tc>
      </w:tr>
    </w:tbl>
    <w:p w14:paraId="7D00FAA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67D02B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C104FA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注：①如果按单价计算的结果与总价不一致，以单价为准修正总价。</w:t>
      </w:r>
    </w:p>
    <w:p w14:paraId="6F6E582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②如果不提供详细分项报价将视为没有实质性响应招标文件。</w:t>
      </w:r>
    </w:p>
    <w:p w14:paraId="04C325C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③如中标，本表内容将作为采购人验收、查找内容之一。</w:t>
      </w:r>
    </w:p>
    <w:p w14:paraId="206A305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09A0CD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BD1CBE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DE09D9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法定代表人或授权代理人签</w:t>
      </w:r>
      <w:r>
        <w:rPr>
          <w:rFonts w:hint="eastAsia" w:ascii="仿宋" w:hAnsi="仿宋" w:eastAsia="仿宋" w:cs="仿宋"/>
          <w:color w:val="auto"/>
          <w:sz w:val="24"/>
          <w:szCs w:val="24"/>
          <w:lang w:val="en-US" w:eastAsia="zh-CN"/>
        </w:rPr>
        <w:t>字</w:t>
      </w:r>
      <w:r>
        <w:rPr>
          <w:rFonts w:hint="eastAsia" w:ascii="仿宋" w:hAnsi="仿宋" w:eastAsia="仿宋" w:cs="仿宋"/>
          <w:color w:val="auto"/>
          <w:sz w:val="24"/>
          <w:szCs w:val="24"/>
        </w:rPr>
        <w:t>：</w:t>
      </w:r>
    </w:p>
    <w:p w14:paraId="4F354A7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日  期：     年   月    日</w:t>
      </w:r>
    </w:p>
    <w:p w14:paraId="10488E4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4" w:type="default"/>
          <w:pgSz w:w="11907" w:h="16840"/>
          <w:pgMar w:top="1531" w:right="1531" w:bottom="1531" w:left="1531" w:header="0" w:footer="1041" w:gutter="0"/>
          <w:pgNumType w:fmt="decimal"/>
          <w:cols w:space="720" w:num="1"/>
        </w:sectPr>
      </w:pPr>
    </w:p>
    <w:p w14:paraId="7C880960">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宋体" w:hAnsi="宋体" w:eastAsia="宋体" w:cs="宋体"/>
          <w:b/>
          <w:bCs/>
          <w:color w:val="auto"/>
          <w:sz w:val="28"/>
          <w:szCs w:val="28"/>
        </w:rPr>
        <w:t>三、资格证明文件</w:t>
      </w:r>
    </w:p>
    <w:p w14:paraId="029D4D7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 资质要求：满足《中华人民共和国政府采购法》第二十二条规定,提供书面声明</w:t>
      </w:r>
      <w:r>
        <w:rPr>
          <w:rFonts w:hint="eastAsia" w:ascii="宋体" w:hAnsi="宋体" w:eastAsia="宋体" w:cs="宋体"/>
          <w:color w:val="auto"/>
          <w:sz w:val="28"/>
          <w:szCs w:val="28"/>
          <w:lang w:eastAsia="zh-CN"/>
        </w:rPr>
        <w:t>；</w:t>
      </w:r>
    </w:p>
    <w:p w14:paraId="2916CAD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2. 本项目的特定资格要求：</w:t>
      </w:r>
    </w:p>
    <w:p w14:paraId="73B0BB3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（1）具有独立承担民事责任的能力，提供营业执照、税务登记证、组织机构代码证或登载有统一社会信用代码的营业执照（或《事业单位法人证书》或其他合法组织登记证书、自然人只须提交身份证）；</w:t>
      </w:r>
    </w:p>
    <w:p w14:paraId="01F1261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（2）法定代表人签字授权书及被授权人身份证(法定代表人参加只需提供身份证)；</w:t>
      </w:r>
    </w:p>
    <w:p w14:paraId="42474E9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（3）财务状况报告：提供2024年或2025年度财务审计报告（成立时间至投标截止时间不足一年的可提供成立后任意时段的资产负债表），或者投标截止时间六个月内基本开户银行出具的资信证明；</w:t>
      </w:r>
    </w:p>
    <w:p w14:paraId="6F158CD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（4）税收缴纳证明：提供近三个月已连续缴纳的有效纳税凭证；（依法免税的申请人应提供相关文件证明）；</w:t>
      </w:r>
    </w:p>
    <w:p w14:paraId="6E94B01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5）社会保障资金缴纳证明：需提供2026年6月至递交文件截止时间任意一个月已缴纳社会保险的证明（专用收据或社会保险缴纳清单或社保缴纳证明，依法不需要缴纳社会保障资金的投标人应提供相关文件证明）；</w:t>
      </w:r>
    </w:p>
    <w:p w14:paraId="268624D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（6）供应商不得为“信用中国”网(www.creditchina.gov.cn)中列入失信被执行人和重大税收违法案件当事人名单的供应商，不得为中国政府采购网</w:t>
      </w:r>
    </w:p>
    <w:p w14:paraId="7BD5C9C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（www.ccpg.gov.cn）政府采购严重违法失信行为记录名单中被财政部门禁止参加政府采购活动的供应商（官方网站查询截图加盖公章）；</w:t>
      </w:r>
    </w:p>
    <w:p w14:paraId="3B4C461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（7）提供参加政府采购活动前 3 年内在经营活动中没有重大违法记录的书面声明；</w:t>
      </w:r>
    </w:p>
    <w:p w14:paraId="712789D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（8）具有履行合同所必需的设备和专业技术能力（提供自述材料）；</w:t>
      </w:r>
    </w:p>
    <w:p w14:paraId="05F9039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lang w:eastAsia="zh-CN"/>
        </w:rPr>
      </w:pPr>
      <w:r>
        <w:rPr>
          <w:rFonts w:hint="eastAsia" w:ascii="宋体" w:hAnsi="宋体" w:eastAsia="宋体" w:cs="宋体"/>
          <w:color w:val="auto"/>
          <w:sz w:val="28"/>
          <w:szCs w:val="28"/>
        </w:rPr>
        <w:t>（9）本项目不接受联合体，须提供非联合体声明</w:t>
      </w:r>
      <w:r>
        <w:rPr>
          <w:rFonts w:hint="eastAsia" w:ascii="宋体" w:hAnsi="宋体" w:eastAsia="宋体" w:cs="宋体"/>
          <w:color w:val="auto"/>
          <w:sz w:val="28"/>
          <w:szCs w:val="28"/>
          <w:lang w:eastAsia="zh-CN"/>
        </w:rPr>
        <w:t>。</w:t>
      </w:r>
    </w:p>
    <w:p w14:paraId="00906B04">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注:供应商未按招标采购文件要求附相关资质证件的,按废标处理。</w:t>
      </w:r>
    </w:p>
    <w:p w14:paraId="03D3C43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sectPr>
          <w:footerReference r:id="rId15" w:type="default"/>
          <w:pgSz w:w="11907" w:h="16840"/>
          <w:pgMar w:top="1531" w:right="1531" w:bottom="1531" w:left="1531" w:header="0" w:footer="1041" w:gutter="0"/>
          <w:pgNumType w:fmt="decimal"/>
          <w:cols w:space="720" w:num="1"/>
        </w:sectPr>
      </w:pPr>
    </w:p>
    <w:p w14:paraId="67BA5412">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宋体" w:hAnsi="宋体" w:eastAsia="宋体" w:cs="宋体"/>
          <w:b/>
          <w:bCs/>
          <w:color w:val="auto"/>
          <w:sz w:val="28"/>
          <w:szCs w:val="28"/>
        </w:rPr>
        <w:t>(1)法定代表人资格证明书</w:t>
      </w:r>
    </w:p>
    <w:p w14:paraId="04680A2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91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1"/>
        <w:gridCol w:w="1825"/>
        <w:gridCol w:w="1431"/>
        <w:gridCol w:w="1296"/>
        <w:gridCol w:w="1793"/>
        <w:gridCol w:w="1756"/>
      </w:tblGrid>
      <w:tr w14:paraId="6AF27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162" w:type="dxa"/>
            <w:gridSpan w:val="6"/>
            <w:vAlign w:val="top"/>
          </w:tcPr>
          <w:p w14:paraId="0BEFD11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致：</w:t>
            </w:r>
          </w:p>
        </w:tc>
      </w:tr>
      <w:tr w14:paraId="73CC5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restart"/>
            <w:tcBorders>
              <w:bottom w:val="nil"/>
            </w:tcBorders>
            <w:textDirection w:val="tbRlV"/>
            <w:vAlign w:val="top"/>
          </w:tcPr>
          <w:p w14:paraId="73EDA37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60E42DE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企     业     信     息</w:t>
            </w:r>
          </w:p>
        </w:tc>
        <w:tc>
          <w:tcPr>
            <w:tcW w:w="1825" w:type="dxa"/>
            <w:vAlign w:val="top"/>
          </w:tcPr>
          <w:p w14:paraId="1FAB28A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企业名称</w:t>
            </w:r>
          </w:p>
        </w:tc>
        <w:tc>
          <w:tcPr>
            <w:tcW w:w="6276" w:type="dxa"/>
            <w:gridSpan w:val="4"/>
            <w:vAlign w:val="top"/>
          </w:tcPr>
          <w:p w14:paraId="02EED07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1C7AC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continue"/>
            <w:tcBorders>
              <w:top w:val="nil"/>
              <w:bottom w:val="nil"/>
            </w:tcBorders>
            <w:textDirection w:val="tbRlV"/>
            <w:vAlign w:val="top"/>
          </w:tcPr>
          <w:p w14:paraId="5F341B0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04AC974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法定地址</w:t>
            </w:r>
          </w:p>
        </w:tc>
        <w:tc>
          <w:tcPr>
            <w:tcW w:w="6276" w:type="dxa"/>
            <w:gridSpan w:val="4"/>
            <w:vAlign w:val="top"/>
          </w:tcPr>
          <w:p w14:paraId="301A2CA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150FB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continue"/>
            <w:tcBorders>
              <w:top w:val="nil"/>
              <w:bottom w:val="nil"/>
            </w:tcBorders>
            <w:textDirection w:val="tbRlV"/>
            <w:vAlign w:val="top"/>
          </w:tcPr>
          <w:p w14:paraId="1E584B6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4B71A80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邮政编码</w:t>
            </w:r>
          </w:p>
        </w:tc>
        <w:tc>
          <w:tcPr>
            <w:tcW w:w="6276" w:type="dxa"/>
            <w:gridSpan w:val="4"/>
            <w:vAlign w:val="top"/>
          </w:tcPr>
          <w:p w14:paraId="5A754FC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6A428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continue"/>
            <w:tcBorders>
              <w:top w:val="nil"/>
              <w:bottom w:val="nil"/>
            </w:tcBorders>
            <w:textDirection w:val="tbRlV"/>
            <w:vAlign w:val="top"/>
          </w:tcPr>
          <w:p w14:paraId="757EEE2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36A68AF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工商登记机关</w:t>
            </w:r>
          </w:p>
        </w:tc>
        <w:tc>
          <w:tcPr>
            <w:tcW w:w="6276" w:type="dxa"/>
            <w:gridSpan w:val="4"/>
            <w:vAlign w:val="top"/>
          </w:tcPr>
          <w:p w14:paraId="2F9F69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616A6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061" w:type="dxa"/>
            <w:vMerge w:val="continue"/>
            <w:tcBorders>
              <w:top w:val="nil"/>
            </w:tcBorders>
            <w:textDirection w:val="tbRlV"/>
            <w:vAlign w:val="top"/>
          </w:tcPr>
          <w:p w14:paraId="0EF3C6C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697D83E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信用代码证号</w:t>
            </w:r>
          </w:p>
        </w:tc>
        <w:tc>
          <w:tcPr>
            <w:tcW w:w="6276" w:type="dxa"/>
            <w:gridSpan w:val="4"/>
            <w:vAlign w:val="top"/>
          </w:tcPr>
          <w:p w14:paraId="542CFC3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7C8C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61" w:type="dxa"/>
            <w:vMerge w:val="restart"/>
            <w:tcBorders>
              <w:bottom w:val="nil"/>
            </w:tcBorders>
            <w:vAlign w:val="top"/>
          </w:tcPr>
          <w:p w14:paraId="286B5C2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7DE75D2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0EE9D9D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1825" w:type="dxa"/>
            <w:vAlign w:val="top"/>
          </w:tcPr>
          <w:p w14:paraId="4C85048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2727" w:type="dxa"/>
            <w:gridSpan w:val="2"/>
            <w:vAlign w:val="top"/>
          </w:tcPr>
          <w:p w14:paraId="5B7D5B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793" w:type="dxa"/>
            <w:vAlign w:val="top"/>
          </w:tcPr>
          <w:p w14:paraId="1CE53A0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性别</w:t>
            </w:r>
          </w:p>
        </w:tc>
        <w:tc>
          <w:tcPr>
            <w:tcW w:w="1756" w:type="dxa"/>
            <w:vAlign w:val="top"/>
          </w:tcPr>
          <w:p w14:paraId="0E251B8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14D78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continue"/>
            <w:tcBorders>
              <w:top w:val="nil"/>
              <w:bottom w:val="nil"/>
            </w:tcBorders>
            <w:vAlign w:val="top"/>
          </w:tcPr>
          <w:p w14:paraId="42D2B0C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5B30D9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p>
        </w:tc>
        <w:tc>
          <w:tcPr>
            <w:tcW w:w="2727" w:type="dxa"/>
            <w:gridSpan w:val="2"/>
            <w:vAlign w:val="top"/>
          </w:tcPr>
          <w:p w14:paraId="09114F3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793" w:type="dxa"/>
            <w:vAlign w:val="top"/>
          </w:tcPr>
          <w:p w14:paraId="02B9105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联系电话</w:t>
            </w:r>
          </w:p>
        </w:tc>
        <w:tc>
          <w:tcPr>
            <w:tcW w:w="1756" w:type="dxa"/>
            <w:vAlign w:val="top"/>
          </w:tcPr>
          <w:p w14:paraId="3CB105E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39FA8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1" w:type="dxa"/>
            <w:vMerge w:val="continue"/>
            <w:tcBorders>
              <w:top w:val="nil"/>
            </w:tcBorders>
            <w:vAlign w:val="top"/>
          </w:tcPr>
          <w:p w14:paraId="1A5052D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1825" w:type="dxa"/>
            <w:vAlign w:val="top"/>
          </w:tcPr>
          <w:p w14:paraId="16E57D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传真</w:t>
            </w:r>
          </w:p>
        </w:tc>
        <w:tc>
          <w:tcPr>
            <w:tcW w:w="6276" w:type="dxa"/>
            <w:gridSpan w:val="4"/>
            <w:vAlign w:val="top"/>
          </w:tcPr>
          <w:p w14:paraId="6E826E0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r>
      <w:tr w14:paraId="1098B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9" w:hRule="atLeast"/>
        </w:trPr>
        <w:tc>
          <w:tcPr>
            <w:tcW w:w="1061" w:type="dxa"/>
            <w:vMerge w:val="restart"/>
            <w:tcBorders>
              <w:bottom w:val="nil"/>
            </w:tcBorders>
            <w:vAlign w:val="top"/>
          </w:tcPr>
          <w:p w14:paraId="79F91D9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1BA342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73A77CB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539FE8C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23B1E2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129847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法定代</w:t>
            </w:r>
          </w:p>
          <w:p w14:paraId="278DB0F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表人身</w:t>
            </w:r>
          </w:p>
          <w:p w14:paraId="388FD4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份证正</w:t>
            </w:r>
          </w:p>
          <w:p w14:paraId="6C15835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反复印</w:t>
            </w:r>
          </w:p>
          <w:p w14:paraId="0924FB3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件</w:t>
            </w:r>
          </w:p>
        </w:tc>
        <w:tc>
          <w:tcPr>
            <w:tcW w:w="3256" w:type="dxa"/>
            <w:gridSpan w:val="2"/>
            <w:vMerge w:val="restart"/>
            <w:tcBorders>
              <w:bottom w:val="nil"/>
            </w:tcBorders>
            <w:vAlign w:val="top"/>
          </w:tcPr>
          <w:p w14:paraId="29967E6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FE8F23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AB64EC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6D020FA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9D9DF1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9D2710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1D812FE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592B8C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8E1174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C9A89B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（粘贴处）</w:t>
            </w:r>
          </w:p>
        </w:tc>
        <w:tc>
          <w:tcPr>
            <w:tcW w:w="4845" w:type="dxa"/>
            <w:gridSpan w:val="3"/>
            <w:vAlign w:val="top"/>
          </w:tcPr>
          <w:p w14:paraId="345382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2C14AB8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30F54C7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659DCE2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p>
        </w:tc>
      </w:tr>
      <w:tr w14:paraId="7CE13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1061" w:type="dxa"/>
            <w:vMerge w:val="continue"/>
            <w:tcBorders>
              <w:top w:val="nil"/>
            </w:tcBorders>
            <w:vAlign w:val="top"/>
          </w:tcPr>
          <w:p w14:paraId="374A033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3256" w:type="dxa"/>
            <w:gridSpan w:val="2"/>
            <w:vMerge w:val="continue"/>
            <w:tcBorders>
              <w:top w:val="nil"/>
            </w:tcBorders>
            <w:vAlign w:val="top"/>
          </w:tcPr>
          <w:p w14:paraId="3633AEA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tc>
        <w:tc>
          <w:tcPr>
            <w:tcW w:w="4845" w:type="dxa"/>
            <w:gridSpan w:val="3"/>
            <w:vAlign w:val="top"/>
          </w:tcPr>
          <w:p w14:paraId="449A0AA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（公章）</w:t>
            </w:r>
          </w:p>
          <w:p w14:paraId="4E2A47D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7D923AD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320D1AB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6882491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年     月    日</w:t>
            </w:r>
          </w:p>
        </w:tc>
      </w:tr>
    </w:tbl>
    <w:p w14:paraId="33166AB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0566485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注：法定代表人亲自参与投标时出具。</w:t>
      </w:r>
    </w:p>
    <w:p w14:paraId="32908F5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6" w:type="default"/>
          <w:pgSz w:w="11907" w:h="16840"/>
          <w:pgMar w:top="1531" w:right="1531" w:bottom="1531" w:left="1531" w:header="0" w:footer="1041" w:gutter="0"/>
          <w:pgNumType w:fmt="decimal"/>
          <w:cols w:space="720" w:num="1"/>
        </w:sectPr>
      </w:pPr>
    </w:p>
    <w:p w14:paraId="40070D2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b/>
          <w:bCs/>
          <w:color w:val="auto"/>
          <w:sz w:val="28"/>
          <w:szCs w:val="28"/>
        </w:rPr>
      </w:pPr>
      <w:r>
        <w:rPr>
          <w:rFonts w:hint="eastAsia" w:ascii="宋体" w:hAnsi="宋体" w:eastAsia="宋体" w:cs="宋体"/>
          <w:b/>
          <w:bCs/>
          <w:color w:val="auto"/>
          <w:sz w:val="28"/>
          <w:szCs w:val="28"/>
        </w:rPr>
        <w:t>(2)法定代表人授权书</w:t>
      </w:r>
    </w:p>
    <w:p w14:paraId="19F37ED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本授权书声明：注册于（ 工商行政管理局名称）之（委托单位全称）  的法定代表 人（姓名、性别）授权（被授权人姓名、性别、职务）为本公司合法代理人，就贵方组 织的有关（招标项目名称）（项目编号：        ）的投标、洽谈、 执行等具体事务，签署全部有关文件、文书、协议、合同，本公司对被授权人在本项目中的签名承担全部法律责任。</w:t>
      </w:r>
    </w:p>
    <w:p w14:paraId="14EB9F4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本授权书自开标大会之日起计算有效期为    天。</w:t>
      </w:r>
    </w:p>
    <w:p w14:paraId="7462DE6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委托单位：   （公章）                  法定代表人（签字或盖章）：</w:t>
      </w:r>
    </w:p>
    <w:p w14:paraId="7314C03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签发日期：      年     月     日</w:t>
      </w:r>
    </w:p>
    <w:p w14:paraId="1DA736A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 xml:space="preserve">附：被授权人姓名：               性别：        职务：        </w:t>
      </w:r>
    </w:p>
    <w:p w14:paraId="6C96BE2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联系电话：                 </w:t>
      </w:r>
    </w:p>
    <w:p w14:paraId="71618BB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tbl>
      <w:tblPr>
        <w:tblStyle w:val="20"/>
        <w:tblW w:w="910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2"/>
        <w:gridCol w:w="4460"/>
      </w:tblGrid>
      <w:tr w14:paraId="31627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2" w:hRule="atLeast"/>
        </w:trPr>
        <w:tc>
          <w:tcPr>
            <w:tcW w:w="4642" w:type="dxa"/>
            <w:vAlign w:val="top"/>
          </w:tcPr>
          <w:p w14:paraId="1C87E58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1ECB1B1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0ECE668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0DEFC28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法定代表人身份证复印件（国徽面）</w:t>
            </w:r>
          </w:p>
        </w:tc>
        <w:tc>
          <w:tcPr>
            <w:tcW w:w="4460" w:type="dxa"/>
            <w:vAlign w:val="top"/>
          </w:tcPr>
          <w:p w14:paraId="776D52C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496CBEF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35917CD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5E570C0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被授权人身份证复印件（国徽面）</w:t>
            </w:r>
          </w:p>
        </w:tc>
      </w:tr>
      <w:tr w14:paraId="3944F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1" w:hRule="atLeast"/>
        </w:trPr>
        <w:tc>
          <w:tcPr>
            <w:tcW w:w="4642" w:type="dxa"/>
            <w:vAlign w:val="top"/>
          </w:tcPr>
          <w:p w14:paraId="5663EBC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3A614FC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6DC22AF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203E2A2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法定代表人身份证复印件（人像面）</w:t>
            </w:r>
          </w:p>
        </w:tc>
        <w:tc>
          <w:tcPr>
            <w:tcW w:w="4460" w:type="dxa"/>
            <w:vAlign w:val="top"/>
          </w:tcPr>
          <w:p w14:paraId="34875BF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76E96BB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6B79535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p>
          <w:p w14:paraId="191FE9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被授权人身份证复印件（人像面）</w:t>
            </w:r>
          </w:p>
        </w:tc>
      </w:tr>
    </w:tbl>
    <w:p w14:paraId="066563A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说明：</w:t>
      </w:r>
    </w:p>
    <w:p w14:paraId="2DC491E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1．本授权书有效期自开标大会之日计算不得少于九十天。</w:t>
      </w:r>
    </w:p>
    <w:p w14:paraId="2EABEF1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8"/>
          <w:szCs w:val="28"/>
        </w:rPr>
        <w:t>2．授权书内容填写要明确，文字要工整清楚，涂改无效。</w:t>
      </w:r>
    </w:p>
    <w:p w14:paraId="003B28D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7" w:type="default"/>
          <w:pgSz w:w="11907" w:h="16840"/>
          <w:pgMar w:top="1531" w:right="1531" w:bottom="1531" w:left="1531" w:header="0" w:footer="1041" w:gutter="0"/>
          <w:pgNumType w:fmt="decimal"/>
          <w:cols w:space="720" w:num="1"/>
        </w:sectPr>
      </w:pPr>
    </w:p>
    <w:p w14:paraId="1263801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宋体" w:hAnsi="宋体" w:eastAsia="宋体" w:cs="宋体"/>
          <w:b/>
          <w:bCs/>
          <w:color w:val="auto"/>
          <w:sz w:val="24"/>
          <w:szCs w:val="24"/>
        </w:rPr>
        <w:t>（3）参加本次招标活动近三年内，在经营活动中没有重大违法记录声明</w:t>
      </w:r>
    </w:p>
    <w:p w14:paraId="727096C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114C95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供应商参加政府采购活动承诺书</w:t>
      </w:r>
    </w:p>
    <w:p w14:paraId="20681C8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01C1DE7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A66BA9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致：</w:t>
      </w:r>
    </w:p>
    <w:p w14:paraId="710B57A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我公司（投标人名称），就参加                   项目（采购项目编号： ）投标事宜，在此郑重声明：</w:t>
      </w:r>
    </w:p>
    <w:p w14:paraId="179820E2">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1、我公司所提交的投标文件全部真实有效；</w:t>
      </w:r>
    </w:p>
    <w:p w14:paraId="6796CD4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2、我公司近3年来无因安全事故、质量事故、投标违规等不良记录被政府有关部门处罚或仍在处罚期限内的情形存在；</w:t>
      </w:r>
    </w:p>
    <w:p w14:paraId="2A5281A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3、我公司近 3 年来无违规违法经营受到责令停产(或停止经营)、 吊销生产许可证（或经营许可证）、较大数额罚款等行政处罚的情形存在；</w:t>
      </w:r>
    </w:p>
    <w:p w14:paraId="08E9F758">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lang w:eastAsia="zh-CN"/>
        </w:rPr>
      </w:pPr>
      <w:r>
        <w:rPr>
          <w:rFonts w:hint="eastAsia" w:ascii="宋体" w:hAnsi="宋体" w:eastAsia="宋体" w:cs="宋体"/>
          <w:color w:val="auto"/>
          <w:sz w:val="28"/>
          <w:szCs w:val="28"/>
        </w:rPr>
        <w:t>4、我公司无企业财产被查封、冻结或处于破产状态或严重亏损状态等情形存在</w:t>
      </w:r>
      <w:r>
        <w:rPr>
          <w:rFonts w:hint="eastAsia" w:ascii="宋体" w:hAnsi="宋体" w:eastAsia="宋体" w:cs="宋体"/>
          <w:color w:val="auto"/>
          <w:sz w:val="28"/>
          <w:szCs w:val="28"/>
          <w:lang w:eastAsia="zh-CN"/>
        </w:rPr>
        <w:t>；</w:t>
      </w:r>
    </w:p>
    <w:p w14:paraId="2251F880">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5、我公司承诺在投标过程中，保证不予其他单位围标、串标，不出让投标资格，不采取不正当手段诋毁、排挤其他投标人，不向采购人、评标委员会成员行贿。</w:t>
      </w:r>
    </w:p>
    <w:p w14:paraId="4EB8A29B">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以上声明若有违反，一经查实，本公司愿意接受政府有关部门的相应处罚，并愿意承担由此带来的法律后果。</w:t>
      </w:r>
    </w:p>
    <w:p w14:paraId="1E74061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特此声明！</w:t>
      </w:r>
    </w:p>
    <w:p w14:paraId="706D0A6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7AF16A5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A5E54B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A6DC6B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声 明 人： (投标人名称、公章)</w:t>
      </w:r>
    </w:p>
    <w:p w14:paraId="1832A762">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p>
    <w:p w14:paraId="079B134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4"/>
          <w:szCs w:val="24"/>
        </w:rPr>
      </w:pPr>
      <w:r>
        <w:rPr>
          <w:rFonts w:hint="eastAsia" w:ascii="宋体" w:hAnsi="宋体" w:eastAsia="宋体" w:cs="宋体"/>
          <w:color w:val="auto"/>
          <w:sz w:val="28"/>
          <w:szCs w:val="28"/>
        </w:rPr>
        <w:t>日 期：        年       月        日</w:t>
      </w:r>
    </w:p>
    <w:p w14:paraId="7C4C5D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8" w:type="default"/>
          <w:pgSz w:w="11907" w:h="16840"/>
          <w:pgMar w:top="1531" w:right="1531" w:bottom="1531" w:left="1531" w:header="0" w:footer="1041" w:gutter="0"/>
          <w:pgNumType w:fmt="decimal"/>
          <w:cols w:space="720" w:num="1"/>
        </w:sectPr>
      </w:pPr>
    </w:p>
    <w:p w14:paraId="43B992E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b/>
          <w:bCs/>
          <w:color w:val="auto"/>
          <w:sz w:val="28"/>
          <w:szCs w:val="28"/>
        </w:rPr>
      </w:pPr>
      <w:r>
        <w:rPr>
          <w:rFonts w:hint="eastAsia" w:ascii="宋体" w:hAnsi="宋体" w:eastAsia="宋体" w:cs="宋体"/>
          <w:b/>
          <w:bCs/>
          <w:color w:val="auto"/>
          <w:sz w:val="28"/>
          <w:szCs w:val="28"/>
        </w:rPr>
        <w:t>（4）非联合体声明 （格式）</w:t>
      </w:r>
    </w:p>
    <w:p w14:paraId="59BC621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443F410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8"/>
          <w:szCs w:val="28"/>
        </w:rPr>
      </w:pPr>
    </w:p>
    <w:p w14:paraId="796D79D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致：</w:t>
      </w:r>
    </w:p>
    <w:p w14:paraId="3069784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45029AD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我公司作为本次公开招标项目的投标人，根据招标文件要求，现郑重声明如下：我公司参加本次公开招标项目为非联合体。</w:t>
      </w:r>
    </w:p>
    <w:p w14:paraId="20432B5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本公司对上述承诺的内容事项真实性负责。如经查实上述承诺的内容事项存在虚假，我公司愿意接受因提供虚假材料谋取中标应负的法律责任。</w:t>
      </w:r>
    </w:p>
    <w:p w14:paraId="1A11895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5FE930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14250E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59FBD69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392AB05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7008D77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声明人：    (投标人名称、公章)</w:t>
      </w:r>
    </w:p>
    <w:p w14:paraId="6E2F3EF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16760B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法定代表人：  (签字或盖章)</w:t>
      </w:r>
    </w:p>
    <w:p w14:paraId="38E6135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2AD4E3C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p>
    <w:p w14:paraId="09E2CE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日  期：   年  月    日</w:t>
      </w:r>
    </w:p>
    <w:p w14:paraId="155E951C">
      <w:pPr>
        <w:spacing w:line="360" w:lineRule="auto"/>
        <w:jc w:val="left"/>
        <w:rPr>
          <w:rFonts w:hint="eastAsia" w:ascii="宋体" w:hAnsi="宋体" w:eastAsia="宋体" w:cs="宋体"/>
          <w:b/>
          <w:color w:val="auto"/>
          <w:sz w:val="28"/>
          <w:szCs w:val="28"/>
          <w:highlight w:val="none"/>
          <w:lang w:val="en-US" w:eastAsia="zh-CN" w:bidi="ar-SA"/>
        </w:rPr>
      </w:pPr>
      <w:bookmarkStart w:id="14" w:name="_Toc25937964"/>
      <w:bookmarkStart w:id="15" w:name="_Toc65073733"/>
    </w:p>
    <w:p w14:paraId="18C9FB3C">
      <w:pPr>
        <w:spacing w:line="360" w:lineRule="auto"/>
        <w:jc w:val="left"/>
        <w:rPr>
          <w:rFonts w:hint="eastAsia" w:ascii="宋体" w:hAnsi="宋体" w:eastAsia="宋体" w:cs="宋体"/>
          <w:b/>
          <w:color w:val="auto"/>
          <w:sz w:val="28"/>
          <w:szCs w:val="28"/>
          <w:highlight w:val="none"/>
          <w:lang w:val="en-US" w:eastAsia="zh-CN" w:bidi="ar-SA"/>
        </w:rPr>
      </w:pPr>
    </w:p>
    <w:p w14:paraId="20E2745B">
      <w:pPr>
        <w:spacing w:line="360" w:lineRule="auto"/>
        <w:jc w:val="left"/>
        <w:rPr>
          <w:rFonts w:hint="eastAsia" w:ascii="宋体" w:hAnsi="宋体" w:eastAsia="宋体" w:cs="宋体"/>
          <w:b/>
          <w:color w:val="auto"/>
          <w:sz w:val="28"/>
          <w:szCs w:val="28"/>
          <w:highlight w:val="none"/>
          <w:lang w:val="en-US" w:eastAsia="zh-CN" w:bidi="ar-SA"/>
        </w:rPr>
      </w:pPr>
    </w:p>
    <w:p w14:paraId="6E4C4B87">
      <w:pPr>
        <w:spacing w:line="360" w:lineRule="auto"/>
        <w:jc w:val="left"/>
        <w:rPr>
          <w:rFonts w:hint="eastAsia" w:ascii="宋体" w:hAnsi="宋体" w:eastAsia="宋体" w:cs="宋体"/>
          <w:b/>
          <w:color w:val="auto"/>
          <w:sz w:val="28"/>
          <w:szCs w:val="28"/>
          <w:highlight w:val="none"/>
          <w:lang w:val="en-US" w:eastAsia="zh-CN" w:bidi="ar-SA"/>
        </w:rPr>
      </w:pPr>
    </w:p>
    <w:p w14:paraId="18916135">
      <w:pPr>
        <w:spacing w:line="360" w:lineRule="auto"/>
        <w:jc w:val="left"/>
        <w:rPr>
          <w:rFonts w:hint="eastAsia" w:ascii="宋体" w:hAnsi="宋体" w:eastAsia="宋体" w:cs="宋体"/>
          <w:b/>
          <w:color w:val="auto"/>
          <w:sz w:val="28"/>
          <w:szCs w:val="28"/>
          <w:highlight w:val="none"/>
          <w:lang w:val="en-US" w:eastAsia="zh-CN" w:bidi="ar-SA"/>
        </w:rPr>
      </w:pPr>
    </w:p>
    <w:p w14:paraId="3C58B540">
      <w:pPr>
        <w:spacing w:line="360" w:lineRule="auto"/>
        <w:jc w:val="left"/>
        <w:rPr>
          <w:rFonts w:hint="eastAsia" w:ascii="宋体" w:hAnsi="宋体" w:eastAsia="宋体" w:cs="宋体"/>
          <w:b/>
          <w:color w:val="auto"/>
          <w:sz w:val="28"/>
          <w:szCs w:val="28"/>
          <w:highlight w:val="none"/>
          <w:lang w:val="en-US" w:eastAsia="zh-CN" w:bidi="ar-SA"/>
        </w:rPr>
      </w:pPr>
    </w:p>
    <w:p w14:paraId="17558F4D">
      <w:pPr>
        <w:spacing w:line="360" w:lineRule="auto"/>
        <w:jc w:val="left"/>
        <w:rPr>
          <w:rFonts w:hint="eastAsia" w:ascii="宋体" w:hAnsi="宋体" w:eastAsia="宋体" w:cs="宋体"/>
          <w:b/>
          <w:color w:val="auto"/>
          <w:sz w:val="28"/>
          <w:szCs w:val="28"/>
          <w:highlight w:val="none"/>
          <w:lang w:val="en-US" w:eastAsia="zh-CN" w:bidi="ar-SA"/>
        </w:rPr>
      </w:pPr>
    </w:p>
    <w:p w14:paraId="49ACB948">
      <w:pPr>
        <w:spacing w:line="360" w:lineRule="auto"/>
        <w:jc w:val="left"/>
        <w:rPr>
          <w:rFonts w:hint="eastAsia" w:ascii="宋体" w:hAnsi="宋体" w:eastAsia="宋体" w:cs="宋体"/>
          <w:b/>
          <w:color w:val="auto"/>
          <w:sz w:val="28"/>
          <w:szCs w:val="28"/>
          <w:highlight w:val="none"/>
          <w:lang w:val="en-US" w:eastAsia="zh-CN" w:bidi="ar-SA"/>
        </w:rPr>
      </w:pPr>
    </w:p>
    <w:bookmarkEnd w:id="14"/>
    <w:bookmarkEnd w:id="15"/>
    <w:p w14:paraId="00A9D6F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0" w:beforeAutospacing="0" w:after="180" w:afterAutospacing="0" w:line="460" w:lineRule="exact"/>
        <w:ind w:left="0" w:right="0" w:firstLine="0"/>
        <w:jc w:val="center"/>
        <w:textAlignment w:val="baseline"/>
        <w:rPr>
          <w:rFonts w:hint="eastAsia" w:ascii="宋体" w:hAnsi="宋体" w:eastAsia="宋体" w:cs="宋体"/>
          <w:i w:val="0"/>
          <w:iCs w:val="0"/>
          <w:caps w:val="0"/>
          <w:color w:val="auto"/>
          <w:spacing w:val="0"/>
          <w:sz w:val="28"/>
          <w:szCs w:val="28"/>
        </w:rPr>
      </w:pPr>
      <w:r>
        <w:rPr>
          <w:rStyle w:val="19"/>
          <w:rFonts w:hint="eastAsia" w:ascii="宋体" w:hAnsi="宋体" w:eastAsia="宋体" w:cs="宋体"/>
          <w:i w:val="0"/>
          <w:iCs w:val="0"/>
          <w:caps w:val="0"/>
          <w:color w:val="auto"/>
          <w:spacing w:val="0"/>
          <w:sz w:val="28"/>
          <w:szCs w:val="28"/>
          <w:shd w:val="clear" w:color="auto" w:fill="FFFFFF"/>
          <w:lang w:eastAsia="zh-CN"/>
        </w:rPr>
        <w:t>（</w:t>
      </w:r>
      <w:r>
        <w:rPr>
          <w:rStyle w:val="19"/>
          <w:rFonts w:hint="eastAsia" w:ascii="宋体" w:hAnsi="宋体" w:eastAsia="宋体" w:cs="宋体"/>
          <w:i w:val="0"/>
          <w:iCs w:val="0"/>
          <w:caps w:val="0"/>
          <w:color w:val="auto"/>
          <w:spacing w:val="0"/>
          <w:sz w:val="28"/>
          <w:szCs w:val="28"/>
          <w:shd w:val="clear" w:color="auto" w:fill="FFFFFF"/>
          <w:lang w:val="en-US" w:eastAsia="zh-CN"/>
        </w:rPr>
        <w:t>5</w:t>
      </w:r>
      <w:r>
        <w:rPr>
          <w:rStyle w:val="19"/>
          <w:rFonts w:hint="eastAsia" w:ascii="宋体" w:hAnsi="宋体" w:eastAsia="宋体" w:cs="宋体"/>
          <w:i w:val="0"/>
          <w:iCs w:val="0"/>
          <w:caps w:val="0"/>
          <w:color w:val="auto"/>
          <w:spacing w:val="0"/>
          <w:sz w:val="28"/>
          <w:szCs w:val="28"/>
          <w:shd w:val="clear" w:color="auto" w:fill="FFFFFF"/>
          <w:lang w:eastAsia="zh-CN"/>
        </w:rPr>
        <w:t>）</w:t>
      </w:r>
      <w:r>
        <w:rPr>
          <w:rStyle w:val="19"/>
          <w:rFonts w:hint="eastAsia" w:ascii="宋体" w:hAnsi="宋体" w:eastAsia="宋体" w:cs="宋体"/>
          <w:i w:val="0"/>
          <w:iCs w:val="0"/>
          <w:caps w:val="0"/>
          <w:color w:val="auto"/>
          <w:spacing w:val="0"/>
          <w:sz w:val="28"/>
          <w:szCs w:val="28"/>
          <w:shd w:val="clear" w:color="auto" w:fill="FFFFFF"/>
        </w:rPr>
        <w:t>中小企业声明函（货物）</w:t>
      </w:r>
    </w:p>
    <w:p w14:paraId="2743B0A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480" w:firstLineChars="20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本公司（联合体）郑重声明，根据《政府采购促进中小企业发展管理办法》（财库﹝2020﹞46 号）的规定，本公司（联合体）参加</w:t>
      </w:r>
      <w:r>
        <w:rPr>
          <w:rFonts w:hint="eastAsia" w:ascii="宋体" w:hAnsi="宋体" w:eastAsia="宋体" w:cs="宋体"/>
          <w:i w:val="0"/>
          <w:iCs w:val="0"/>
          <w:caps w:val="0"/>
          <w:color w:val="auto"/>
          <w:spacing w:val="0"/>
          <w:sz w:val="24"/>
          <w:szCs w:val="24"/>
          <w:u w:val="single"/>
          <w:shd w:val="clear" w:color="auto" w:fill="FFFFFF"/>
        </w:rPr>
        <w:t>（单位名称）</w:t>
      </w:r>
      <w:r>
        <w:rPr>
          <w:rFonts w:hint="eastAsia" w:ascii="宋体" w:hAnsi="宋体" w:eastAsia="宋体" w:cs="宋体"/>
          <w:i w:val="0"/>
          <w:iCs w:val="0"/>
          <w:caps w:val="0"/>
          <w:color w:val="auto"/>
          <w:spacing w:val="0"/>
          <w:sz w:val="24"/>
          <w:szCs w:val="24"/>
          <w:shd w:val="clear" w:color="auto" w:fill="FFFFFF"/>
        </w:rPr>
        <w:t>的</w:t>
      </w:r>
      <w:r>
        <w:rPr>
          <w:rFonts w:hint="eastAsia" w:ascii="宋体" w:hAnsi="宋体" w:eastAsia="宋体" w:cs="宋体"/>
          <w:i w:val="0"/>
          <w:iCs w:val="0"/>
          <w:caps w:val="0"/>
          <w:color w:val="auto"/>
          <w:spacing w:val="0"/>
          <w:sz w:val="24"/>
          <w:szCs w:val="24"/>
          <w:u w:val="single"/>
          <w:shd w:val="clear" w:color="auto" w:fill="FFFFFF"/>
        </w:rPr>
        <w:t>（项目名称）</w:t>
      </w:r>
      <w:r>
        <w:rPr>
          <w:rFonts w:hint="eastAsia" w:ascii="宋体" w:hAnsi="宋体" w:eastAsia="宋体" w:cs="宋体"/>
          <w:i w:val="0"/>
          <w:iCs w:val="0"/>
          <w:caps w:val="0"/>
          <w:color w:val="auto"/>
          <w:spacing w:val="0"/>
          <w:sz w:val="24"/>
          <w:szCs w:val="24"/>
          <w:shd w:val="clear" w:color="auto" w:fill="FFFFFF"/>
        </w:rPr>
        <w:t>采购活动，提供的货物全部由符合政策要求的中小企业制造。相关企业（含联合体中的中小企业、签订分包意向协议的中小企业）的具体情况如下：</w:t>
      </w:r>
    </w:p>
    <w:p w14:paraId="281D990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480" w:firstLineChars="20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1.</w:t>
      </w:r>
      <w:r>
        <w:rPr>
          <w:rFonts w:hint="eastAsia" w:ascii="宋体" w:hAnsi="宋体" w:eastAsia="宋体" w:cs="宋体"/>
          <w:i w:val="0"/>
          <w:iCs w:val="0"/>
          <w:caps w:val="0"/>
          <w:color w:val="auto"/>
          <w:spacing w:val="0"/>
          <w:sz w:val="24"/>
          <w:szCs w:val="24"/>
          <w:u w:val="single"/>
          <w:shd w:val="clear" w:color="auto" w:fill="FFFFFF"/>
        </w:rPr>
        <w:t>（标的名称）</w:t>
      </w:r>
      <w:r>
        <w:rPr>
          <w:rFonts w:hint="eastAsia" w:ascii="宋体" w:hAnsi="宋体" w:eastAsia="宋体" w:cs="宋体"/>
          <w:i w:val="0"/>
          <w:iCs w:val="0"/>
          <w:caps w:val="0"/>
          <w:color w:val="auto"/>
          <w:spacing w:val="0"/>
          <w:sz w:val="24"/>
          <w:szCs w:val="24"/>
          <w:shd w:val="clear" w:color="auto" w:fill="FFFFFF"/>
        </w:rPr>
        <w:t>，属于</w:t>
      </w:r>
      <w:r>
        <w:rPr>
          <w:rFonts w:hint="eastAsia" w:ascii="宋体" w:hAnsi="宋体" w:eastAsia="宋体" w:cs="宋体"/>
          <w:i w:val="0"/>
          <w:iCs w:val="0"/>
          <w:caps w:val="0"/>
          <w:color w:val="auto"/>
          <w:spacing w:val="0"/>
          <w:sz w:val="24"/>
          <w:szCs w:val="24"/>
          <w:u w:val="single"/>
          <w:shd w:val="clear" w:color="auto" w:fill="FFFFFF"/>
        </w:rPr>
        <w:t>（采购文件中明确的所属行业）</w:t>
      </w:r>
      <w:r>
        <w:rPr>
          <w:rFonts w:hint="eastAsia" w:ascii="宋体" w:hAnsi="宋体" w:eastAsia="宋体" w:cs="宋体"/>
          <w:i w:val="0"/>
          <w:iCs w:val="0"/>
          <w:caps w:val="0"/>
          <w:color w:val="auto"/>
          <w:spacing w:val="0"/>
          <w:sz w:val="24"/>
          <w:szCs w:val="24"/>
          <w:shd w:val="clear" w:color="auto" w:fill="FFFFFF"/>
        </w:rPr>
        <w:t>行业；制造商为</w:t>
      </w:r>
      <w:r>
        <w:rPr>
          <w:rFonts w:hint="eastAsia" w:ascii="宋体" w:hAnsi="宋体" w:eastAsia="宋体" w:cs="宋体"/>
          <w:i w:val="0"/>
          <w:iCs w:val="0"/>
          <w:caps w:val="0"/>
          <w:color w:val="auto"/>
          <w:spacing w:val="0"/>
          <w:sz w:val="24"/>
          <w:szCs w:val="24"/>
          <w:u w:val="single"/>
          <w:shd w:val="clear" w:color="auto" w:fill="FFFFFF"/>
        </w:rPr>
        <w:t>（企业名称）</w:t>
      </w:r>
      <w:r>
        <w:rPr>
          <w:rFonts w:hint="eastAsia" w:ascii="宋体" w:hAnsi="宋体" w:eastAsia="宋体" w:cs="宋体"/>
          <w:i w:val="0"/>
          <w:iCs w:val="0"/>
          <w:caps w:val="0"/>
          <w:color w:val="auto"/>
          <w:spacing w:val="0"/>
          <w:sz w:val="24"/>
          <w:szCs w:val="24"/>
          <w:shd w:val="clear" w:color="auto" w:fill="FFFFFF"/>
        </w:rPr>
        <w:t>，从业人员</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人，营业收入为</w:t>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万元，资产总额为</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万元</w:t>
      </w:r>
      <w:r>
        <w:rPr>
          <w:rFonts w:hint="eastAsia" w:ascii="宋体" w:hAnsi="宋体" w:eastAsia="宋体" w:cs="宋体"/>
          <w:i w:val="0"/>
          <w:iCs w:val="0"/>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rPr>
        <w:t>，属于</w:t>
      </w:r>
      <w:r>
        <w:rPr>
          <w:rFonts w:hint="eastAsia" w:ascii="宋体" w:hAnsi="宋体" w:eastAsia="宋体" w:cs="宋体"/>
          <w:i w:val="0"/>
          <w:iCs w:val="0"/>
          <w:caps w:val="0"/>
          <w:color w:val="auto"/>
          <w:spacing w:val="0"/>
          <w:sz w:val="24"/>
          <w:szCs w:val="24"/>
          <w:u w:val="single"/>
          <w:shd w:val="clear" w:color="auto" w:fill="FFFFFF"/>
        </w:rPr>
        <w:t>（中型企业、小型企业、微型企业）</w:t>
      </w:r>
      <w:r>
        <w:rPr>
          <w:rFonts w:hint="eastAsia" w:ascii="宋体" w:hAnsi="宋体" w:eastAsia="宋体" w:cs="宋体"/>
          <w:i w:val="0"/>
          <w:iCs w:val="0"/>
          <w:caps w:val="0"/>
          <w:color w:val="auto"/>
          <w:spacing w:val="0"/>
          <w:sz w:val="24"/>
          <w:szCs w:val="24"/>
          <w:shd w:val="clear" w:color="auto" w:fill="FFFFFF"/>
        </w:rPr>
        <w:t>；</w:t>
      </w:r>
    </w:p>
    <w:p w14:paraId="1D86BED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480" w:firstLineChars="20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2.</w:t>
      </w:r>
      <w:r>
        <w:rPr>
          <w:rFonts w:hint="eastAsia" w:ascii="宋体" w:hAnsi="宋体" w:eastAsia="宋体" w:cs="宋体"/>
          <w:i w:val="0"/>
          <w:iCs w:val="0"/>
          <w:caps w:val="0"/>
          <w:color w:val="auto"/>
          <w:spacing w:val="0"/>
          <w:sz w:val="24"/>
          <w:szCs w:val="24"/>
          <w:u w:val="single"/>
          <w:shd w:val="clear" w:color="auto" w:fill="FFFFFF"/>
        </w:rPr>
        <w:t>（标的名称）</w:t>
      </w:r>
      <w:r>
        <w:rPr>
          <w:rFonts w:hint="eastAsia" w:ascii="宋体" w:hAnsi="宋体" w:eastAsia="宋体" w:cs="宋体"/>
          <w:i w:val="0"/>
          <w:iCs w:val="0"/>
          <w:caps w:val="0"/>
          <w:color w:val="auto"/>
          <w:spacing w:val="0"/>
          <w:sz w:val="24"/>
          <w:szCs w:val="24"/>
          <w:shd w:val="clear" w:color="auto" w:fill="FFFFFF"/>
        </w:rPr>
        <w:t>，属于</w:t>
      </w:r>
      <w:r>
        <w:rPr>
          <w:rFonts w:hint="eastAsia" w:ascii="宋体" w:hAnsi="宋体" w:eastAsia="宋体" w:cs="宋体"/>
          <w:i w:val="0"/>
          <w:iCs w:val="0"/>
          <w:caps w:val="0"/>
          <w:color w:val="auto"/>
          <w:spacing w:val="0"/>
          <w:sz w:val="24"/>
          <w:szCs w:val="24"/>
          <w:u w:val="single"/>
          <w:shd w:val="clear" w:color="auto" w:fill="FFFFFF"/>
        </w:rPr>
        <w:t>（采购文件中明确的所属行业）</w:t>
      </w:r>
      <w:r>
        <w:rPr>
          <w:rFonts w:hint="eastAsia" w:ascii="宋体" w:hAnsi="宋体" w:eastAsia="宋体" w:cs="宋体"/>
          <w:i w:val="0"/>
          <w:iCs w:val="0"/>
          <w:caps w:val="0"/>
          <w:color w:val="auto"/>
          <w:spacing w:val="0"/>
          <w:sz w:val="24"/>
          <w:szCs w:val="24"/>
          <w:shd w:val="clear" w:color="auto" w:fill="FFFFFF"/>
        </w:rPr>
        <w:t>行业；制造商为</w:t>
      </w:r>
      <w:r>
        <w:rPr>
          <w:rFonts w:hint="eastAsia" w:ascii="宋体" w:hAnsi="宋体" w:eastAsia="宋体" w:cs="宋体"/>
          <w:i w:val="0"/>
          <w:iCs w:val="0"/>
          <w:caps w:val="0"/>
          <w:color w:val="auto"/>
          <w:spacing w:val="0"/>
          <w:sz w:val="24"/>
          <w:szCs w:val="24"/>
          <w:u w:val="single"/>
          <w:shd w:val="clear" w:color="auto" w:fill="FFFFFF"/>
        </w:rPr>
        <w:t>（企业名称）</w:t>
      </w:r>
      <w:r>
        <w:rPr>
          <w:rFonts w:hint="eastAsia" w:ascii="宋体" w:hAnsi="宋体" w:eastAsia="宋体" w:cs="宋体"/>
          <w:i w:val="0"/>
          <w:iCs w:val="0"/>
          <w:caps w:val="0"/>
          <w:color w:val="auto"/>
          <w:spacing w:val="0"/>
          <w:sz w:val="24"/>
          <w:szCs w:val="24"/>
          <w:shd w:val="clear" w:color="auto" w:fill="FFFFFF"/>
        </w:rPr>
        <w:t>，从业人员</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人，营业收入为</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万元，资产总额为</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万元，属于</w:t>
      </w:r>
      <w:r>
        <w:rPr>
          <w:rFonts w:hint="eastAsia" w:ascii="宋体" w:hAnsi="宋体" w:eastAsia="宋体" w:cs="宋体"/>
          <w:i w:val="0"/>
          <w:iCs w:val="0"/>
          <w:caps w:val="0"/>
          <w:color w:val="auto"/>
          <w:spacing w:val="0"/>
          <w:sz w:val="24"/>
          <w:szCs w:val="24"/>
          <w:u w:val="single"/>
          <w:shd w:val="clear" w:color="auto" w:fill="FFFFFF"/>
        </w:rPr>
        <w:t>（中型企业、小型企业、微型企业）</w:t>
      </w:r>
      <w:r>
        <w:rPr>
          <w:rFonts w:hint="eastAsia" w:ascii="宋体" w:hAnsi="宋体" w:eastAsia="宋体" w:cs="宋体"/>
          <w:i w:val="0"/>
          <w:iCs w:val="0"/>
          <w:caps w:val="0"/>
          <w:color w:val="auto"/>
          <w:spacing w:val="0"/>
          <w:sz w:val="24"/>
          <w:szCs w:val="24"/>
          <w:shd w:val="clear" w:color="auto" w:fill="FFFFFF"/>
        </w:rPr>
        <w:t>；</w:t>
      </w:r>
    </w:p>
    <w:p w14:paraId="2A475F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w:t>
      </w:r>
    </w:p>
    <w:p w14:paraId="0B86086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480" w:firstLineChars="20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以上企业，不属于大企业的分支机构，不存在控股股东为大企业的情形，也不存在与大企业的负责人为同一人的情形。</w:t>
      </w:r>
    </w:p>
    <w:p w14:paraId="5C30CE0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480" w:firstLineChars="20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本企业对上述声明内容的真实性负责。如有虚假，将依法承担相应责任。</w:t>
      </w:r>
    </w:p>
    <w:p w14:paraId="09C7338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 </w:t>
      </w:r>
    </w:p>
    <w:p w14:paraId="027C1DE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 </w:t>
      </w:r>
    </w:p>
    <w:p w14:paraId="05F71EF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企业名称（盖章）：</w:t>
      </w:r>
      <w:r>
        <w:rPr>
          <w:rFonts w:hint="eastAsia" w:ascii="宋体" w:hAnsi="宋体" w:eastAsia="宋体" w:cs="宋体"/>
          <w:i w:val="0"/>
          <w:iCs w:val="0"/>
          <w:caps w:val="0"/>
          <w:color w:val="auto"/>
          <w:spacing w:val="0"/>
          <w:sz w:val="24"/>
          <w:szCs w:val="24"/>
          <w:shd w:val="clear" w:color="auto" w:fill="FFFFFF"/>
        </w:rPr>
        <w:t> </w:t>
      </w:r>
    </w:p>
    <w:p w14:paraId="6F55BCF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spacing w:before="60" w:beforeAutospacing="0" w:after="60" w:afterAutospacing="0" w:line="520" w:lineRule="exact"/>
        <w:ind w:left="62" w:right="62" w:firstLine="0"/>
        <w:jc w:val="center"/>
        <w:textAlignment w:val="baseline"/>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日 期：</w:t>
      </w:r>
    </w:p>
    <w:p w14:paraId="6F116EDE">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60" w:afterAutospacing="0" w:line="336" w:lineRule="atLeast"/>
        <w:ind w:left="60" w:right="6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rPr>
        <w:t>从业人员、营业收入、资产总额填报上一年度数据，无上一年度数据的新成立企业可不填报。</w:t>
      </w:r>
    </w:p>
    <w:p w14:paraId="6C772DD4">
      <w:pPr>
        <w:pStyle w:val="7"/>
        <w:rPr>
          <w:rFonts w:hint="eastAsia" w:hAnsi="宋体" w:cs="宋体"/>
          <w:color w:val="auto"/>
          <w:sz w:val="24"/>
          <w:szCs w:val="24"/>
          <w:highlight w:val="none"/>
          <w:lang w:val="en-US" w:eastAsia="zh-CN"/>
        </w:rPr>
      </w:pPr>
    </w:p>
    <w:p w14:paraId="0C135DC8">
      <w:pPr>
        <w:pStyle w:val="8"/>
        <w:ind w:left="0" w:leftChars="0" w:firstLine="0" w:firstLineChars="0"/>
        <w:rPr>
          <w:rFonts w:hint="eastAsia" w:hAnsi="宋体" w:cs="宋体"/>
          <w:color w:val="auto"/>
          <w:sz w:val="24"/>
          <w:szCs w:val="24"/>
          <w:highlight w:val="none"/>
          <w:lang w:val="en-US" w:eastAsia="zh-CN"/>
        </w:rPr>
      </w:pPr>
    </w:p>
    <w:p w14:paraId="78F383D6">
      <w:pPr>
        <w:pStyle w:val="10"/>
        <w:rPr>
          <w:rFonts w:hint="eastAsia"/>
          <w:color w:val="auto"/>
          <w:highlight w:val="none"/>
          <w:lang w:val="en-US" w:eastAsia="zh-CN"/>
        </w:rPr>
      </w:pPr>
    </w:p>
    <w:p w14:paraId="5B85C6FC">
      <w:pPr>
        <w:pStyle w:val="3"/>
        <w:spacing w:before="0" w:after="0" w:line="415" w:lineRule="auto"/>
        <w:jc w:val="center"/>
        <w:rPr>
          <w:rFonts w:hint="eastAsia" w:ascii="宋体" w:hAnsi="宋体" w:cs="宋体"/>
          <w:color w:val="auto"/>
          <w:sz w:val="28"/>
          <w:szCs w:val="28"/>
          <w:highlight w:val="none"/>
        </w:rPr>
      </w:pPr>
    </w:p>
    <w:p w14:paraId="1116D4C5">
      <w:pPr>
        <w:pStyle w:val="3"/>
        <w:spacing w:before="0" w:after="0" w:line="415" w:lineRule="auto"/>
        <w:jc w:val="center"/>
        <w:rPr>
          <w:rFonts w:ascii="宋体" w:hAnsi="宋体" w:cs="宋体"/>
          <w:color w:val="auto"/>
          <w:sz w:val="28"/>
          <w:szCs w:val="28"/>
          <w:highlight w:val="none"/>
        </w:rPr>
      </w:pPr>
      <w:r>
        <w:rPr>
          <w:rFonts w:hint="eastAsia" w:cs="宋体"/>
          <w:color w:val="auto"/>
          <w:sz w:val="28"/>
          <w:szCs w:val="28"/>
          <w:highlight w:val="none"/>
          <w:lang w:eastAsia="zh-CN"/>
        </w:rPr>
        <w:t>（</w:t>
      </w:r>
      <w:r>
        <w:rPr>
          <w:rFonts w:hint="eastAsia" w:cs="宋体"/>
          <w:color w:val="auto"/>
          <w:sz w:val="28"/>
          <w:szCs w:val="28"/>
          <w:highlight w:val="none"/>
          <w:lang w:val="en-US" w:eastAsia="zh-CN"/>
        </w:rPr>
        <w:t>6</w:t>
      </w:r>
      <w:r>
        <w:rPr>
          <w:rFonts w:hint="eastAsia" w:cs="宋体"/>
          <w:color w:val="auto"/>
          <w:sz w:val="28"/>
          <w:szCs w:val="28"/>
          <w:highlight w:val="none"/>
          <w:lang w:eastAsia="zh-CN"/>
        </w:rPr>
        <w:t>）</w:t>
      </w:r>
      <w:r>
        <w:rPr>
          <w:rFonts w:hint="eastAsia" w:ascii="宋体" w:hAnsi="宋体" w:cs="宋体"/>
          <w:color w:val="auto"/>
          <w:sz w:val="28"/>
          <w:szCs w:val="28"/>
          <w:highlight w:val="none"/>
        </w:rPr>
        <w:t>《残疾人福利性单位声明函》（格式，若有）</w:t>
      </w:r>
    </w:p>
    <w:p w14:paraId="1672C599">
      <w:pPr>
        <w:pStyle w:val="33"/>
        <w:ind w:firstLine="504"/>
        <w:rPr>
          <w:rFonts w:ascii="宋体" w:hAnsi="宋体" w:cs="宋体"/>
          <w:color w:val="auto"/>
          <w:sz w:val="24"/>
          <w:szCs w:val="24"/>
          <w:highlight w:val="none"/>
        </w:rPr>
      </w:pPr>
      <w:r>
        <w:rPr>
          <w:rFonts w:hint="eastAsia" w:ascii="宋体" w:hAnsi="宋体" w:cs="宋体"/>
          <w:color w:val="auto"/>
          <w:spacing w:val="6"/>
          <w:sz w:val="24"/>
          <w:szCs w:val="24"/>
          <w:highlight w:val="none"/>
        </w:rPr>
        <w:t>根据《三部门联合发布关于促进残疾人就业政府采购政策的通知》（财库〔2017〕141号）的规定，由投标人自行申明，并对申明真实性负责。如有虚假，将依法承担相应责任。</w:t>
      </w:r>
    </w:p>
    <w:p w14:paraId="2C0FDBE8">
      <w:pPr>
        <w:pStyle w:val="33"/>
        <w:ind w:firstLine="149" w:firstLineChars="62"/>
        <w:rPr>
          <w:rFonts w:ascii="宋体" w:hAnsi="宋体" w:cs="宋体"/>
          <w:b/>
          <w:bCs/>
          <w:color w:val="auto"/>
          <w:sz w:val="24"/>
          <w:szCs w:val="24"/>
          <w:highlight w:val="none"/>
        </w:rPr>
      </w:pPr>
    </w:p>
    <w:p w14:paraId="15A6DF4C">
      <w:pPr>
        <w:spacing w:line="588" w:lineRule="exact"/>
        <w:jc w:val="center"/>
        <w:rPr>
          <w:rFonts w:hAnsi="宋体" w:cs="宋体"/>
          <w:b/>
          <w:color w:val="auto"/>
          <w:spacing w:val="6"/>
          <w:sz w:val="24"/>
          <w:szCs w:val="24"/>
          <w:highlight w:val="none"/>
        </w:rPr>
      </w:pPr>
      <w:r>
        <w:rPr>
          <w:rFonts w:hint="eastAsia" w:hAnsi="宋体" w:cs="宋体"/>
          <w:b/>
          <w:color w:val="auto"/>
          <w:spacing w:val="6"/>
          <w:sz w:val="24"/>
          <w:szCs w:val="24"/>
          <w:highlight w:val="none"/>
        </w:rPr>
        <w:t>残疾人福利性单位声明函</w:t>
      </w:r>
    </w:p>
    <w:p w14:paraId="73CB4F7B">
      <w:pPr>
        <w:spacing w:line="588" w:lineRule="exact"/>
        <w:rPr>
          <w:rFonts w:hAnsi="宋体" w:cs="宋体"/>
          <w:b/>
          <w:color w:val="auto"/>
          <w:spacing w:val="6"/>
          <w:sz w:val="24"/>
          <w:szCs w:val="24"/>
          <w:highlight w:val="none"/>
        </w:rPr>
      </w:pPr>
    </w:p>
    <w:p w14:paraId="5B8E67A3">
      <w:pPr>
        <w:spacing w:line="588" w:lineRule="exact"/>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本单位郑重声明，根据《财政部 民政部 中国残疾人联合会关于促进残疾人就业政府采购政策的通知》（财库</w:t>
      </w:r>
      <w:r>
        <w:rPr>
          <w:rFonts w:hint="eastAsia" w:hAnsi="宋体" w:cs="宋体"/>
          <w:color w:val="auto"/>
          <w:sz w:val="24"/>
          <w:szCs w:val="24"/>
          <w:highlight w:val="none"/>
        </w:rPr>
        <w:t>〔2017〕 141</w:t>
      </w:r>
      <w:r>
        <w:rPr>
          <w:rFonts w:hint="eastAsia"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F0D267">
      <w:pPr>
        <w:spacing w:line="588" w:lineRule="exact"/>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tbl>
      <w:tblPr>
        <w:tblStyle w:val="17"/>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768"/>
        <w:gridCol w:w="1446"/>
        <w:gridCol w:w="1268"/>
        <w:gridCol w:w="1582"/>
        <w:gridCol w:w="1336"/>
      </w:tblGrid>
      <w:tr w14:paraId="3FFE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695" w:type="dxa"/>
            <w:noWrap w:val="0"/>
            <w:vAlign w:val="center"/>
          </w:tcPr>
          <w:p w14:paraId="494E0294">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序号</w:t>
            </w:r>
          </w:p>
        </w:tc>
        <w:tc>
          <w:tcPr>
            <w:tcW w:w="2768" w:type="dxa"/>
            <w:noWrap w:val="0"/>
            <w:vAlign w:val="center"/>
          </w:tcPr>
          <w:p w14:paraId="162404E5">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产品类型</w:t>
            </w:r>
          </w:p>
        </w:tc>
        <w:tc>
          <w:tcPr>
            <w:tcW w:w="1446" w:type="dxa"/>
            <w:noWrap w:val="0"/>
            <w:vAlign w:val="center"/>
          </w:tcPr>
          <w:p w14:paraId="228F5E92">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产品名称</w:t>
            </w:r>
          </w:p>
        </w:tc>
        <w:tc>
          <w:tcPr>
            <w:tcW w:w="1268" w:type="dxa"/>
            <w:noWrap w:val="0"/>
            <w:vAlign w:val="center"/>
          </w:tcPr>
          <w:p w14:paraId="6DF9CDF2">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制造商</w:t>
            </w:r>
          </w:p>
        </w:tc>
        <w:tc>
          <w:tcPr>
            <w:tcW w:w="1582" w:type="dxa"/>
            <w:noWrap w:val="0"/>
            <w:vAlign w:val="center"/>
          </w:tcPr>
          <w:p w14:paraId="70ED8A00">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金额</w:t>
            </w:r>
          </w:p>
          <w:p w14:paraId="76B23415">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（万元）</w:t>
            </w:r>
          </w:p>
        </w:tc>
        <w:tc>
          <w:tcPr>
            <w:tcW w:w="1336" w:type="dxa"/>
            <w:noWrap w:val="0"/>
            <w:vAlign w:val="center"/>
          </w:tcPr>
          <w:p w14:paraId="2F8C45E0">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所占比例</w:t>
            </w:r>
          </w:p>
        </w:tc>
      </w:tr>
      <w:tr w14:paraId="4E8E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95" w:type="dxa"/>
            <w:noWrap w:val="0"/>
            <w:vAlign w:val="center"/>
          </w:tcPr>
          <w:p w14:paraId="2B7FA6AB">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1</w:t>
            </w:r>
          </w:p>
        </w:tc>
        <w:tc>
          <w:tcPr>
            <w:tcW w:w="2768" w:type="dxa"/>
            <w:noWrap w:val="0"/>
            <w:vAlign w:val="center"/>
          </w:tcPr>
          <w:p w14:paraId="29EC5693">
            <w:pPr>
              <w:spacing w:line="360" w:lineRule="auto"/>
              <w:rPr>
                <w:rFonts w:hAnsi="宋体" w:cs="宋体"/>
                <w:color w:val="auto"/>
                <w:spacing w:val="6"/>
                <w:sz w:val="24"/>
                <w:szCs w:val="24"/>
                <w:highlight w:val="none"/>
              </w:rPr>
            </w:pPr>
            <w:r>
              <w:rPr>
                <w:rFonts w:hint="eastAsia" w:hAnsi="宋体" w:cs="宋体"/>
                <w:color w:val="auto"/>
                <w:spacing w:val="6"/>
                <w:sz w:val="24"/>
                <w:szCs w:val="24"/>
                <w:highlight w:val="none"/>
              </w:rPr>
              <w:t>本企业制造的货物</w:t>
            </w:r>
          </w:p>
        </w:tc>
        <w:tc>
          <w:tcPr>
            <w:tcW w:w="1446" w:type="dxa"/>
            <w:noWrap w:val="0"/>
            <w:vAlign w:val="center"/>
          </w:tcPr>
          <w:p w14:paraId="666F55F1">
            <w:pPr>
              <w:spacing w:line="360" w:lineRule="auto"/>
              <w:jc w:val="center"/>
              <w:rPr>
                <w:rFonts w:hAnsi="宋体" w:cs="宋体"/>
                <w:color w:val="auto"/>
                <w:spacing w:val="6"/>
                <w:sz w:val="24"/>
                <w:szCs w:val="24"/>
                <w:highlight w:val="none"/>
              </w:rPr>
            </w:pPr>
          </w:p>
        </w:tc>
        <w:tc>
          <w:tcPr>
            <w:tcW w:w="1268" w:type="dxa"/>
            <w:noWrap w:val="0"/>
            <w:vAlign w:val="center"/>
          </w:tcPr>
          <w:p w14:paraId="0DDD1BAE">
            <w:pPr>
              <w:spacing w:line="360" w:lineRule="auto"/>
              <w:jc w:val="center"/>
              <w:rPr>
                <w:rFonts w:hAnsi="宋体" w:cs="宋体"/>
                <w:color w:val="auto"/>
                <w:spacing w:val="6"/>
                <w:sz w:val="24"/>
                <w:szCs w:val="24"/>
                <w:highlight w:val="none"/>
              </w:rPr>
            </w:pPr>
          </w:p>
        </w:tc>
        <w:tc>
          <w:tcPr>
            <w:tcW w:w="1582" w:type="dxa"/>
            <w:noWrap w:val="0"/>
            <w:vAlign w:val="center"/>
          </w:tcPr>
          <w:p w14:paraId="3353F1E0">
            <w:pPr>
              <w:spacing w:line="360" w:lineRule="auto"/>
              <w:jc w:val="center"/>
              <w:rPr>
                <w:rFonts w:hAnsi="宋体" w:cs="宋体"/>
                <w:color w:val="auto"/>
                <w:spacing w:val="6"/>
                <w:sz w:val="24"/>
                <w:szCs w:val="24"/>
                <w:highlight w:val="none"/>
              </w:rPr>
            </w:pPr>
          </w:p>
        </w:tc>
        <w:tc>
          <w:tcPr>
            <w:tcW w:w="1336" w:type="dxa"/>
            <w:noWrap w:val="0"/>
            <w:vAlign w:val="center"/>
          </w:tcPr>
          <w:p w14:paraId="3537EAB3">
            <w:pPr>
              <w:spacing w:line="360" w:lineRule="auto"/>
              <w:jc w:val="center"/>
              <w:rPr>
                <w:rFonts w:hAnsi="宋体" w:cs="宋体"/>
                <w:color w:val="auto"/>
                <w:spacing w:val="6"/>
                <w:sz w:val="24"/>
                <w:szCs w:val="24"/>
                <w:highlight w:val="none"/>
              </w:rPr>
            </w:pPr>
          </w:p>
        </w:tc>
      </w:tr>
      <w:tr w14:paraId="2C0F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95" w:type="dxa"/>
            <w:noWrap w:val="0"/>
            <w:vAlign w:val="center"/>
          </w:tcPr>
          <w:p w14:paraId="2BB6EB95">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2</w:t>
            </w:r>
          </w:p>
        </w:tc>
        <w:tc>
          <w:tcPr>
            <w:tcW w:w="2768" w:type="dxa"/>
            <w:noWrap w:val="0"/>
            <w:vAlign w:val="center"/>
          </w:tcPr>
          <w:p w14:paraId="383B57F7">
            <w:pPr>
              <w:spacing w:line="360" w:lineRule="auto"/>
              <w:rPr>
                <w:rFonts w:hAnsi="宋体" w:cs="宋体"/>
                <w:color w:val="auto"/>
                <w:spacing w:val="6"/>
                <w:sz w:val="24"/>
                <w:szCs w:val="24"/>
                <w:highlight w:val="none"/>
              </w:rPr>
            </w:pPr>
            <w:r>
              <w:rPr>
                <w:rFonts w:hint="eastAsia" w:hAnsi="宋体" w:cs="宋体"/>
                <w:color w:val="auto"/>
                <w:spacing w:val="6"/>
                <w:sz w:val="24"/>
                <w:szCs w:val="24"/>
                <w:highlight w:val="none"/>
              </w:rPr>
              <w:t>其他残疾人福利性单位制造的货物</w:t>
            </w:r>
          </w:p>
        </w:tc>
        <w:tc>
          <w:tcPr>
            <w:tcW w:w="1446" w:type="dxa"/>
            <w:noWrap w:val="0"/>
            <w:vAlign w:val="center"/>
          </w:tcPr>
          <w:p w14:paraId="0599E408">
            <w:pPr>
              <w:spacing w:line="360" w:lineRule="auto"/>
              <w:jc w:val="center"/>
              <w:rPr>
                <w:rFonts w:hAnsi="宋体" w:cs="宋体"/>
                <w:color w:val="auto"/>
                <w:spacing w:val="6"/>
                <w:sz w:val="24"/>
                <w:szCs w:val="24"/>
                <w:highlight w:val="none"/>
              </w:rPr>
            </w:pPr>
          </w:p>
        </w:tc>
        <w:tc>
          <w:tcPr>
            <w:tcW w:w="1268" w:type="dxa"/>
            <w:noWrap w:val="0"/>
            <w:vAlign w:val="center"/>
          </w:tcPr>
          <w:p w14:paraId="377563ED">
            <w:pPr>
              <w:spacing w:line="360" w:lineRule="auto"/>
              <w:jc w:val="center"/>
              <w:rPr>
                <w:rFonts w:hAnsi="宋体" w:cs="宋体"/>
                <w:color w:val="auto"/>
                <w:spacing w:val="6"/>
                <w:sz w:val="24"/>
                <w:szCs w:val="24"/>
                <w:highlight w:val="none"/>
              </w:rPr>
            </w:pPr>
          </w:p>
        </w:tc>
        <w:tc>
          <w:tcPr>
            <w:tcW w:w="1582" w:type="dxa"/>
            <w:noWrap w:val="0"/>
            <w:vAlign w:val="center"/>
          </w:tcPr>
          <w:p w14:paraId="247C39D1">
            <w:pPr>
              <w:spacing w:line="360" w:lineRule="auto"/>
              <w:jc w:val="center"/>
              <w:rPr>
                <w:rFonts w:hAnsi="宋体" w:cs="宋体"/>
                <w:color w:val="auto"/>
                <w:spacing w:val="6"/>
                <w:sz w:val="24"/>
                <w:szCs w:val="24"/>
                <w:highlight w:val="none"/>
              </w:rPr>
            </w:pPr>
          </w:p>
        </w:tc>
        <w:tc>
          <w:tcPr>
            <w:tcW w:w="1336" w:type="dxa"/>
            <w:noWrap w:val="0"/>
            <w:vAlign w:val="center"/>
          </w:tcPr>
          <w:p w14:paraId="649F07C2">
            <w:pPr>
              <w:spacing w:line="360" w:lineRule="auto"/>
              <w:jc w:val="center"/>
              <w:rPr>
                <w:rFonts w:hAnsi="宋体" w:cs="宋体"/>
                <w:color w:val="auto"/>
                <w:spacing w:val="6"/>
                <w:sz w:val="24"/>
                <w:szCs w:val="24"/>
                <w:highlight w:val="none"/>
              </w:rPr>
            </w:pPr>
          </w:p>
        </w:tc>
      </w:tr>
    </w:tbl>
    <w:p w14:paraId="1487355C">
      <w:pPr>
        <w:rPr>
          <w:rFonts w:hAnsi="宋体" w:cs="宋体"/>
          <w:color w:val="auto"/>
          <w:sz w:val="24"/>
          <w:szCs w:val="24"/>
          <w:highlight w:val="none"/>
        </w:rPr>
      </w:pPr>
    </w:p>
    <w:p w14:paraId="264C4DF3">
      <w:pPr>
        <w:tabs>
          <w:tab w:val="left" w:pos="4860"/>
        </w:tabs>
        <w:spacing w:line="360" w:lineRule="auto"/>
        <w:ind w:right="1560"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注：1、本声明函对残疾人福利性单位参与政府采购活动时适用。</w:t>
      </w:r>
    </w:p>
    <w:p w14:paraId="4DAA2B2A">
      <w:pPr>
        <w:tabs>
          <w:tab w:val="left" w:pos="4860"/>
        </w:tabs>
        <w:spacing w:line="360" w:lineRule="auto"/>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2、如提供其他残疾人福利性单位的货物须按此格式附其他中小企业的《中小企业声明函》</w:t>
      </w:r>
    </w:p>
    <w:p w14:paraId="370E0DB3">
      <w:pPr>
        <w:tabs>
          <w:tab w:val="left" w:pos="4860"/>
        </w:tabs>
        <w:spacing w:line="588" w:lineRule="exact"/>
        <w:ind w:right="1560"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 xml:space="preserve">                                单位名称（盖章）：</w:t>
      </w:r>
    </w:p>
    <w:p w14:paraId="6FAA1139">
      <w:pPr>
        <w:tabs>
          <w:tab w:val="left" w:pos="4860"/>
        </w:tabs>
        <w:spacing w:line="588" w:lineRule="exact"/>
        <w:ind w:right="1560"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 xml:space="preserve">                         日  期：</w:t>
      </w:r>
      <w:bookmarkStart w:id="16" w:name="_Toc25937966"/>
      <w:bookmarkStart w:id="17" w:name="_Toc65073735"/>
    </w:p>
    <w:p w14:paraId="730DE7BF">
      <w:pPr>
        <w:pStyle w:val="11"/>
        <w:rPr>
          <w:color w:val="auto"/>
          <w:highlight w:val="none"/>
        </w:rPr>
      </w:pPr>
    </w:p>
    <w:p w14:paraId="45D38913">
      <w:pPr>
        <w:pStyle w:val="3"/>
        <w:spacing w:before="0" w:after="0" w:line="415" w:lineRule="auto"/>
        <w:jc w:val="center"/>
        <w:rPr>
          <w:rFonts w:ascii="宋体" w:hAnsi="宋体" w:cs="宋体"/>
          <w:color w:val="auto"/>
          <w:sz w:val="28"/>
          <w:szCs w:val="28"/>
          <w:highlight w:val="none"/>
        </w:rPr>
      </w:pPr>
      <w:r>
        <w:rPr>
          <w:rFonts w:hint="eastAsia" w:cs="宋体"/>
          <w:color w:val="auto"/>
          <w:sz w:val="28"/>
          <w:szCs w:val="28"/>
          <w:highlight w:val="none"/>
          <w:lang w:eastAsia="zh-CN"/>
        </w:rPr>
        <w:t>（</w:t>
      </w:r>
      <w:r>
        <w:rPr>
          <w:rFonts w:hint="eastAsia" w:cs="宋体"/>
          <w:color w:val="auto"/>
          <w:sz w:val="28"/>
          <w:szCs w:val="28"/>
          <w:highlight w:val="none"/>
          <w:lang w:val="en-US" w:eastAsia="zh-CN"/>
        </w:rPr>
        <w:t>7</w:t>
      </w:r>
      <w:r>
        <w:rPr>
          <w:rFonts w:hint="eastAsia" w:cs="宋体"/>
          <w:color w:val="auto"/>
          <w:sz w:val="28"/>
          <w:szCs w:val="28"/>
          <w:highlight w:val="none"/>
          <w:lang w:eastAsia="zh-CN"/>
        </w:rPr>
        <w:t>）</w:t>
      </w:r>
      <w:r>
        <w:rPr>
          <w:rFonts w:hint="eastAsia" w:ascii="宋体" w:hAnsi="宋体" w:cs="宋体"/>
          <w:color w:val="auto"/>
          <w:sz w:val="28"/>
          <w:szCs w:val="28"/>
          <w:highlight w:val="none"/>
        </w:rPr>
        <w:t>监狱企业证明文件（若有）</w:t>
      </w:r>
      <w:bookmarkEnd w:id="16"/>
      <w:bookmarkEnd w:id="17"/>
    </w:p>
    <w:p w14:paraId="330D6D92">
      <w:pPr>
        <w:snapToGrid w:val="0"/>
        <w:spacing w:line="360" w:lineRule="auto"/>
        <w:ind w:firstLine="504" w:firstLineChars="200"/>
        <w:rPr>
          <w:rFonts w:hAnsi="宋体" w:cs="宋体"/>
          <w:color w:val="auto"/>
          <w:sz w:val="24"/>
          <w:szCs w:val="24"/>
          <w:highlight w:val="none"/>
        </w:rPr>
      </w:pPr>
      <w:r>
        <w:rPr>
          <w:rFonts w:hint="eastAsia" w:hAnsi="宋体" w:cs="宋体"/>
          <w:color w:val="auto"/>
          <w:spacing w:val="6"/>
          <w:sz w:val="24"/>
          <w:szCs w:val="24"/>
          <w:highlight w:val="none"/>
        </w:rPr>
        <w:t xml:space="preserve"> 说明：根据</w:t>
      </w:r>
      <w:r>
        <w:rPr>
          <w:rFonts w:hint="eastAsia" w:hAnsi="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779E2FFD">
      <w:pPr>
        <w:rPr>
          <w:rFonts w:hint="eastAsia"/>
          <w:color w:val="auto"/>
          <w:highlight w:val="none"/>
          <w:lang w:val="en-US" w:eastAsia="zh-CN"/>
        </w:rPr>
      </w:pPr>
    </w:p>
    <w:p w14:paraId="1D59D9A0">
      <w:pPr>
        <w:pStyle w:val="8"/>
        <w:ind w:left="400" w:leftChars="0" w:hanging="400" w:hangingChars="200"/>
        <w:rPr>
          <w:rFonts w:hint="default"/>
          <w:color w:val="auto"/>
          <w:highlight w:val="none"/>
          <w:lang w:val="en-US" w:eastAsia="zh-CN"/>
        </w:rPr>
      </w:pPr>
    </w:p>
    <w:p w14:paraId="5B913BEB">
      <w:pPr>
        <w:rPr>
          <w:color w:val="auto"/>
          <w:highlight w:val="none"/>
        </w:rPr>
      </w:pPr>
    </w:p>
    <w:p w14:paraId="7C7D016B">
      <w:pPr>
        <w:rPr>
          <w:color w:val="auto"/>
          <w:highlight w:val="none"/>
        </w:rPr>
      </w:pPr>
    </w:p>
    <w:p w14:paraId="01233E39">
      <w:pPr>
        <w:rPr>
          <w:color w:val="auto"/>
          <w:highlight w:val="none"/>
        </w:rPr>
      </w:pPr>
    </w:p>
    <w:p w14:paraId="3B78F897">
      <w:pPr>
        <w:rPr>
          <w:color w:val="auto"/>
          <w:highlight w:val="none"/>
        </w:rPr>
      </w:pPr>
    </w:p>
    <w:p w14:paraId="2F5B6308">
      <w:pPr>
        <w:pStyle w:val="16"/>
        <w:rPr>
          <w:color w:val="auto"/>
          <w:highlight w:val="none"/>
        </w:rPr>
      </w:pPr>
    </w:p>
    <w:p w14:paraId="78F6E14B">
      <w:pPr>
        <w:pStyle w:val="8"/>
        <w:ind w:left="0" w:leftChars="0" w:firstLine="0" w:firstLineChars="0"/>
        <w:rPr>
          <w:color w:val="auto"/>
          <w:highlight w:val="none"/>
        </w:rPr>
      </w:pPr>
    </w:p>
    <w:p w14:paraId="6FFEFF43">
      <w:pPr>
        <w:pStyle w:val="8"/>
        <w:ind w:left="0" w:leftChars="0" w:firstLine="0" w:firstLineChars="0"/>
        <w:rPr>
          <w:color w:val="auto"/>
          <w:highlight w:val="none"/>
        </w:rPr>
      </w:pPr>
    </w:p>
    <w:p w14:paraId="0330F1E4">
      <w:pPr>
        <w:rPr>
          <w:color w:val="auto"/>
        </w:rPr>
      </w:pPr>
    </w:p>
    <w:p w14:paraId="482DA850">
      <w:pPr>
        <w:rPr>
          <w:color w:val="auto"/>
        </w:rPr>
      </w:pPr>
    </w:p>
    <w:p w14:paraId="0AB7E36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19" w:type="default"/>
          <w:pgSz w:w="11907" w:h="16840"/>
          <w:pgMar w:top="1531" w:right="1531" w:bottom="1531" w:left="1531" w:header="0" w:footer="1041" w:gutter="0"/>
          <w:pgNumType w:fmt="decimal"/>
          <w:cols w:space="720" w:num="1"/>
        </w:sectPr>
      </w:pPr>
    </w:p>
    <w:p w14:paraId="1685C5B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四、供应商概况</w:t>
      </w:r>
    </w:p>
    <w:p w14:paraId="6F127375">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（1）供应商基本情况表</w:t>
      </w:r>
    </w:p>
    <w:tbl>
      <w:tblPr>
        <w:tblStyle w:val="20"/>
        <w:tblW w:w="926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5"/>
        <w:gridCol w:w="1190"/>
        <w:gridCol w:w="1781"/>
        <w:gridCol w:w="1402"/>
        <w:gridCol w:w="2069"/>
        <w:gridCol w:w="1056"/>
      </w:tblGrid>
      <w:tr w14:paraId="11BB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9263" w:type="dxa"/>
            <w:gridSpan w:val="6"/>
            <w:tcBorders>
              <w:top w:val="single" w:color="000000" w:sz="10" w:space="0"/>
              <w:left w:val="single" w:color="000000" w:sz="10" w:space="0"/>
              <w:right w:val="single" w:color="000000" w:sz="10" w:space="0"/>
            </w:tcBorders>
            <w:shd w:val="clear" w:color="auto" w:fill="E5B8B7"/>
            <w:vAlign w:val="top"/>
          </w:tcPr>
          <w:p w14:paraId="33EEC42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单位基本情况</w:t>
            </w:r>
          </w:p>
        </w:tc>
      </w:tr>
      <w:tr w14:paraId="3FE98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65" w:type="dxa"/>
            <w:tcBorders>
              <w:left w:val="single" w:color="000000" w:sz="10" w:space="0"/>
            </w:tcBorders>
            <w:vAlign w:val="top"/>
          </w:tcPr>
          <w:p w14:paraId="520DDA2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投标单位全称</w:t>
            </w:r>
          </w:p>
        </w:tc>
        <w:tc>
          <w:tcPr>
            <w:tcW w:w="7498" w:type="dxa"/>
            <w:gridSpan w:val="5"/>
            <w:tcBorders>
              <w:right w:val="single" w:color="000000" w:sz="10" w:space="0"/>
            </w:tcBorders>
            <w:vAlign w:val="top"/>
          </w:tcPr>
          <w:p w14:paraId="1869F06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B73E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65" w:type="dxa"/>
            <w:tcBorders>
              <w:left w:val="single" w:color="000000" w:sz="10" w:space="0"/>
            </w:tcBorders>
            <w:vAlign w:val="top"/>
          </w:tcPr>
          <w:p w14:paraId="001110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注册地址</w:t>
            </w:r>
          </w:p>
        </w:tc>
        <w:tc>
          <w:tcPr>
            <w:tcW w:w="2971" w:type="dxa"/>
            <w:gridSpan w:val="2"/>
            <w:vAlign w:val="top"/>
          </w:tcPr>
          <w:p w14:paraId="3248011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02" w:type="dxa"/>
            <w:vAlign w:val="top"/>
          </w:tcPr>
          <w:p w14:paraId="37EE7D5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25" w:type="dxa"/>
            <w:gridSpan w:val="2"/>
            <w:tcBorders>
              <w:right w:val="single" w:color="000000" w:sz="10" w:space="0"/>
            </w:tcBorders>
            <w:vAlign w:val="top"/>
          </w:tcPr>
          <w:p w14:paraId="1743B2C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0256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65" w:type="dxa"/>
            <w:tcBorders>
              <w:left w:val="single" w:color="000000" w:sz="10" w:space="0"/>
            </w:tcBorders>
            <w:vAlign w:val="top"/>
          </w:tcPr>
          <w:p w14:paraId="41D69E0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登记证号</w:t>
            </w:r>
          </w:p>
        </w:tc>
        <w:tc>
          <w:tcPr>
            <w:tcW w:w="2971" w:type="dxa"/>
            <w:gridSpan w:val="2"/>
            <w:vAlign w:val="top"/>
          </w:tcPr>
          <w:p w14:paraId="4F6CC18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02" w:type="dxa"/>
            <w:vAlign w:val="top"/>
          </w:tcPr>
          <w:p w14:paraId="7E6D8BD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单位性质</w:t>
            </w:r>
          </w:p>
        </w:tc>
        <w:tc>
          <w:tcPr>
            <w:tcW w:w="3125" w:type="dxa"/>
            <w:gridSpan w:val="2"/>
            <w:tcBorders>
              <w:right w:val="single" w:color="000000" w:sz="10" w:space="0"/>
            </w:tcBorders>
            <w:vAlign w:val="top"/>
          </w:tcPr>
          <w:p w14:paraId="080C8A4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45B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1765" w:type="dxa"/>
            <w:tcBorders>
              <w:left w:val="single" w:color="000000" w:sz="10" w:space="0"/>
            </w:tcBorders>
            <w:vAlign w:val="top"/>
          </w:tcPr>
          <w:p w14:paraId="566261A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 (主要负责人)</w:t>
            </w:r>
          </w:p>
        </w:tc>
        <w:tc>
          <w:tcPr>
            <w:tcW w:w="2971" w:type="dxa"/>
            <w:gridSpan w:val="2"/>
            <w:vAlign w:val="top"/>
          </w:tcPr>
          <w:p w14:paraId="4611697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02" w:type="dxa"/>
            <w:vAlign w:val="top"/>
          </w:tcPr>
          <w:p w14:paraId="6A0A21D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所属行业</w:t>
            </w:r>
          </w:p>
        </w:tc>
        <w:tc>
          <w:tcPr>
            <w:tcW w:w="3125" w:type="dxa"/>
            <w:gridSpan w:val="2"/>
            <w:tcBorders>
              <w:right w:val="single" w:color="000000" w:sz="10" w:space="0"/>
            </w:tcBorders>
            <w:vAlign w:val="top"/>
          </w:tcPr>
          <w:p w14:paraId="2468972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92DB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 w:hRule="atLeast"/>
        </w:trPr>
        <w:tc>
          <w:tcPr>
            <w:tcW w:w="1765" w:type="dxa"/>
            <w:tcBorders>
              <w:left w:val="single" w:color="000000" w:sz="10" w:space="0"/>
            </w:tcBorders>
            <w:vAlign w:val="top"/>
          </w:tcPr>
          <w:p w14:paraId="3543867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上年度营业收入</w:t>
            </w:r>
          </w:p>
        </w:tc>
        <w:tc>
          <w:tcPr>
            <w:tcW w:w="2971" w:type="dxa"/>
            <w:gridSpan w:val="2"/>
            <w:vAlign w:val="top"/>
          </w:tcPr>
          <w:p w14:paraId="5D5F9AE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02" w:type="dxa"/>
            <w:vAlign w:val="top"/>
          </w:tcPr>
          <w:p w14:paraId="2335F7D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资产总额</w:t>
            </w:r>
          </w:p>
        </w:tc>
        <w:tc>
          <w:tcPr>
            <w:tcW w:w="3125" w:type="dxa"/>
            <w:gridSpan w:val="2"/>
            <w:tcBorders>
              <w:right w:val="single" w:color="000000" w:sz="10" w:space="0"/>
            </w:tcBorders>
            <w:vAlign w:val="top"/>
          </w:tcPr>
          <w:p w14:paraId="104EB8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BB1A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1765" w:type="dxa"/>
            <w:tcBorders>
              <w:left w:val="single" w:color="000000" w:sz="10" w:space="0"/>
            </w:tcBorders>
            <w:vAlign w:val="top"/>
          </w:tcPr>
          <w:p w14:paraId="47CECB0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基本存款账户开户银行</w:t>
            </w:r>
          </w:p>
        </w:tc>
        <w:tc>
          <w:tcPr>
            <w:tcW w:w="2971" w:type="dxa"/>
            <w:gridSpan w:val="2"/>
            <w:vAlign w:val="top"/>
          </w:tcPr>
          <w:p w14:paraId="5F0790F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02" w:type="dxa"/>
            <w:vAlign w:val="top"/>
          </w:tcPr>
          <w:p w14:paraId="7BF913C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基本存款</w:t>
            </w:r>
          </w:p>
          <w:p w14:paraId="3C36946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账户账号</w:t>
            </w:r>
          </w:p>
        </w:tc>
        <w:tc>
          <w:tcPr>
            <w:tcW w:w="3125" w:type="dxa"/>
            <w:gridSpan w:val="2"/>
            <w:tcBorders>
              <w:right w:val="single" w:color="000000" w:sz="10" w:space="0"/>
            </w:tcBorders>
            <w:vAlign w:val="top"/>
          </w:tcPr>
          <w:p w14:paraId="52DF337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4D8F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 w:hRule="atLeast"/>
        </w:trPr>
        <w:tc>
          <w:tcPr>
            <w:tcW w:w="1765" w:type="dxa"/>
            <w:tcBorders>
              <w:left w:val="single" w:color="000000" w:sz="10" w:space="0"/>
            </w:tcBorders>
            <w:vAlign w:val="top"/>
          </w:tcPr>
          <w:p w14:paraId="5078396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所获得资质及等级(国家行政部门颁发)</w:t>
            </w:r>
          </w:p>
        </w:tc>
        <w:tc>
          <w:tcPr>
            <w:tcW w:w="7498" w:type="dxa"/>
            <w:gridSpan w:val="5"/>
            <w:tcBorders>
              <w:right w:val="single" w:color="000000" w:sz="10" w:space="0"/>
            </w:tcBorders>
            <w:vAlign w:val="top"/>
          </w:tcPr>
          <w:p w14:paraId="2AF6C8A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E58E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65" w:type="dxa"/>
            <w:tcBorders>
              <w:left w:val="single" w:color="000000" w:sz="10" w:space="0"/>
            </w:tcBorders>
            <w:vAlign w:val="top"/>
          </w:tcPr>
          <w:p w14:paraId="38CC546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7498" w:type="dxa"/>
            <w:gridSpan w:val="5"/>
            <w:tcBorders>
              <w:right w:val="single" w:color="000000" w:sz="10" w:space="0"/>
            </w:tcBorders>
            <w:vAlign w:val="top"/>
          </w:tcPr>
          <w:p w14:paraId="5A4A2FF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5E10F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263" w:type="dxa"/>
            <w:gridSpan w:val="6"/>
            <w:tcBorders>
              <w:left w:val="single" w:color="000000" w:sz="10" w:space="0"/>
              <w:right w:val="single" w:color="000000" w:sz="10" w:space="0"/>
            </w:tcBorders>
            <w:shd w:val="clear" w:color="auto" w:fill="E5B8B7"/>
            <w:vAlign w:val="top"/>
          </w:tcPr>
          <w:p w14:paraId="6D0AE9C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人员情况</w:t>
            </w:r>
          </w:p>
        </w:tc>
      </w:tr>
      <w:tr w14:paraId="65FA2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 w:hRule="atLeast"/>
        </w:trPr>
        <w:tc>
          <w:tcPr>
            <w:tcW w:w="1765" w:type="dxa"/>
            <w:tcBorders>
              <w:left w:val="single" w:color="000000" w:sz="10" w:space="0"/>
            </w:tcBorders>
            <w:vAlign w:val="top"/>
          </w:tcPr>
          <w:p w14:paraId="26C5901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从业人员总数</w:t>
            </w:r>
          </w:p>
        </w:tc>
        <w:tc>
          <w:tcPr>
            <w:tcW w:w="1190" w:type="dxa"/>
            <w:vAlign w:val="top"/>
          </w:tcPr>
          <w:p w14:paraId="78C1039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781" w:type="dxa"/>
            <w:vAlign w:val="top"/>
          </w:tcPr>
          <w:p w14:paraId="745360A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管理人员数量</w:t>
            </w:r>
          </w:p>
        </w:tc>
        <w:tc>
          <w:tcPr>
            <w:tcW w:w="1402" w:type="dxa"/>
            <w:vAlign w:val="top"/>
          </w:tcPr>
          <w:p w14:paraId="007C6B6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069" w:type="dxa"/>
            <w:vAlign w:val="top"/>
          </w:tcPr>
          <w:p w14:paraId="65ADA80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专业技术人员数量</w:t>
            </w:r>
          </w:p>
        </w:tc>
        <w:tc>
          <w:tcPr>
            <w:tcW w:w="1056" w:type="dxa"/>
            <w:tcBorders>
              <w:right w:val="single" w:color="000000" w:sz="10" w:space="0"/>
            </w:tcBorders>
            <w:vAlign w:val="top"/>
          </w:tcPr>
          <w:p w14:paraId="5B99B25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4F77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9263" w:type="dxa"/>
            <w:gridSpan w:val="6"/>
            <w:tcBorders>
              <w:left w:val="single" w:color="000000" w:sz="10" w:space="0"/>
              <w:right w:val="single" w:color="000000" w:sz="10" w:space="0"/>
            </w:tcBorders>
            <w:shd w:val="clear" w:color="auto" w:fill="E5B8B7"/>
            <w:vAlign w:val="top"/>
          </w:tcPr>
          <w:p w14:paraId="2C43C5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存在直接控股、管理关系的相关供应商</w:t>
            </w:r>
          </w:p>
        </w:tc>
      </w:tr>
      <w:tr w14:paraId="303C9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765" w:type="dxa"/>
            <w:tcBorders>
              <w:left w:val="single" w:color="000000" w:sz="10" w:space="0"/>
            </w:tcBorders>
            <w:vAlign w:val="top"/>
          </w:tcPr>
          <w:p w14:paraId="29CBA1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关系</w:t>
            </w:r>
          </w:p>
        </w:tc>
        <w:tc>
          <w:tcPr>
            <w:tcW w:w="7498" w:type="dxa"/>
            <w:gridSpan w:val="5"/>
            <w:tcBorders>
              <w:right w:val="single" w:color="000000" w:sz="10" w:space="0"/>
            </w:tcBorders>
            <w:vAlign w:val="top"/>
          </w:tcPr>
          <w:p w14:paraId="3284434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r>
      <w:tr w14:paraId="0B4D8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765" w:type="dxa"/>
            <w:tcBorders>
              <w:left w:val="single" w:color="000000" w:sz="10" w:space="0"/>
            </w:tcBorders>
            <w:vAlign w:val="top"/>
          </w:tcPr>
          <w:p w14:paraId="3D0886C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498" w:type="dxa"/>
            <w:gridSpan w:val="5"/>
            <w:tcBorders>
              <w:right w:val="single" w:color="000000" w:sz="10" w:space="0"/>
            </w:tcBorders>
            <w:vAlign w:val="top"/>
          </w:tcPr>
          <w:p w14:paraId="3BAA48D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00E0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765" w:type="dxa"/>
            <w:tcBorders>
              <w:left w:val="single" w:color="000000" w:sz="10" w:space="0"/>
            </w:tcBorders>
            <w:vAlign w:val="top"/>
          </w:tcPr>
          <w:p w14:paraId="710D668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498" w:type="dxa"/>
            <w:gridSpan w:val="5"/>
            <w:tcBorders>
              <w:right w:val="single" w:color="000000" w:sz="10" w:space="0"/>
            </w:tcBorders>
            <w:vAlign w:val="top"/>
          </w:tcPr>
          <w:p w14:paraId="0BF9307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5A6D3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765" w:type="dxa"/>
            <w:tcBorders>
              <w:left w:val="single" w:color="000000" w:sz="10" w:space="0"/>
            </w:tcBorders>
            <w:vAlign w:val="top"/>
          </w:tcPr>
          <w:p w14:paraId="03A71F3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7498" w:type="dxa"/>
            <w:gridSpan w:val="5"/>
            <w:tcBorders>
              <w:right w:val="single" w:color="000000" w:sz="10" w:space="0"/>
            </w:tcBorders>
            <w:vAlign w:val="top"/>
          </w:tcPr>
          <w:p w14:paraId="4000CA6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3B3A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1765" w:type="dxa"/>
            <w:tcBorders>
              <w:left w:val="single" w:color="000000" w:sz="10" w:space="0"/>
              <w:bottom w:val="single" w:color="000000" w:sz="10" w:space="0"/>
            </w:tcBorders>
            <w:vAlign w:val="top"/>
          </w:tcPr>
          <w:p w14:paraId="53EF037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B91053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51F1EF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87839D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说明</w:t>
            </w:r>
          </w:p>
        </w:tc>
        <w:tc>
          <w:tcPr>
            <w:tcW w:w="7498" w:type="dxa"/>
            <w:gridSpan w:val="5"/>
            <w:tcBorders>
              <w:bottom w:val="single" w:color="000000" w:sz="10" w:space="0"/>
              <w:right w:val="single" w:color="000000" w:sz="10" w:space="0"/>
            </w:tcBorders>
            <w:vAlign w:val="top"/>
          </w:tcPr>
          <w:p w14:paraId="5BBFD92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1、登记证号指营业执照/事业单位法人证书/专业服务机构执业许可证/民办非企业单位登记证书中的登记号。</w:t>
            </w:r>
          </w:p>
          <w:p w14:paraId="12E9FCD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2、成立时间至提交响应文件截止时间不足一年的可不提供“上年度营业收入”。</w:t>
            </w:r>
          </w:p>
          <w:p w14:paraId="1F754D1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3、供应商应如实填写上述信息。</w:t>
            </w:r>
          </w:p>
        </w:tc>
      </w:tr>
    </w:tbl>
    <w:p w14:paraId="404FCCF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B239C0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0" w:type="default"/>
          <w:pgSz w:w="11907" w:h="16840"/>
          <w:pgMar w:top="1531" w:right="1531" w:bottom="1531" w:left="1531" w:header="0" w:footer="1041" w:gutter="0"/>
          <w:pgNumType w:fmt="decimal"/>
          <w:cols w:space="720" w:num="1"/>
        </w:sectPr>
      </w:pPr>
    </w:p>
    <w:p w14:paraId="3B38B25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五、供应商参加政府采购活动承诺书</w:t>
      </w:r>
    </w:p>
    <w:p w14:paraId="53BD26C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4AC6178">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为响应党中央、国务院关于治理政府采购领域商业贿赂行为的号召，我单位在此庄严承诺：</w:t>
      </w:r>
    </w:p>
    <w:p w14:paraId="3C309DC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1、在参与政府采购活动中遵纪守法、诚信经营、公平竞标。</w:t>
      </w:r>
    </w:p>
    <w:p w14:paraId="7BE9929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2、不向政府采购人、采购代理机构和政府采购评审专家进行任何形式的商业贿赂以谋取交易机会。</w:t>
      </w:r>
    </w:p>
    <w:p w14:paraId="559EA92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3、不向政府采购代理机构和采购人提供虚假资质文件或采用虚假应标方式参与政府采购市场竞争并谋取中标。</w:t>
      </w:r>
    </w:p>
    <w:p w14:paraId="2DE212C2">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4、不采取“ 围标、陪标 ”等商业欺诈手段获得政府采购定单。</w:t>
      </w:r>
    </w:p>
    <w:p w14:paraId="0C10373C">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5、不采取不正当手段低毁、排挤其他供应商。</w:t>
      </w:r>
    </w:p>
    <w:p w14:paraId="5191242B">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6、不在提供商品和服务时“偷梁换柱、以次充好 ”损害采购人的合法权益。</w:t>
      </w:r>
    </w:p>
    <w:p w14:paraId="26D6C95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7、不与采购人、采购代理机构政府采购评审专家或其它供应商恶意串通，进行质疑和投诉，维护政府采购市场秩序。</w:t>
      </w:r>
    </w:p>
    <w:p w14:paraId="6B5F684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8、尊重和接受政府采购监督管理部门的监督和政府采购代理机构招标采购要求，承担因违约行为给采购人造成的损失。</w:t>
      </w:r>
    </w:p>
    <w:p w14:paraId="435B3093">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9、不发生其他有悖于政府采购公开、公平、公正和诚信原则的行为。</w:t>
      </w:r>
    </w:p>
    <w:p w14:paraId="1BBFD1C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2F4AD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承诺单位：                                  （盖章）</w:t>
      </w:r>
    </w:p>
    <w:p w14:paraId="19D58A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全权代表：                                  （签字）</w:t>
      </w:r>
    </w:p>
    <w:p w14:paraId="60942CA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地    址 ：                                  </w:t>
      </w:r>
    </w:p>
    <w:p w14:paraId="633A2DC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邮    编：                                  </w:t>
      </w:r>
    </w:p>
    <w:p w14:paraId="35D4DD2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电    话：                                  </w:t>
      </w:r>
    </w:p>
    <w:p w14:paraId="1016EB4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7A916E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日  期：   年  月    日</w:t>
      </w:r>
    </w:p>
    <w:p w14:paraId="22BB356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1" w:type="default"/>
          <w:pgSz w:w="11907" w:h="16840"/>
          <w:pgMar w:top="1531" w:right="1531" w:bottom="1531" w:left="1531" w:header="0" w:footer="1041" w:gutter="0"/>
          <w:pgNumType w:fmt="decimal"/>
          <w:cols w:space="720" w:num="1"/>
        </w:sectPr>
      </w:pPr>
    </w:p>
    <w:p w14:paraId="5691DB6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六、商务响应偏离表</w:t>
      </w:r>
    </w:p>
    <w:p w14:paraId="0BC29A0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8938FF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94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3006"/>
        <w:gridCol w:w="3236"/>
        <w:gridCol w:w="2345"/>
      </w:tblGrid>
      <w:tr w14:paraId="1AD85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84" w:type="dxa"/>
            <w:vAlign w:val="top"/>
          </w:tcPr>
          <w:p w14:paraId="7670E99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3006" w:type="dxa"/>
            <w:vAlign w:val="top"/>
          </w:tcPr>
          <w:p w14:paraId="6DE199F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招标文件要求</w:t>
            </w:r>
          </w:p>
        </w:tc>
        <w:tc>
          <w:tcPr>
            <w:tcW w:w="3236" w:type="dxa"/>
            <w:vAlign w:val="top"/>
          </w:tcPr>
          <w:p w14:paraId="76BB263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投标文件响应</w:t>
            </w:r>
          </w:p>
        </w:tc>
        <w:tc>
          <w:tcPr>
            <w:tcW w:w="2345" w:type="dxa"/>
            <w:vAlign w:val="top"/>
          </w:tcPr>
          <w:p w14:paraId="543B289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偏离度</w:t>
            </w:r>
          </w:p>
        </w:tc>
      </w:tr>
      <w:tr w14:paraId="26F2E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7BF668C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007391F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29CA9D8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60ABFED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73926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404B17D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4E57048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4BC005D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7A32018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4F5A5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47BB30C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2BE4E34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543E70E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6FE5945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DBD7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4" w:type="dxa"/>
            <w:vAlign w:val="top"/>
          </w:tcPr>
          <w:p w14:paraId="1FC2A68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27F5ABE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7521555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15E5FFA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9704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6A6CC1A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0DD0DD9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3B2586D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2A323A0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8BD8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75D09C8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3FD2378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663047D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0F2623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487D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4" w:type="dxa"/>
            <w:vAlign w:val="top"/>
          </w:tcPr>
          <w:p w14:paraId="4D32B23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4447A1B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7657B56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0A2FCB1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A93F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2908528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54759AE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6B6F272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41E1A2B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8644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4" w:type="dxa"/>
            <w:vAlign w:val="top"/>
          </w:tcPr>
          <w:p w14:paraId="0F21B02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39EB620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0BDA8BB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1BA72E0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33D9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4" w:type="dxa"/>
            <w:vAlign w:val="top"/>
          </w:tcPr>
          <w:p w14:paraId="61D330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7CCD0C6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586D91A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127DD5F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4D08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884" w:type="dxa"/>
            <w:vAlign w:val="top"/>
          </w:tcPr>
          <w:p w14:paraId="666D4BA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006" w:type="dxa"/>
            <w:vAlign w:val="top"/>
          </w:tcPr>
          <w:p w14:paraId="7145347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236" w:type="dxa"/>
            <w:vAlign w:val="top"/>
          </w:tcPr>
          <w:p w14:paraId="0A04B56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345" w:type="dxa"/>
            <w:vAlign w:val="top"/>
          </w:tcPr>
          <w:p w14:paraId="4ED53BC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0FF3CD9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8A3B4A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法定代表人或委托代理人：      （签字或盖章）    </w:t>
      </w:r>
    </w:p>
    <w:p w14:paraId="5C171C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28AA3D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投标单位名称：  （公章）                      </w:t>
      </w:r>
    </w:p>
    <w:p w14:paraId="72529AD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92176B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 ：                                 </w:t>
      </w:r>
    </w:p>
    <w:p w14:paraId="7043B95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D316F2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注：商务偏离表应按照招标文件“第四部分 商务要求 ” 中逐条响应，“偏离情况 ”应根据实际响应情况注明：正偏离或无偏离。商务偏离不得出现负偏离，否则按无效文件处理。</w:t>
      </w:r>
    </w:p>
    <w:p w14:paraId="4C53987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2" w:type="default"/>
          <w:pgSz w:w="11907" w:h="16840"/>
          <w:pgMar w:top="1531" w:right="1531" w:bottom="1531" w:left="1531" w:header="0" w:footer="1041" w:gutter="0"/>
          <w:pgNumType w:fmt="decimal"/>
          <w:cols w:space="720" w:num="1"/>
        </w:sectPr>
      </w:pPr>
    </w:p>
    <w:p w14:paraId="0A7E084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七、技术偏离表</w:t>
      </w:r>
    </w:p>
    <w:p w14:paraId="480827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9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2499"/>
        <w:gridCol w:w="3865"/>
        <w:gridCol w:w="1479"/>
        <w:gridCol w:w="1254"/>
      </w:tblGrid>
      <w:tr w14:paraId="75E6E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 w:hRule="atLeast"/>
        </w:trPr>
        <w:tc>
          <w:tcPr>
            <w:tcW w:w="727" w:type="dxa"/>
            <w:vAlign w:val="top"/>
          </w:tcPr>
          <w:p w14:paraId="4889CF6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DB51B7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2499" w:type="dxa"/>
            <w:vAlign w:val="top"/>
          </w:tcPr>
          <w:p w14:paraId="377CAA8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D464D2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招标文件技术需求</w:t>
            </w:r>
          </w:p>
        </w:tc>
        <w:tc>
          <w:tcPr>
            <w:tcW w:w="3865" w:type="dxa"/>
            <w:vAlign w:val="top"/>
          </w:tcPr>
          <w:p w14:paraId="45E674A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94A242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投标文件配置、规格及主要技术参数</w:t>
            </w:r>
          </w:p>
        </w:tc>
        <w:tc>
          <w:tcPr>
            <w:tcW w:w="1479" w:type="dxa"/>
            <w:vAlign w:val="top"/>
          </w:tcPr>
          <w:p w14:paraId="71022C4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BA943B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偏离情况</w:t>
            </w:r>
          </w:p>
        </w:tc>
        <w:tc>
          <w:tcPr>
            <w:tcW w:w="1254" w:type="dxa"/>
            <w:vAlign w:val="top"/>
          </w:tcPr>
          <w:p w14:paraId="6A1B85A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D39CBB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说 明</w:t>
            </w:r>
          </w:p>
        </w:tc>
      </w:tr>
      <w:tr w14:paraId="7AEAD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727" w:type="dxa"/>
            <w:vAlign w:val="top"/>
          </w:tcPr>
          <w:p w14:paraId="59622C0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7468A70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615AD1B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094EC8E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31A01F2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2DAAE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727" w:type="dxa"/>
            <w:vAlign w:val="top"/>
          </w:tcPr>
          <w:p w14:paraId="629755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7C2EACA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6179D0F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0CC6B3D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2B4BB88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19B4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2" w:hRule="atLeast"/>
        </w:trPr>
        <w:tc>
          <w:tcPr>
            <w:tcW w:w="727" w:type="dxa"/>
            <w:vAlign w:val="top"/>
          </w:tcPr>
          <w:p w14:paraId="5FC46E1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39D6098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0F5EED5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254BA1D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697513A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518B5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727" w:type="dxa"/>
            <w:vAlign w:val="top"/>
          </w:tcPr>
          <w:p w14:paraId="2AB6013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3E1DFB1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286756B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5E46451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648B67F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4AC41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727" w:type="dxa"/>
            <w:vAlign w:val="top"/>
          </w:tcPr>
          <w:p w14:paraId="156D149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74DCFF8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3F902A8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42E9A25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729159F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374E9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727" w:type="dxa"/>
            <w:vAlign w:val="top"/>
          </w:tcPr>
          <w:p w14:paraId="5AFC3DF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2499" w:type="dxa"/>
            <w:vAlign w:val="top"/>
          </w:tcPr>
          <w:p w14:paraId="328D435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3865" w:type="dxa"/>
            <w:vAlign w:val="top"/>
          </w:tcPr>
          <w:p w14:paraId="361E185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79" w:type="dxa"/>
            <w:vAlign w:val="top"/>
          </w:tcPr>
          <w:p w14:paraId="27AAFBB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254" w:type="dxa"/>
            <w:vAlign w:val="top"/>
          </w:tcPr>
          <w:p w14:paraId="24B0775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0841C37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w:t>
      </w:r>
    </w:p>
    <w:p w14:paraId="37980D2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1.偏离度：如优于招标文件要求，填写“正偏离 ”；如满足招标文件要求，填写“无偏离 ”；如不满足招标文件要求，填写“负偏离 ”。</w:t>
      </w:r>
    </w:p>
    <w:p w14:paraId="4EDE6D6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2.“响应文件响应条款 ”必须与响应文件中提供的证明材料的实质性响应情况相一致。</w:t>
      </w:r>
    </w:p>
    <w:p w14:paraId="352BD36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C2A4F7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A13454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供应商：（盖章）                        </w:t>
      </w:r>
    </w:p>
    <w:p w14:paraId="4C27D35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法定代表人或授权代理人签字：                    </w:t>
      </w:r>
    </w:p>
    <w:p w14:paraId="60F9C67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日期：   年   月   日</w:t>
      </w:r>
    </w:p>
    <w:p w14:paraId="73F305F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3" w:type="default"/>
          <w:pgSz w:w="11907" w:h="16840"/>
          <w:pgMar w:top="1531" w:right="1531" w:bottom="1531" w:left="1531" w:header="0" w:footer="1041" w:gutter="0"/>
          <w:pgNumType w:fmt="decimal"/>
          <w:cols w:space="720" w:num="1"/>
        </w:sectPr>
      </w:pPr>
    </w:p>
    <w:p w14:paraId="6D630E09">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八、响应方案</w:t>
      </w:r>
    </w:p>
    <w:p w14:paraId="0449A8B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2F57CD1">
      <w:pPr>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各投标人按照招标文件“第三章 采购内容及要求 ”及招标文件“第二章 投标人须知 ”中的“评分标准 ”编制对应的详细响应方案，评标时作为评审依据。（根据招标文件评分办法格式自拟）</w:t>
      </w:r>
    </w:p>
    <w:p w14:paraId="0539620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4" w:type="default"/>
          <w:pgSz w:w="11907" w:h="16840"/>
          <w:pgMar w:top="1531" w:right="1531" w:bottom="1531" w:left="1531" w:header="0" w:footer="1041" w:gutter="0"/>
          <w:pgNumType w:fmt="decimal"/>
          <w:cols w:space="720" w:num="1"/>
        </w:sectPr>
      </w:pPr>
    </w:p>
    <w:p w14:paraId="18679EA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九、业绩</w:t>
      </w:r>
    </w:p>
    <w:p w14:paraId="7C86240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bl>
      <w:tblPr>
        <w:tblStyle w:val="20"/>
        <w:tblW w:w="93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1836"/>
        <w:gridCol w:w="1682"/>
        <w:gridCol w:w="1481"/>
        <w:gridCol w:w="1596"/>
        <w:gridCol w:w="1674"/>
      </w:tblGrid>
      <w:tr w14:paraId="45EA1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1100" w:type="dxa"/>
            <w:vAlign w:val="top"/>
          </w:tcPr>
          <w:p w14:paraId="7C96633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9F2746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年份</w:t>
            </w:r>
          </w:p>
        </w:tc>
        <w:tc>
          <w:tcPr>
            <w:tcW w:w="1836" w:type="dxa"/>
            <w:vAlign w:val="top"/>
          </w:tcPr>
          <w:p w14:paraId="0E8483C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22B11A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用户名称</w:t>
            </w:r>
          </w:p>
        </w:tc>
        <w:tc>
          <w:tcPr>
            <w:tcW w:w="1682" w:type="dxa"/>
            <w:vAlign w:val="top"/>
          </w:tcPr>
          <w:p w14:paraId="0E0843A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2FFD0A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1481" w:type="dxa"/>
            <w:vAlign w:val="top"/>
          </w:tcPr>
          <w:p w14:paraId="718C43F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E0F3A3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完成时间</w:t>
            </w:r>
          </w:p>
        </w:tc>
        <w:tc>
          <w:tcPr>
            <w:tcW w:w="1596" w:type="dxa"/>
            <w:vAlign w:val="top"/>
          </w:tcPr>
          <w:p w14:paraId="538C40B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C286D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合同金额</w:t>
            </w:r>
          </w:p>
        </w:tc>
        <w:tc>
          <w:tcPr>
            <w:tcW w:w="1674" w:type="dxa"/>
            <w:vAlign w:val="top"/>
          </w:tcPr>
          <w:p w14:paraId="36B798C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3D4E30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5975F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100" w:type="dxa"/>
            <w:vAlign w:val="top"/>
          </w:tcPr>
          <w:p w14:paraId="484E40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1D480B1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7406363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1596376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0D14D41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0E43868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7DE0F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1100" w:type="dxa"/>
            <w:vAlign w:val="top"/>
          </w:tcPr>
          <w:p w14:paraId="0DF144D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41F9CEA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444FFBA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158CAFC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7126668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7DEF104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5F32B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100" w:type="dxa"/>
            <w:vAlign w:val="top"/>
          </w:tcPr>
          <w:p w14:paraId="23CB3E1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3836070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16E31B5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251EFC8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7591F59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3BA5DE8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09F7B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1100" w:type="dxa"/>
            <w:vAlign w:val="top"/>
          </w:tcPr>
          <w:p w14:paraId="42CC0E42">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6E3C04E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338A1C6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1EC2575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07B830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18E7C76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613EC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1100" w:type="dxa"/>
            <w:vAlign w:val="top"/>
          </w:tcPr>
          <w:p w14:paraId="24C1CA7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39A556F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145784D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595A425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53EB6EE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07FD539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A7A5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1100" w:type="dxa"/>
            <w:vAlign w:val="top"/>
          </w:tcPr>
          <w:p w14:paraId="1F88192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0BC4CEC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13E2A11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6638896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0A0D7A4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19B0FD2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1A033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1100" w:type="dxa"/>
            <w:vAlign w:val="top"/>
          </w:tcPr>
          <w:p w14:paraId="6945ED3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6BA59F8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67C2573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6126315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11F518E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70FB09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r w14:paraId="2AAC1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1100" w:type="dxa"/>
            <w:vAlign w:val="top"/>
          </w:tcPr>
          <w:p w14:paraId="2F5D603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836" w:type="dxa"/>
            <w:vAlign w:val="top"/>
          </w:tcPr>
          <w:p w14:paraId="340EA85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82" w:type="dxa"/>
            <w:vAlign w:val="top"/>
          </w:tcPr>
          <w:p w14:paraId="78CD51D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481" w:type="dxa"/>
            <w:vAlign w:val="top"/>
          </w:tcPr>
          <w:p w14:paraId="255E13FB">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596" w:type="dxa"/>
            <w:vAlign w:val="top"/>
          </w:tcPr>
          <w:p w14:paraId="149AA35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c>
          <w:tcPr>
            <w:tcW w:w="1674" w:type="dxa"/>
            <w:vAlign w:val="top"/>
          </w:tcPr>
          <w:p w14:paraId="1FAA54F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tc>
      </w:tr>
    </w:tbl>
    <w:p w14:paraId="116FB79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注：供应商（仅限于供应商自己实施的）提供2023年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月以来的同类项目业绩证明材料。表格后附合同复印件加盖公章</w:t>
      </w:r>
    </w:p>
    <w:p w14:paraId="6FA022B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5228B2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274C07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供应商名称（公章）:</w:t>
      </w:r>
    </w:p>
    <w:p w14:paraId="2E32B68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82CC88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法定代表人/被授权人（签字或盖章）：</w:t>
      </w:r>
    </w:p>
    <w:p w14:paraId="29D5F9C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E15810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日  期：   年  月    日</w:t>
      </w:r>
    </w:p>
    <w:p w14:paraId="2B887FC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5" w:type="default"/>
          <w:pgSz w:w="11907" w:h="16840"/>
          <w:pgMar w:top="1531" w:right="1531" w:bottom="1531" w:left="1531" w:header="0" w:footer="1041" w:gutter="0"/>
          <w:pgNumType w:fmt="decimal"/>
          <w:cols w:space="720" w:num="1"/>
        </w:sectPr>
      </w:pPr>
    </w:p>
    <w:p w14:paraId="32D349AC">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十、产品证明材料</w:t>
      </w:r>
    </w:p>
    <w:p w14:paraId="3D7E191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311441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C0A44AF">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54A415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9B4A54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32DA057">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E1C1C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B979EA1">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7ED355A">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ABBCEA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529EA58">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45BA02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8F9FCB4">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33676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E4F91F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83EAE10">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0FFADD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081007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9A2E166">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113820F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08DFABA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445099C">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77DABC4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32564B8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FEA7A4D">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6D02419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5B9AAB85">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43B62BF9">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pPr>
    </w:p>
    <w:p w14:paraId="29515DAE">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hint="eastAsia" w:ascii="仿宋" w:hAnsi="仿宋" w:eastAsia="仿宋" w:cs="仿宋"/>
          <w:color w:val="auto"/>
          <w:sz w:val="24"/>
          <w:szCs w:val="24"/>
        </w:rPr>
        <w:sectPr>
          <w:footerReference r:id="rId26" w:type="default"/>
          <w:pgSz w:w="11907" w:h="16840"/>
          <w:pgMar w:top="1531" w:right="1531" w:bottom="1531" w:left="1531" w:header="0" w:footer="1041" w:gutter="0"/>
          <w:pgNumType w:fmt="decimal"/>
          <w:cols w:space="720" w:num="1"/>
        </w:sectPr>
      </w:pPr>
    </w:p>
    <w:p w14:paraId="5BBE6F1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十一、供应商认为需要提供的其他文件</w:t>
      </w:r>
    </w:p>
    <w:sectPr>
      <w:footerReference r:id="rId27" w:type="default"/>
      <w:pgSz w:w="11907" w:h="16840"/>
      <w:pgMar w:top="1531" w:right="1531" w:bottom="1531" w:left="1531" w:header="0" w:footer="1041" w:gutter="0"/>
      <w:pgNumType w:fmt="decimal"/>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3D84076-27EB-470B-A4A0-9040C110105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embedRegular r:id="rId2" w:fontKey="{53A1B041-3BD9-467B-B4A1-CFF7F796CEE3}"/>
  </w:font>
  <w:font w:name="楷体_GB2312">
    <w:panose1 w:val="0201060903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0E212FA9-91B3-42FC-AB85-E72DA141F616}"/>
  </w:font>
  <w:font w:name="微软雅黑">
    <w:panose1 w:val="020B0503020204020204"/>
    <w:charset w:val="86"/>
    <w:family w:val="auto"/>
    <w:pitch w:val="default"/>
    <w:sig w:usb0="80000287" w:usb1="280F3C52" w:usb2="00000016" w:usb3="00000000" w:csb0="0004001F" w:csb1="00000000"/>
    <w:embedRegular r:id="rId4" w:fontKey="{A9F2A6A6-82FE-47C4-AFAC-CC779ED9518A}"/>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D402">
    <w:pPr>
      <w:pStyle w:val="12"/>
      <w:tabs>
        <w:tab w:val="left" w:pos="5438"/>
        <w:tab w:val="clear" w:pos="4153"/>
      </w:tabs>
      <w:rPr>
        <w:rFonts w:hint="eastAsia" w:eastAsia="宋体"/>
        <w:lang w:eastAsia="zh-CN"/>
      </w:rPr>
    </w:pPr>
    <w:r>
      <w:rPr>
        <w:rFonts w:hint="eastAsia" w:eastAsia="宋体"/>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EDD0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60F39">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0D031">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694D9">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7C7FF">
    <w:pPr>
      <w:pStyle w:val="1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3F803">
    <w:pPr>
      <w:pStyle w:val="1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BD336">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5324E">
    <w:pPr>
      <w:pStyle w:val="12"/>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40A92">
    <w:pPr>
      <w:pStyle w:val="11"/>
      <w:spacing w:line="269" w:lineRule="exact"/>
      <w:ind w:left="4063"/>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63</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97413">
    <w:pPr>
      <w:pStyle w:val="11"/>
      <w:spacing w:line="269" w:lineRule="exact"/>
      <w:ind w:left="4051"/>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64</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FC17F">
    <w:pPr>
      <w:pStyle w:val="11"/>
      <w:spacing w:line="269" w:lineRule="exact"/>
      <w:ind w:left="4028"/>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65</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786B">
    <w:pPr>
      <w:pStyle w:val="11"/>
      <w:spacing w:line="269" w:lineRule="exact"/>
      <w:ind w:left="4027"/>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66</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01A4B">
    <w:pPr>
      <w:pStyle w:val="11"/>
      <w:spacing w:line="269" w:lineRule="exact"/>
      <w:ind w:left="4027"/>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67</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8B439">
    <w:pPr>
      <w:pStyle w:val="11"/>
      <w:spacing w:line="269" w:lineRule="exact"/>
      <w:ind w:left="4160"/>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68</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7419C">
    <w:pPr>
      <w:pStyle w:val="11"/>
      <w:spacing w:line="269" w:lineRule="exact"/>
      <w:ind w:left="4028"/>
      <w:rPr>
        <w:rFonts w:ascii="宋体" w:hAnsi="宋体" w:eastAsia="宋体" w:cs="宋体"/>
        <w:sz w:val="18"/>
        <w:szCs w:val="18"/>
      </w:rPr>
    </w:pPr>
    <w:r>
      <w:rPr>
        <w:rFonts w:ascii="宋体" w:hAnsi="宋体" w:eastAsia="宋体" w:cs="宋体"/>
        <w:spacing w:val="-5"/>
        <w:position w:val="2"/>
        <w:sz w:val="18"/>
        <w:szCs w:val="18"/>
      </w:rPr>
      <w:t>第</w:t>
    </w:r>
    <w:r>
      <w:rPr>
        <w:rFonts w:ascii="宋体" w:hAnsi="宋体" w:eastAsia="宋体" w:cs="宋体"/>
        <w:spacing w:val="-33"/>
        <w:position w:val="2"/>
        <w:sz w:val="18"/>
        <w:szCs w:val="18"/>
      </w:rPr>
      <w:t xml:space="preserve"> </w:t>
    </w:r>
    <w:r>
      <w:rPr>
        <w:spacing w:val="-5"/>
        <w:position w:val="2"/>
        <w:sz w:val="18"/>
        <w:szCs w:val="18"/>
      </w:rPr>
      <w:t>69</w:t>
    </w:r>
    <w:r>
      <w:rPr>
        <w:spacing w:val="10"/>
        <w:position w:val="2"/>
        <w:sz w:val="18"/>
        <w:szCs w:val="18"/>
      </w:rPr>
      <w:t xml:space="preserve"> </w:t>
    </w:r>
    <w:r>
      <w:rPr>
        <w:rFonts w:ascii="宋体" w:hAnsi="宋体" w:eastAsia="宋体" w:cs="宋体"/>
        <w:spacing w:val="-5"/>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5"/>
        <w:position w:val="2"/>
        <w:sz w:val="18"/>
        <w:szCs w:val="18"/>
      </w:rPr>
      <w:t>共</w:t>
    </w:r>
    <w:r>
      <w:rPr>
        <w:rFonts w:ascii="宋体" w:hAnsi="宋体" w:eastAsia="宋体" w:cs="宋体"/>
        <w:spacing w:val="-31"/>
        <w:position w:val="2"/>
        <w:sz w:val="18"/>
        <w:szCs w:val="18"/>
      </w:rPr>
      <w:t xml:space="preserve"> </w:t>
    </w:r>
    <w:r>
      <w:rPr>
        <w:spacing w:val="-5"/>
        <w:position w:val="2"/>
        <w:sz w:val="18"/>
        <w:szCs w:val="18"/>
      </w:rPr>
      <w:t>75</w:t>
    </w:r>
    <w:r>
      <w:rPr>
        <w:spacing w:val="10"/>
        <w:position w:val="2"/>
        <w:sz w:val="18"/>
        <w:szCs w:val="18"/>
      </w:rPr>
      <w:t xml:space="preserve"> </w:t>
    </w:r>
    <w:r>
      <w:rPr>
        <w:rFonts w:ascii="宋体" w:hAnsi="宋体" w:eastAsia="宋体" w:cs="宋体"/>
        <w:spacing w:val="-5"/>
        <w:position w:val="2"/>
        <w:sz w:val="18"/>
        <w:szCs w:val="18"/>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03CE2">
    <w:pPr>
      <w:pStyle w:val="11"/>
      <w:spacing w:line="269" w:lineRule="exact"/>
      <w:ind w:left="4254"/>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5"/>
        <w:position w:val="2"/>
        <w:sz w:val="18"/>
        <w:szCs w:val="18"/>
      </w:rPr>
      <w:t xml:space="preserve"> </w:t>
    </w:r>
    <w:r>
      <w:rPr>
        <w:spacing w:val="-6"/>
        <w:position w:val="2"/>
        <w:sz w:val="18"/>
        <w:szCs w:val="18"/>
      </w:rPr>
      <w:t>70</w:t>
    </w:r>
    <w:r>
      <w:rPr>
        <w:spacing w:val="10"/>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31"/>
        <w:position w:val="2"/>
        <w:sz w:val="18"/>
        <w:szCs w:val="18"/>
      </w:rPr>
      <w:t xml:space="preserve"> </w:t>
    </w:r>
    <w:r>
      <w:rPr>
        <w:spacing w:val="-6"/>
        <w:position w:val="2"/>
        <w:sz w:val="18"/>
        <w:szCs w:val="18"/>
      </w:rPr>
      <w:t>75</w:t>
    </w:r>
    <w:r>
      <w:rPr>
        <w:spacing w:val="10"/>
        <w:position w:val="2"/>
        <w:sz w:val="18"/>
        <w:szCs w:val="18"/>
      </w:rPr>
      <w:t xml:space="preserve"> </w:t>
    </w:r>
    <w:r>
      <w:rPr>
        <w:rFonts w:ascii="宋体" w:hAnsi="宋体" w:eastAsia="宋体" w:cs="宋体"/>
        <w:spacing w:val="-6"/>
        <w:position w:val="2"/>
        <w:sz w:val="18"/>
        <w:szCs w:val="18"/>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F372F">
    <w:pPr>
      <w:pStyle w:val="11"/>
      <w:spacing w:line="269" w:lineRule="exact"/>
      <w:ind w:left="4447"/>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5"/>
        <w:position w:val="2"/>
        <w:sz w:val="18"/>
        <w:szCs w:val="18"/>
      </w:rPr>
      <w:t xml:space="preserve"> </w:t>
    </w:r>
    <w:r>
      <w:rPr>
        <w:spacing w:val="-6"/>
        <w:position w:val="2"/>
        <w:sz w:val="18"/>
        <w:szCs w:val="18"/>
      </w:rPr>
      <w:t>71</w:t>
    </w:r>
    <w:r>
      <w:rPr>
        <w:spacing w:val="10"/>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31"/>
        <w:position w:val="2"/>
        <w:sz w:val="18"/>
        <w:szCs w:val="18"/>
      </w:rPr>
      <w:t xml:space="preserve"> </w:t>
    </w:r>
    <w:r>
      <w:rPr>
        <w:spacing w:val="-6"/>
        <w:position w:val="2"/>
        <w:sz w:val="18"/>
        <w:szCs w:val="18"/>
      </w:rPr>
      <w:t>75</w:t>
    </w:r>
    <w:r>
      <w:rPr>
        <w:spacing w:val="10"/>
        <w:position w:val="2"/>
        <w:sz w:val="18"/>
        <w:szCs w:val="18"/>
      </w:rPr>
      <w:t xml:space="preserve"> </w:t>
    </w:r>
    <w:r>
      <w:rPr>
        <w:rFonts w:ascii="宋体" w:hAnsi="宋体" w:eastAsia="宋体" w:cs="宋体"/>
        <w:spacing w:val="-6"/>
        <w:position w:val="2"/>
        <w:sz w:val="18"/>
        <w:szCs w:val="18"/>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6E6A5">
    <w:pPr>
      <w:pStyle w:val="12"/>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BB5AE">
    <w:pPr>
      <w:pStyle w:val="12"/>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17730">
    <w:pPr>
      <w:pStyle w:val="12"/>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6E41">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CF4A0">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D1316"/>
    <w:rsid w:val="01454397"/>
    <w:rsid w:val="02D958E4"/>
    <w:rsid w:val="036740E2"/>
    <w:rsid w:val="0631342B"/>
    <w:rsid w:val="08F239DD"/>
    <w:rsid w:val="0C761227"/>
    <w:rsid w:val="0C963376"/>
    <w:rsid w:val="0D847672"/>
    <w:rsid w:val="0FFE370C"/>
    <w:rsid w:val="111E7327"/>
    <w:rsid w:val="14FE0002"/>
    <w:rsid w:val="177E256D"/>
    <w:rsid w:val="179D1192"/>
    <w:rsid w:val="17FB2C27"/>
    <w:rsid w:val="1832324D"/>
    <w:rsid w:val="18607CF7"/>
    <w:rsid w:val="18E90265"/>
    <w:rsid w:val="1A7746D4"/>
    <w:rsid w:val="210741CC"/>
    <w:rsid w:val="23FE3EDF"/>
    <w:rsid w:val="24964160"/>
    <w:rsid w:val="2638428F"/>
    <w:rsid w:val="2E856CCB"/>
    <w:rsid w:val="31224F1F"/>
    <w:rsid w:val="3348358F"/>
    <w:rsid w:val="33C92430"/>
    <w:rsid w:val="378325C5"/>
    <w:rsid w:val="389A0D69"/>
    <w:rsid w:val="3CFE449C"/>
    <w:rsid w:val="3D992D2F"/>
    <w:rsid w:val="3FCF2120"/>
    <w:rsid w:val="41B5619A"/>
    <w:rsid w:val="44B23057"/>
    <w:rsid w:val="45820227"/>
    <w:rsid w:val="479E6FA7"/>
    <w:rsid w:val="485726DA"/>
    <w:rsid w:val="4B43079E"/>
    <w:rsid w:val="4B9B4C0A"/>
    <w:rsid w:val="52A74921"/>
    <w:rsid w:val="54DF6509"/>
    <w:rsid w:val="55607AE6"/>
    <w:rsid w:val="57365758"/>
    <w:rsid w:val="5B264E92"/>
    <w:rsid w:val="5B7D114D"/>
    <w:rsid w:val="5EE930EA"/>
    <w:rsid w:val="642D2996"/>
    <w:rsid w:val="64872E45"/>
    <w:rsid w:val="650663E9"/>
    <w:rsid w:val="6C020A35"/>
    <w:rsid w:val="6C1527DB"/>
    <w:rsid w:val="6C4E742E"/>
    <w:rsid w:val="6C505FD6"/>
    <w:rsid w:val="6DC1387F"/>
    <w:rsid w:val="70DE4D84"/>
    <w:rsid w:val="746960C4"/>
    <w:rsid w:val="746B0E56"/>
    <w:rsid w:val="75A91E8E"/>
    <w:rsid w:val="7A264BEC"/>
    <w:rsid w:val="7A335236"/>
    <w:rsid w:val="7D6C2781"/>
    <w:rsid w:val="7F604567"/>
    <w:rsid w:val="7FF948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line="460" w:lineRule="exact"/>
      <w:jc w:val="center"/>
      <w:outlineLvl w:val="0"/>
    </w:pPr>
    <w:rPr>
      <w:rFonts w:hint="eastAsia" w:ascii="宋体" w:hAnsi="宋体" w:eastAsia="仿宋" w:cs="宋体"/>
      <w:b/>
      <w:bCs/>
      <w:kern w:val="44"/>
      <w:sz w:val="28"/>
      <w:szCs w:val="48"/>
      <w:lang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semiHidden/>
    <w:unhideWhenUsed/>
    <w:qFormat/>
    <w:uiPriority w:val="1"/>
  </w:style>
  <w:style w:type="table" w:default="1" w:styleId="17">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spacing w:line="300" w:lineRule="auto"/>
      <w:ind w:firstLine="420" w:firstLineChars="200"/>
    </w:pPr>
    <w:rPr>
      <w:rFonts w:ascii="Times New Roman"/>
      <w:kern w:val="2"/>
      <w:sz w:val="21"/>
      <w:szCs w:val="24"/>
    </w:rPr>
  </w:style>
  <w:style w:type="paragraph" w:styleId="8">
    <w:name w:val="Body Text First Indent 2"/>
    <w:basedOn w:val="9"/>
    <w:next w:val="10"/>
    <w:unhideWhenUsed/>
    <w:qFormat/>
    <w:uiPriority w:val="99"/>
    <w:pPr>
      <w:spacing w:after="120"/>
      <w:ind w:left="420" w:leftChars="200" w:firstLine="420" w:firstLineChars="200"/>
    </w:pPr>
    <w:rPr>
      <w:rFonts w:ascii="Times New Roman"/>
      <w:sz w:val="20"/>
    </w:rPr>
  </w:style>
  <w:style w:type="paragraph" w:styleId="9">
    <w:name w:val="Body Text Indent"/>
    <w:basedOn w:val="1"/>
    <w:next w:val="1"/>
    <w:qFormat/>
    <w:uiPriority w:val="99"/>
    <w:pPr>
      <w:spacing w:line="640" w:lineRule="exact"/>
      <w:ind w:firstLine="585"/>
    </w:pPr>
    <w:rPr>
      <w:rFonts w:ascii="楷体_GB2312" w:eastAsia="楷体_GB2312"/>
      <w:sz w:val="32"/>
    </w:rPr>
  </w:style>
  <w:style w:type="paragraph" w:styleId="10">
    <w:name w:val="toc 2"/>
    <w:basedOn w:val="1"/>
    <w:next w:val="1"/>
    <w:qFormat/>
    <w:uiPriority w:val="39"/>
    <w:pPr>
      <w:ind w:left="420" w:leftChars="200"/>
    </w:pPr>
  </w:style>
  <w:style w:type="paragraph" w:styleId="11">
    <w:name w:val="Body Text"/>
    <w:basedOn w:val="1"/>
    <w:semiHidden/>
    <w:qFormat/>
    <w:uiPriority w:val="0"/>
    <w:rPr>
      <w:rFonts w:ascii="Arial" w:hAnsi="Arial" w:eastAsia="Arial" w:cs="Arial"/>
      <w:sz w:val="21"/>
      <w:szCs w:val="21"/>
      <w:lang w:val="en-US" w:eastAsia="en-US" w:bidi="ar-SA"/>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Body Text First Indent"/>
    <w:basedOn w:val="11"/>
    <w:next w:val="11"/>
    <w:qFormat/>
    <w:uiPriority w:val="0"/>
    <w:pPr>
      <w:ind w:firstLine="420" w:firstLineChars="100"/>
    </w:pPr>
    <w:rPr>
      <w:sz w:val="34"/>
    </w:rPr>
  </w:style>
  <w:style w:type="character" w:styleId="19">
    <w:name w:val="Strong"/>
    <w:basedOn w:val="18"/>
    <w:qFormat/>
    <w:uiPriority w:val="0"/>
    <w:rPr>
      <w:b/>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4"/>
      <w:szCs w:val="24"/>
      <w:lang w:val="en-US" w:eastAsia="en-US" w:bidi="ar-SA"/>
    </w:rPr>
  </w:style>
  <w:style w:type="character" w:customStyle="1" w:styleId="22">
    <w:name w:val="font11"/>
    <w:basedOn w:val="18"/>
    <w:qFormat/>
    <w:uiPriority w:val="0"/>
    <w:rPr>
      <w:rFonts w:hint="eastAsia" w:ascii="方正仿宋_GB2312" w:hAnsi="方正仿宋_GB2312" w:eastAsia="方正仿宋_GB2312" w:cs="方正仿宋_GB2312"/>
      <w:color w:val="000000"/>
      <w:sz w:val="20"/>
      <w:szCs w:val="20"/>
      <w:u w:val="none"/>
    </w:rPr>
  </w:style>
  <w:style w:type="character" w:customStyle="1" w:styleId="23">
    <w:name w:val="font41"/>
    <w:basedOn w:val="18"/>
    <w:qFormat/>
    <w:uiPriority w:val="0"/>
    <w:rPr>
      <w:rFonts w:ascii="黑体" w:hAnsi="宋体" w:eastAsia="黑体" w:cs="黑体"/>
      <w:color w:val="000000"/>
      <w:sz w:val="20"/>
      <w:szCs w:val="20"/>
      <w:u w:val="none"/>
    </w:rPr>
  </w:style>
  <w:style w:type="character" w:customStyle="1" w:styleId="24">
    <w:name w:val="font21"/>
    <w:basedOn w:val="18"/>
    <w:qFormat/>
    <w:uiPriority w:val="0"/>
    <w:rPr>
      <w:rFonts w:ascii="宋体" w:hAnsi="宋体" w:eastAsia="宋体" w:cs="宋体"/>
      <w:color w:val="000000"/>
      <w:sz w:val="20"/>
      <w:szCs w:val="20"/>
      <w:u w:val="none"/>
    </w:rPr>
  </w:style>
  <w:style w:type="character" w:customStyle="1" w:styleId="25">
    <w:name w:val="font51"/>
    <w:basedOn w:val="18"/>
    <w:qFormat/>
    <w:uiPriority w:val="0"/>
    <w:rPr>
      <w:rFonts w:hint="eastAsia" w:ascii="黑体" w:hAnsi="宋体" w:eastAsia="黑体" w:cs="黑体"/>
      <w:b/>
      <w:bCs/>
      <w:color w:val="000000"/>
      <w:sz w:val="20"/>
      <w:szCs w:val="20"/>
      <w:u w:val="none"/>
    </w:rPr>
  </w:style>
  <w:style w:type="character" w:customStyle="1" w:styleId="26">
    <w:name w:val="font61"/>
    <w:basedOn w:val="18"/>
    <w:qFormat/>
    <w:uiPriority w:val="0"/>
    <w:rPr>
      <w:rFonts w:ascii="Arial" w:hAnsi="Arial" w:cs="Arial"/>
      <w:color w:val="000000"/>
      <w:sz w:val="20"/>
      <w:szCs w:val="20"/>
      <w:u w:val="none"/>
    </w:rPr>
  </w:style>
  <w:style w:type="character" w:customStyle="1" w:styleId="27">
    <w:name w:val="font71"/>
    <w:basedOn w:val="18"/>
    <w:qFormat/>
    <w:uiPriority w:val="0"/>
    <w:rPr>
      <w:rFonts w:hint="eastAsia" w:ascii="方正仿宋_GB2312" w:hAnsi="方正仿宋_GB2312" w:eastAsia="方正仿宋_GB2312" w:cs="方正仿宋_GB2312"/>
      <w:color w:val="FF0000"/>
      <w:sz w:val="20"/>
      <w:szCs w:val="20"/>
      <w:u w:val="none"/>
    </w:rPr>
  </w:style>
  <w:style w:type="character" w:customStyle="1" w:styleId="28">
    <w:name w:val="font81"/>
    <w:basedOn w:val="18"/>
    <w:qFormat/>
    <w:uiPriority w:val="0"/>
    <w:rPr>
      <w:rFonts w:hint="eastAsia" w:ascii="宋体" w:hAnsi="宋体" w:eastAsia="宋体" w:cs="宋体"/>
      <w:color w:val="000000"/>
      <w:sz w:val="20"/>
      <w:szCs w:val="20"/>
      <w:u w:val="none"/>
    </w:rPr>
  </w:style>
  <w:style w:type="character" w:customStyle="1" w:styleId="29">
    <w:name w:val="font91"/>
    <w:basedOn w:val="18"/>
    <w:qFormat/>
    <w:uiPriority w:val="0"/>
    <w:rPr>
      <w:rFonts w:hint="default" w:ascii="Times New Roman" w:hAnsi="Times New Roman" w:cs="Times New Roman"/>
      <w:color w:val="000000"/>
      <w:sz w:val="20"/>
      <w:szCs w:val="20"/>
      <w:u w:val="none"/>
    </w:rPr>
  </w:style>
  <w:style w:type="character" w:customStyle="1" w:styleId="30">
    <w:name w:val="font31"/>
    <w:basedOn w:val="18"/>
    <w:qFormat/>
    <w:uiPriority w:val="0"/>
    <w:rPr>
      <w:rFonts w:hint="eastAsia" w:ascii="仿宋" w:hAnsi="仿宋" w:eastAsia="仿宋" w:cs="仿宋"/>
      <w:color w:val="000000"/>
      <w:sz w:val="21"/>
      <w:szCs w:val="21"/>
      <w:u w:val="none"/>
    </w:rPr>
  </w:style>
  <w:style w:type="character" w:customStyle="1" w:styleId="31">
    <w:name w:val="font101"/>
    <w:basedOn w:val="18"/>
    <w:qFormat/>
    <w:uiPriority w:val="0"/>
    <w:rPr>
      <w:rFonts w:hint="default" w:ascii="Arial" w:hAnsi="Arial" w:cs="Arial"/>
      <w:color w:val="000000"/>
      <w:sz w:val="21"/>
      <w:szCs w:val="21"/>
      <w:u w:val="none"/>
    </w:rPr>
  </w:style>
  <w:style w:type="paragraph" w:customStyle="1" w:styleId="32">
    <w:name w:val="Table Paragraph"/>
    <w:basedOn w:val="1"/>
    <w:qFormat/>
    <w:uiPriority w:val="1"/>
  </w:style>
  <w:style w:type="paragraph" w:customStyle="1" w:styleId="3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76</Pages>
  <Words>10434</Words>
  <Characters>11689</Characters>
  <TotalTime>0</TotalTime>
  <ScaleCrop>false</ScaleCrop>
  <LinksUpToDate>false</LinksUpToDate>
  <CharactersWithSpaces>11927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2026-01-22T12:36:00Z</dcterms:created>
  <dc:creator>微软用户</dc:creator>
  <cp:lastModifiedBy>WPS_1602224457</cp:lastModifiedBy>
  <cp:lastPrinted>2026-03-10T09:28:00Z</cp:lastPrinted>
  <dcterms:modified xsi:type="dcterms:W3CDTF">2026-07-08T08:19:04Z</dcterms:modified>
  <dc:title>文件编号：SDZB2007-027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2026-01-29T08:56:52Z</vt:filetime>
  </property>
  <property fmtid="{D5CDD505-2E9C-101B-9397-08002B2CF9AE}" pid="4" name="KSOTemplateDocerSaveRecord">
    <vt:lpwstr>eyJoZGlkIjoiZmE4NGFlNGI1MzAwZDA1ZGEzZDdiZWNlNzNiZWYxNjciLCJ1c2VySWQiOiIxMTI4OTQ4NjU5In0=</vt:lpwstr>
  </property>
  <property fmtid="{D5CDD505-2E9C-101B-9397-08002B2CF9AE}" pid="5" name="KSOProductBuildVer">
    <vt:lpwstr>2052-12.1.0.26895</vt:lpwstr>
  </property>
  <property fmtid="{D5CDD505-2E9C-101B-9397-08002B2CF9AE}" pid="6" name="ICV">
    <vt:lpwstr>5435C9CD6ABF4978A167AE1397C33A06_13</vt:lpwstr>
  </property>
</Properties>
</file>