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版本号：KY2026-3-11520260529001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多材料主动混合复合功能梯度材料高分辨3D打印机、电场驱动喷射沉积微纳3D打印机、柔性混合电子3D打印机采购项目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KY2026-3-115</w:t>
      </w:r>
      <w:r>
        <w:br/>
      </w:r>
      <w:r>
        <w:br/>
      </w:r>
      <w:r>
        <w:br/>
      </w:r>
    </w:p>
    <w:p>
      <w:pPr>
        <w:pStyle w:val="null3"/>
        <w:jc w:val="center"/>
        <w:outlineLvl w:val="2"/>
      </w:pPr>
      <w:r>
        <w:rPr>
          <w:rFonts w:ascii="仿宋_GB2312" w:hAnsi="仿宋_GB2312" w:cs="仿宋_GB2312" w:eastAsia="仿宋_GB2312"/>
          <w:sz w:val="28"/>
          <w:b/>
        </w:rPr>
        <w:t>西安工程大学</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西安工程大学</w:t>
      </w:r>
      <w:r>
        <w:rPr>
          <w:rFonts w:ascii="仿宋_GB2312" w:hAnsi="仿宋_GB2312" w:cs="仿宋_GB2312" w:eastAsia="仿宋_GB2312"/>
        </w:rPr>
        <w:t>委托，拟对</w:t>
      </w:r>
      <w:r>
        <w:rPr>
          <w:rFonts w:ascii="仿宋_GB2312" w:hAnsi="仿宋_GB2312" w:cs="仿宋_GB2312" w:eastAsia="仿宋_GB2312"/>
        </w:rPr>
        <w:t>多材料主动混合复合功能梯度材料高分辨3D打印机、电场驱动喷射沉积微纳3D打印机、柔性混合电子3D打印机采购项目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KY2026-3-115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多材料主动混合复合功能梯度材料高分辨3D打印机、电场驱动喷射沉积微纳3D打印机、柔性混合电子3D打印机采购项目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多材料主动混合复合/功能梯度材料高分辨3D打印机、电场驱动喷射沉积微纳3D打印机、柔性混合电子3D打印机采购，具体要求详见招标文件第三章。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采购包1（多材料主动混合复合/功能梯度材料高分辨3D打印机采购）：属于专门面向中小企业采购。</w:t>
      </w:r>
    </w:p>
    <w:p>
      <w:pPr>
        <w:pStyle w:val="null3"/>
      </w:pPr>
      <w:r>
        <w:rPr>
          <w:rFonts w:ascii="仿宋_GB2312" w:hAnsi="仿宋_GB2312" w:cs="仿宋_GB2312" w:eastAsia="仿宋_GB2312"/>
        </w:rPr>
        <w:t>采购包2（电场驱动喷射沉积微纳3D打印机采购）：属于专门面向中小企业采购。</w:t>
      </w:r>
    </w:p>
    <w:p>
      <w:pPr>
        <w:pStyle w:val="null3"/>
      </w:pPr>
      <w:r>
        <w:rPr>
          <w:rFonts w:ascii="仿宋_GB2312" w:hAnsi="仿宋_GB2312" w:cs="仿宋_GB2312" w:eastAsia="仿宋_GB2312"/>
        </w:rPr>
        <w:t>采购包3（柔性混合电子3D打印机采购）：属于专门面向中小企业采购。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或2025年度经审计的财务会计报告（包括审计报告、资产负债表、利润表、现金流量表、所有者权益变动表及其附注，成立时间至提交投标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1月至今任意一个月的依法缴纳税收的相关凭据（时间以税款所属日期为准），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4、社会保障资金缴纳证明：提供2025年1月至今已缴存的至少一个月的社会保障资金缴存单据或社保机构开具的社会保险参保缴费情况证明，依法不需要缴纳社会保障资金的单位应提供相关证明材料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7、法定代表人授权书：法定代表人授权书及被授权人身份证复印件。（法定代表人直接投标只须提交其身份证明书）</w:t>
      </w:r>
    </w:p>
    <w:p>
      <w:pPr>
        <w:pStyle w:val="null3"/>
      </w:pPr>
      <w:r>
        <w:rPr>
          <w:rFonts w:ascii="仿宋_GB2312" w:hAnsi="仿宋_GB2312" w:cs="仿宋_GB2312" w:eastAsia="仿宋_GB2312"/>
        </w:rPr>
        <w:t>8、中小企业声明函：提供中小企业声明函。（本项目为专门面向中、小、微型企业采购项目）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或2025年度经审计的财务会计报告（包括审计报告、资产负债表、利润表、现金流量表、所有者权益变动表及其附注，成立时间至提交投标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1月至今任意一个月的依法缴纳税收的相关凭据（时间以税款所属日期为准），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4、社会保障资金缴纳证明：提供2025年1月至今已缴存的至少一个月的社会保障资金缴存单据或社保机构开具的社会保险参保缴费情况证明，依法不需要缴纳社会保障资金的单位应提供相关证明材料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7、法定代表人授权书：法定代表人授权书及被授权人身份证复印件。（法定代表人直接投标只须提交其身份证明书）</w:t>
      </w:r>
    </w:p>
    <w:p>
      <w:pPr>
        <w:pStyle w:val="null3"/>
      </w:pPr>
      <w:r>
        <w:rPr>
          <w:rFonts w:ascii="仿宋_GB2312" w:hAnsi="仿宋_GB2312" w:cs="仿宋_GB2312" w:eastAsia="仿宋_GB2312"/>
        </w:rPr>
        <w:t>8、中小企业声明函：提供中小企业声明函。（本项目为专门面向中、小、微型企业采购项目）</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或2025年度经审计的财务会计报告（包括审计报告、资产负债表、利润表、现金流量表、所有者权益变动表及其附注，成立时间至提交投标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1月至今任意一个月的依法缴纳税收的相关凭据（时间以税款所属日期为准），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4、社会保障资金缴纳证明：提供2025年1月至今已缴存的至少一个月的社会保障资金缴存单据或社保机构开具的社会保险参保缴费情况证明，依法不需要缴纳社会保障资金的单位应提供相关证明材料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7、法定代表人授权书：法定代表人授权书及被授权人身份证复印件。（法定代表人直接投标只须提交其身份证明书）</w:t>
      </w:r>
    </w:p>
    <w:p>
      <w:pPr>
        <w:pStyle w:val="null3"/>
      </w:pPr>
      <w:r>
        <w:rPr>
          <w:rFonts w:ascii="仿宋_GB2312" w:hAnsi="仿宋_GB2312" w:cs="仿宋_GB2312" w:eastAsia="仿宋_GB2312"/>
        </w:rPr>
        <w:t>8、中小企业声明函：提供中小企业声明函。（本项目为专门面向中、小、微型企业采购项目）</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西安工程大学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西安市碑林区金花南路19号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029-81369288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谢婷婷、李瑞洁、戈迪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029-81206622-832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采购包1：750,000.00元</w:t>
            </w:r>
          </w:p>
          <w:p>
            <w:pPr>
              <w:pStyle w:val="null3"/>
            </w:pPr>
            <w:r>
              <w:rPr>
                <w:rFonts w:ascii="仿宋_GB2312" w:hAnsi="仿宋_GB2312" w:cs="仿宋_GB2312" w:eastAsia="仿宋_GB2312"/>
              </w:rPr>
              <w:t>采购包2：650,000.00元</w:t>
            </w:r>
          </w:p>
          <w:p>
            <w:pPr>
              <w:pStyle w:val="null3"/>
            </w:pPr>
            <w:r>
              <w:rPr>
                <w:rFonts w:ascii="仿宋_GB2312" w:hAnsi="仿宋_GB2312" w:cs="仿宋_GB2312" w:eastAsia="仿宋_GB2312"/>
              </w:rPr>
              <w:t>采购包3：600,000.00元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没有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没有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没有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采购包1保证金金额：12,000.00元</w:t>
            </w:r>
          </w:p>
          <w:p>
            <w:pPr>
              <w:pStyle w:val="null3"/>
            </w:pPr>
            <w:r>
              <w:rPr>
                <w:rFonts w:ascii="仿宋_GB2312" w:hAnsi="仿宋_GB2312" w:cs="仿宋_GB2312" w:eastAsia="仿宋_GB2312"/>
              </w:rPr>
              <w:t>采购包2保证金金额：10,000.00元</w:t>
            </w:r>
          </w:p>
          <w:p>
            <w:pPr>
              <w:pStyle w:val="null3"/>
            </w:pPr>
            <w:r>
              <w:rPr>
                <w:rFonts w:ascii="仿宋_GB2312" w:hAnsi="仿宋_GB2312" w:cs="仿宋_GB2312" w:eastAsia="仿宋_GB2312"/>
              </w:rPr>
              <w:t>采购包3保证金金额：9,000.00元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银行账号：86113010750181502001089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说明：（1）投标人中标后凭中标通知书向采购人缴纳中标金额的5%作为履约保证金； （2）履约保证金应使用人民币，可选择使用银行转账、支票、汇票、本票或者金融机构、担保机构出具的保函等非现金形式缴纳或提交； （3）采购人验收合格后，中标人提出书面申请，采购人将履约保证金（无息）退还中标人。</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说明：（1）投标人中标后凭中标通知书向采购人缴纳中标金额的5%作为履约保证金； （2）履约保证金应使用人民币，可选择使用银行转账、支票、汇票、本票或者金融机构、担保机构出具的保函等非现金形式缴纳或提交； （3）采购人验收合格后，中标人提出书面申请，采购人将履约保证金（无息）退还中标人。</w:t>
            </w:r>
          </w:p>
          <w:p>
            <w:pPr>
              <w:pStyle w:val="null3"/>
            </w:pPr>
            <w:r>
              <w:rPr>
                <w:rFonts w:ascii="仿宋_GB2312" w:hAnsi="仿宋_GB2312" w:cs="仿宋_GB2312" w:eastAsia="仿宋_GB2312"/>
              </w:rPr>
              <w:t>采购包3：缴纳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说明：（1）投标人中标后凭中标通知书向采购人缴纳中标金额的5%作为履约保证金； （2）履约保证金应使用人民币，可选择使用银行转账、支票、汇票、本票或者金融机构、担保机构出具的保函等非现金形式缴纳或提交； （3）采购人验收合格后，中标人提出书面申请，采购人将履约保证金（无息）退还中标人。</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按照国家计委关于印发《招标代理服务收费管理暂行办法的通知》（计价格[2002]1980号）的收费标准计取。中标(成交)单位在领取中标通知书前，须向采购代理机构一次性支付招标代理服务费;代理服务费以转账、电汇或现金等形式交纳。 2、本项目中标服务费按货物计取。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西安工程大学</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西安工程大学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西安工程大学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联系人：谢婷婷、李瑞洁、戈迪</w:t>
      </w:r>
    </w:p>
    <w:p>
      <w:pPr>
        <w:pStyle w:val="null3"/>
      </w:pPr>
      <w:r>
        <w:rPr>
          <w:rFonts w:ascii="仿宋_GB2312" w:hAnsi="仿宋_GB2312" w:cs="仿宋_GB2312" w:eastAsia="仿宋_GB2312"/>
        </w:rPr>
        <w:t>联系电话：029-81206633-832</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多材料主动混合复合/功能梯度材料高分辨3D打印机、电场驱动喷射沉积微纳3D打印机、柔性混合电子3D打印机采购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750,000.00</w:t>
      </w:r>
    </w:p>
    <w:p>
      <w:pPr>
        <w:pStyle w:val="null3"/>
      </w:pPr>
      <w:r>
        <w:rPr>
          <w:rFonts w:ascii="仿宋_GB2312" w:hAnsi="仿宋_GB2312" w:cs="仿宋_GB2312" w:eastAsia="仿宋_GB2312"/>
        </w:rPr>
        <w:t>采购包最高限价（元）: 750,000.00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多材料主动混合复合/功能梯度材料高分辨3D打印机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750,000.00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650,000.00</w:t>
      </w:r>
    </w:p>
    <w:p>
      <w:pPr>
        <w:pStyle w:val="null3"/>
      </w:pPr>
      <w:r>
        <w:rPr>
          <w:rFonts w:ascii="仿宋_GB2312" w:hAnsi="仿宋_GB2312" w:cs="仿宋_GB2312" w:eastAsia="仿宋_GB2312"/>
        </w:rPr>
        <w:t>采购包最高限价（元）: 650,000.00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电场驱动喷射沉积微纳3D打印机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650,000.00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柔性混合电子3D打印机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标的名称：多材料主动混合复合/功能梯度材料高分辨3D打印机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多材料主动混合复合/功能梯度材料高分辨3D打印机：1套</w:t>
            </w:r>
          </w:p>
          <w:p>
            <w:pPr>
              <w:pStyle w:val="null3"/>
            </w:pPr>
            <w:r>
              <w:rPr>
                <w:rFonts w:ascii="仿宋_GB2312" w:hAnsi="仿宋_GB2312" w:cs="仿宋_GB2312" w:eastAsia="仿宋_GB2312"/>
              </w:rPr>
              <w:t>一、技术标准</w:t>
            </w:r>
            <w:r>
              <w:br/>
            </w:r>
            <w:r>
              <w:rPr>
                <w:rFonts w:ascii="仿宋_GB2312" w:hAnsi="仿宋_GB2312" w:cs="仿宋_GB2312" w:eastAsia="仿宋_GB2312"/>
              </w:rPr>
              <w:t xml:space="preserve"> ▲1.成形尺寸：≥300 mm × 300 mm × 300 mm；</w:t>
            </w:r>
            <w:r>
              <w:br/>
            </w:r>
            <w:r>
              <w:rPr>
                <w:rFonts w:ascii="仿宋_GB2312" w:hAnsi="仿宋_GB2312" w:cs="仿宋_GB2312" w:eastAsia="仿宋_GB2312"/>
              </w:rPr>
              <w:t xml:space="preserve"> ▲2.定位精度：±50 µm；打印速度：10-200 mm/s（可调）；打印层厚：40 µm-2 mm（可调）；</w:t>
            </w:r>
            <w:r>
              <w:br/>
            </w:r>
            <w:r>
              <w:rPr>
                <w:rFonts w:ascii="仿宋_GB2312" w:hAnsi="仿宋_GB2312" w:cs="仿宋_GB2312" w:eastAsia="仿宋_GB2312"/>
              </w:rPr>
              <w:t xml:space="preserve"> ▲3.基体材料：PLA，PEEK，PCL，ABS，PC等；填料：纳米材料，短切碳纤维，石墨烯，碳纳米管，陶瓷粉，金属粉等；</w:t>
            </w:r>
            <w:r>
              <w:br/>
            </w:r>
            <w:r>
              <w:rPr>
                <w:rFonts w:ascii="仿宋_GB2312" w:hAnsi="仿宋_GB2312" w:cs="仿宋_GB2312" w:eastAsia="仿宋_GB2312"/>
              </w:rPr>
              <w:t xml:space="preserve"> ▲4.填料添加比例：0~50%（可调）；填料掺杂比例控制精度：±1%；</w:t>
            </w:r>
            <w:r>
              <w:br/>
            </w:r>
            <w:r>
              <w:rPr>
                <w:rFonts w:ascii="仿宋_GB2312" w:hAnsi="仿宋_GB2312" w:cs="仿宋_GB2312" w:eastAsia="仿宋_GB2312"/>
              </w:rPr>
              <w:t xml:space="preserve"> ▲5.喷嘴尺寸：覆盖200µm-1500µm（不锈钢金属材质）；</w:t>
            </w:r>
            <w:r>
              <w:br/>
            </w:r>
            <w:r>
              <w:rPr>
                <w:rFonts w:ascii="仿宋_GB2312" w:hAnsi="仿宋_GB2312" w:cs="仿宋_GB2312" w:eastAsia="仿宋_GB2312"/>
              </w:rPr>
              <w:t xml:space="preserve"> ▲6.喷头最大加热温度：≧400℃；</w:t>
            </w:r>
            <w:r>
              <w:br/>
            </w:r>
            <w:r>
              <w:rPr>
                <w:rFonts w:ascii="仿宋_GB2312" w:hAnsi="仿宋_GB2312" w:cs="仿宋_GB2312" w:eastAsia="仿宋_GB2312"/>
              </w:rPr>
              <w:t xml:space="preserve"> ▲7.腔室及热床最高温度：≧150℃；</w:t>
            </w:r>
            <w:r>
              <w:br/>
            </w:r>
            <w:r>
              <w:rPr>
                <w:rFonts w:ascii="仿宋_GB2312" w:hAnsi="仿宋_GB2312" w:cs="仿宋_GB2312" w:eastAsia="仿宋_GB2312"/>
              </w:rPr>
              <w:t xml:space="preserve"> 8.打印材料类型：颗粒，粉末；</w:t>
            </w:r>
            <w:r>
              <w:br/>
            </w:r>
            <w:r>
              <w:rPr>
                <w:rFonts w:ascii="仿宋_GB2312" w:hAnsi="仿宋_GB2312" w:cs="仿宋_GB2312" w:eastAsia="仿宋_GB2312"/>
              </w:rPr>
              <w:t xml:space="preserve"> 9.打印平台：自适应可调平；</w:t>
            </w:r>
            <w:r>
              <w:br/>
            </w:r>
            <w:r>
              <w:rPr>
                <w:rFonts w:ascii="仿宋_GB2312" w:hAnsi="仿宋_GB2312" w:cs="仿宋_GB2312" w:eastAsia="仿宋_GB2312"/>
              </w:rPr>
              <w:t xml:space="preserve"> 10.配备氮气惰性气体保护装置一套，氮气惰性气体纯度≧99%，压力控制范围：覆盖10~500kPa,灵敏度≦0.2%，重复精度≦±0.5%。</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二、配置要求</w:t>
            </w:r>
            <w:r>
              <w:br/>
            </w:r>
            <w:r>
              <w:rPr>
                <w:rFonts w:ascii="仿宋_GB2312" w:hAnsi="仿宋_GB2312" w:cs="仿宋_GB2312" w:eastAsia="仿宋_GB2312"/>
              </w:rPr>
              <w:t xml:space="preserve"> 1.开源前处理分层软件一套；</w:t>
            </w:r>
            <w:r>
              <w:br/>
            </w:r>
            <w:r>
              <w:rPr>
                <w:rFonts w:ascii="仿宋_GB2312" w:hAnsi="仿宋_GB2312" w:cs="仿宋_GB2312" w:eastAsia="仿宋_GB2312"/>
              </w:rPr>
              <w:t xml:space="preserve"> 2.配备金属材质200µm、300µm、500µm、700µm、1000µm、1200µm、1500µm喷嘴各20个（接受定制）；</w:t>
            </w:r>
            <w:r>
              <w:br/>
            </w:r>
            <w:r>
              <w:rPr>
                <w:rFonts w:ascii="仿宋_GB2312" w:hAnsi="仿宋_GB2312" w:cs="仿宋_GB2312" w:eastAsia="仿宋_GB2312"/>
              </w:rPr>
              <w:t xml:space="preserve"> 3.配备喷嘴转接头或喷头模块10个，加热料管5条，陶瓷加热环5个；</w:t>
            </w:r>
            <w:r>
              <w:br/>
            </w:r>
            <w:r>
              <w:rPr>
                <w:rFonts w:ascii="仿宋_GB2312" w:hAnsi="仿宋_GB2312" w:cs="仿宋_GB2312" w:eastAsia="仿宋_GB2312"/>
              </w:rPr>
              <w:t xml:space="preserve"> 4.提供适用于本设备的PLA，PEEK，PCL，ABS，PC粉末颗粒各2kg；</w:t>
            </w:r>
            <w:r>
              <w:br/>
            </w:r>
            <w:r>
              <w:rPr>
                <w:rFonts w:ascii="仿宋_GB2312" w:hAnsi="仿宋_GB2312" w:cs="仿宋_GB2312" w:eastAsia="仿宋_GB2312"/>
              </w:rPr>
              <w:t xml:space="preserve"> 5.提供适用于本设备的短切碳纤维、石墨烯粉末、氧化铝粉末、钛酸锶钡粉末（纯度99%）各2.5kg，碳纳米管粉末（纯度99.5%）250g。</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三、其他要求</w:t>
            </w:r>
            <w:r>
              <w:br/>
            </w:r>
            <w:r>
              <w:rPr>
                <w:rFonts w:ascii="仿宋_GB2312" w:hAnsi="仿宋_GB2312" w:cs="仿宋_GB2312" w:eastAsia="仿宋_GB2312"/>
              </w:rPr>
              <w:t xml:space="preserve"> 1.包含仪器运输、安装、调试、验收、培训等，验收标准根据企业标准，3年质保；</w:t>
            </w:r>
            <w:r>
              <w:br/>
            </w:r>
            <w:r>
              <w:rPr>
                <w:rFonts w:ascii="仿宋_GB2312" w:hAnsi="仿宋_GB2312" w:cs="仿宋_GB2312" w:eastAsia="仿宋_GB2312"/>
              </w:rPr>
              <w:t xml:space="preserve"> 2.质保期内，若设备发生故障，中标人需调查故障原因并修复直至满足设备性能的要求，或者更换整机或部分有缺陷的组件；</w:t>
            </w:r>
            <w:r>
              <w:br/>
            </w:r>
            <w:r>
              <w:rPr>
                <w:rFonts w:ascii="仿宋_GB2312" w:hAnsi="仿宋_GB2312" w:cs="仿宋_GB2312" w:eastAsia="仿宋_GB2312"/>
              </w:rPr>
              <w:t xml:space="preserve"> 3.中标人应对由于设计、工艺或材料的缺陷而发生的任何不足和故障负责任；</w:t>
            </w:r>
            <w:r>
              <w:br/>
            </w:r>
            <w:r>
              <w:rPr>
                <w:rFonts w:ascii="仿宋_GB2312" w:hAnsi="仿宋_GB2312" w:cs="仿宋_GB2312" w:eastAsia="仿宋_GB2312"/>
              </w:rPr>
              <w:t xml:space="preserve"> 4.提供7×24小时售后服务热线；质保期内接到采购人故障信息后要求24小时内响应，3个工作日排除故障；</w:t>
            </w:r>
            <w:r>
              <w:br/>
            </w:r>
            <w:r>
              <w:rPr>
                <w:rFonts w:ascii="仿宋_GB2312" w:hAnsi="仿宋_GB2312" w:cs="仿宋_GB2312" w:eastAsia="仿宋_GB2312"/>
              </w:rPr>
              <w:t xml:space="preserve"> 5.质保期满后，中标人终身提供技术支持和维修服务，由此发生的相关服务和备品备件费用需按内部优惠价格。</w:t>
            </w:r>
            <w:r>
              <w:br/>
            </w:r>
            <w:r>
              <w:rPr>
                <w:rFonts w:ascii="仿宋_GB2312" w:hAnsi="仿宋_GB2312" w:cs="仿宋_GB2312" w:eastAsia="仿宋_GB2312"/>
              </w:rPr>
              <w:t xml:space="preserve"> 6.培训内容及要求：针对设备的使用步骤、操作、功能、操作流程进行培训。</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标的名称：电场驱动喷射沉积微纳3D打印机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电场驱动喷射沉积微纳3D打印机：1套</w:t>
            </w:r>
          </w:p>
          <w:p>
            <w:pPr>
              <w:pStyle w:val="null3"/>
            </w:pPr>
            <w:r>
              <w:rPr>
                <w:rFonts w:ascii="仿宋_GB2312" w:hAnsi="仿宋_GB2312" w:cs="仿宋_GB2312" w:eastAsia="仿宋_GB2312"/>
              </w:rPr>
              <w:t>一、技术标准</w:t>
            </w:r>
            <w:r>
              <w:br/>
            </w:r>
            <w:r>
              <w:rPr>
                <w:rFonts w:ascii="仿宋_GB2312" w:hAnsi="仿宋_GB2312" w:cs="仿宋_GB2312" w:eastAsia="仿宋_GB2312"/>
              </w:rPr>
              <w:t xml:space="preserve"> ▲1.成形尺寸：≥200mm×200mm；</w:t>
            </w:r>
            <w:r>
              <w:br/>
            </w:r>
            <w:r>
              <w:rPr>
                <w:rFonts w:ascii="仿宋_GB2312" w:hAnsi="仿宋_GB2312" w:cs="仿宋_GB2312" w:eastAsia="仿宋_GB2312"/>
              </w:rPr>
              <w:t xml:space="preserve"> ▲2.最高打印速度：≥500 mm/s，最高打印线宽：≤1 µm；</w:t>
            </w:r>
            <w:r>
              <w:br/>
            </w:r>
            <w:r>
              <w:rPr>
                <w:rFonts w:ascii="仿宋_GB2312" w:hAnsi="仿宋_GB2312" w:cs="仿宋_GB2312" w:eastAsia="仿宋_GB2312"/>
              </w:rPr>
              <w:t xml:space="preserve"> ▲3.打印模式：微挤出、脉冲锥射流（微滴）、连续锥射流（微细线）；</w:t>
            </w:r>
            <w:r>
              <w:br/>
            </w:r>
            <w:r>
              <w:rPr>
                <w:rFonts w:ascii="仿宋_GB2312" w:hAnsi="仿宋_GB2312" w:cs="仿宋_GB2312" w:eastAsia="仿宋_GB2312"/>
              </w:rPr>
              <w:t xml:space="preserve"> ▲4.打印材料粘度适应范围：20-30000mPa·s（溶液、墨水、浆料、胶体等）（常温下）；打印材料种类：包括微纳米银浆、纳米银线、纳米材料、复合材料、热塑性聚合物、生物材料等；</w:t>
            </w:r>
            <w:r>
              <w:br/>
            </w:r>
            <w:r>
              <w:rPr>
                <w:rFonts w:ascii="仿宋_GB2312" w:hAnsi="仿宋_GB2312" w:cs="仿宋_GB2312" w:eastAsia="仿宋_GB2312"/>
              </w:rPr>
              <w:t xml:space="preserve"> ▲5.打印喷嘴尺寸（材质）及电压：覆盖60 µm - 300 µm（不锈钢金属材质）、2 µm – 60 µm（石英玻璃材质）；DC：0~3kV，AC：0~2kV；（可调）</w:t>
            </w:r>
            <w:r>
              <w:br/>
            </w:r>
            <w:r>
              <w:rPr>
                <w:rFonts w:ascii="仿宋_GB2312" w:hAnsi="仿宋_GB2312" w:cs="仿宋_GB2312" w:eastAsia="仿宋_GB2312"/>
              </w:rPr>
              <w:t xml:space="preserve"> ▲6.视觉监测和定位模块：打印过程监测（高速CCD）、激光测距仪；侧视监控模块：分辨率≥2448×2048，镜头放大倍数≥4，视野范围≥1.77×2.1mm，精度≦0.72um;竖直监测模块：分辨率≥2448×2048，镜头放大倍数≥1.5，视野范围≥5.63×4.71mm，精度≤2.3um；激光测距仪：</w:t>
            </w:r>
            <w:r>
              <w:br/>
            </w:r>
            <w:r>
              <w:rPr>
                <w:rFonts w:ascii="仿宋_GB2312" w:hAnsi="仿宋_GB2312" w:cs="仿宋_GB2312" w:eastAsia="仿宋_GB2312"/>
              </w:rPr>
              <w:t xml:space="preserve"> 测量范围：≥±1.3mm，直线性：≤±0.36μm，分辨率：≤0.25μm，光斑直径：≤ø25μm；</w:t>
            </w:r>
            <w:r>
              <w:br/>
            </w:r>
            <w:r>
              <w:rPr>
                <w:rFonts w:ascii="仿宋_GB2312" w:hAnsi="仿宋_GB2312" w:cs="仿宋_GB2312" w:eastAsia="仿宋_GB2312"/>
              </w:rPr>
              <w:t xml:space="preserve"> ▲7.运动模块：行程100 mm - 200 mm；重复定位精度≤±1µm；</w:t>
            </w:r>
            <w:r>
              <w:br/>
            </w:r>
            <w:r>
              <w:rPr>
                <w:rFonts w:ascii="仿宋_GB2312" w:hAnsi="仿宋_GB2312" w:cs="仿宋_GB2312" w:eastAsia="仿宋_GB2312"/>
              </w:rPr>
              <w:t xml:space="preserve"> 8.打印基底种类：硬质基底：玻璃，硅片，陶瓷；柔性基底：PET，PEN，PDMS，PI，纸等；</w:t>
            </w:r>
            <w:r>
              <w:br/>
            </w:r>
            <w:r>
              <w:rPr>
                <w:rFonts w:ascii="仿宋_GB2312" w:hAnsi="仿宋_GB2312" w:cs="仿宋_GB2312" w:eastAsia="仿宋_GB2312"/>
              </w:rPr>
              <w:t xml:space="preserve"> 9.背压：气压，调压范围：0-600kPa，灵敏度：≤0.2%，重复精度≤±0.5%。</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二、配置要求</w:t>
            </w:r>
            <w:r>
              <w:br/>
            </w:r>
            <w:r>
              <w:rPr>
                <w:rFonts w:ascii="仿宋_GB2312" w:hAnsi="仿宋_GB2312" w:cs="仿宋_GB2312" w:eastAsia="仿宋_GB2312"/>
              </w:rPr>
              <w:t xml:space="preserve"> 1.开源前处理分层软件一套；</w:t>
            </w:r>
            <w:r>
              <w:br/>
            </w:r>
            <w:r>
              <w:rPr>
                <w:rFonts w:ascii="仿宋_GB2312" w:hAnsi="仿宋_GB2312" w:cs="仿宋_GB2312" w:eastAsia="仿宋_GB2312"/>
              </w:rPr>
              <w:t xml:space="preserve"> 2.提供玻璃材质2μm、10μm、20μm、30μm、40μm、50μm、60μm喷嘴各40个，金属材质60μm、100μm、200μm、300μm喷嘴各10个（接受定制）；</w:t>
            </w:r>
            <w:r>
              <w:br/>
            </w:r>
            <w:r>
              <w:rPr>
                <w:rFonts w:ascii="仿宋_GB2312" w:hAnsi="仿宋_GB2312" w:cs="仿宋_GB2312" w:eastAsia="仿宋_GB2312"/>
              </w:rPr>
              <w:t xml:space="preserve"> 3.配备喷嘴转接头或喷头模块10个，料筒50个；</w:t>
            </w:r>
            <w:r>
              <w:br/>
            </w:r>
            <w:r>
              <w:rPr>
                <w:rFonts w:ascii="仿宋_GB2312" w:hAnsi="仿宋_GB2312" w:cs="仿宋_GB2312" w:eastAsia="仿宋_GB2312"/>
              </w:rPr>
              <w:t xml:space="preserve"> 4.提供适用于本设备打印的纳米导电银浆（400C）250g，纳米银线50g，纳米导电铜浆（Cu-200N）250g, 石墨烯粉末250g，碳纳米管粉末（纯度99.5%）50g，PLLA 250g, PLGA 250g, PCL 250g；</w:t>
            </w:r>
            <w:r>
              <w:br/>
            </w:r>
            <w:r>
              <w:rPr>
                <w:rFonts w:ascii="仿宋_GB2312" w:hAnsi="仿宋_GB2312" w:cs="仿宋_GB2312" w:eastAsia="仿宋_GB2312"/>
              </w:rPr>
              <w:t xml:space="preserve"> 5.提供适用于本设备打印基板的PET膜0.1*100*100mm、0.2*100*100mm、0.3*100*100mm各10片，PI膜0.1*100*100mm、0.15*100*100mm 各10片，PEN膜0.1*100*100mm、0.2*100*100mm、0.3*100*100mm各10片，PDMS膜0.1*100*100mm、0.2*100*100mm、0.3*100*100mm各10片，纸基板100*100mm 30片，光学玻璃基板0.5*100*100mm、0.8*100*100mm、1*100*100mm各10片，硅片基板100*100mm 10片，陶瓷基板100*100mm 10片。</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三、其他要求</w:t>
            </w:r>
            <w:r>
              <w:br/>
            </w:r>
            <w:r>
              <w:rPr>
                <w:rFonts w:ascii="仿宋_GB2312" w:hAnsi="仿宋_GB2312" w:cs="仿宋_GB2312" w:eastAsia="仿宋_GB2312"/>
              </w:rPr>
              <w:t xml:space="preserve"> 包含仪器运输、安装、调试、验收、培训等，验收标准根据企业标准，3年质保；</w:t>
            </w:r>
            <w:r>
              <w:br/>
            </w:r>
            <w:r>
              <w:rPr>
                <w:rFonts w:ascii="仿宋_GB2312" w:hAnsi="仿宋_GB2312" w:cs="仿宋_GB2312" w:eastAsia="仿宋_GB2312"/>
              </w:rPr>
              <w:t xml:space="preserve"> 1.质保期内，若设备发生故障，中标人需调查故障原因并免费修复直至满足设备性能的要求，或者更换整机或部分有缺陷的组件；</w:t>
            </w:r>
            <w:r>
              <w:br/>
            </w:r>
            <w:r>
              <w:rPr>
                <w:rFonts w:ascii="仿宋_GB2312" w:hAnsi="仿宋_GB2312" w:cs="仿宋_GB2312" w:eastAsia="仿宋_GB2312"/>
              </w:rPr>
              <w:t xml:space="preserve"> 2.中标人应对由于设计、工艺或材料的缺陷而发生的任何不足和故障负责任；</w:t>
            </w:r>
            <w:r>
              <w:br/>
            </w:r>
            <w:r>
              <w:rPr>
                <w:rFonts w:ascii="仿宋_GB2312" w:hAnsi="仿宋_GB2312" w:cs="仿宋_GB2312" w:eastAsia="仿宋_GB2312"/>
              </w:rPr>
              <w:t xml:space="preserve"> 3.提供7×24小时售后服务热线；质保期内接到采购人故障信息后要求24小时内响应，3个工作日排除故障；</w:t>
            </w:r>
            <w:r>
              <w:br/>
            </w:r>
            <w:r>
              <w:rPr>
                <w:rFonts w:ascii="仿宋_GB2312" w:hAnsi="仿宋_GB2312" w:cs="仿宋_GB2312" w:eastAsia="仿宋_GB2312"/>
              </w:rPr>
              <w:t xml:space="preserve"> 4.质保期满后，中标人终身提供技术支持和维修服务，由此发生的相关服务和备品备件费用需按内部优惠价格。</w:t>
            </w:r>
            <w:r>
              <w:br/>
            </w:r>
            <w:r>
              <w:rPr>
                <w:rFonts w:ascii="仿宋_GB2312" w:hAnsi="仿宋_GB2312" w:cs="仿宋_GB2312" w:eastAsia="仿宋_GB2312"/>
              </w:rPr>
              <w:t xml:space="preserve"> 5.保修期内正常使用发生故障免费维修，超出保修期需要换件按成本收取硬件费用。在保修期内往返运费由厂家支付。交货后，根据客户时间要求提供现场安装，调试服务，直至设备正常运行。以现场支持、电话方式，对客户使用过程中软件操作，软件编程，硬件安装、操作等问题进行一周7天每天24小时的技术支持。按照甲方需要提供3次现场软件、硬件安装操作，硬件的使用、维护、维修培训。提供3次线上培训。</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标的名称：柔性混合电子3D打印机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柔性混合电子3D打印机：1套</w:t>
            </w:r>
          </w:p>
          <w:p>
            <w:pPr>
              <w:pStyle w:val="null3"/>
            </w:pPr>
            <w:r>
              <w:rPr>
                <w:rFonts w:ascii="仿宋_GB2312" w:hAnsi="仿宋_GB2312" w:cs="仿宋_GB2312" w:eastAsia="仿宋_GB2312"/>
              </w:rPr>
              <w:t>一、技术标准</w:t>
            </w:r>
            <w:r>
              <w:br/>
            </w:r>
            <w:r>
              <w:rPr>
                <w:rFonts w:ascii="仿宋_GB2312" w:hAnsi="仿宋_GB2312" w:cs="仿宋_GB2312" w:eastAsia="仿宋_GB2312"/>
              </w:rPr>
              <w:t xml:space="preserve"> ▲1.成形尺寸：≥200mm×200mm；</w:t>
            </w:r>
            <w:r>
              <w:br/>
            </w:r>
            <w:r>
              <w:rPr>
                <w:rFonts w:ascii="仿宋_GB2312" w:hAnsi="仿宋_GB2312" w:cs="仿宋_GB2312" w:eastAsia="仿宋_GB2312"/>
              </w:rPr>
              <w:t xml:space="preserve"> ▲2.最高打印速度：≥500 mm/s；最小特征尺寸：≤线宽1µm ；</w:t>
            </w:r>
            <w:r>
              <w:br/>
            </w:r>
            <w:r>
              <w:rPr>
                <w:rFonts w:ascii="仿宋_GB2312" w:hAnsi="仿宋_GB2312" w:cs="仿宋_GB2312" w:eastAsia="仿宋_GB2312"/>
              </w:rPr>
              <w:t xml:space="preserve"> ▲3.喷嘴电压：DC：0~5 kV（可调）；打印喷头数量：≧3；打印喷嘴尺寸（类型）：覆盖60 µm - 300 µm（不锈钢金属材质）、2 µm – 60 µm（石英玻璃材质）；打印喷头最高加热温度：≥400℃；</w:t>
            </w:r>
            <w:r>
              <w:br/>
            </w:r>
            <w:r>
              <w:rPr>
                <w:rFonts w:ascii="仿宋_GB2312" w:hAnsi="仿宋_GB2312" w:cs="仿宋_GB2312" w:eastAsia="仿宋_GB2312"/>
              </w:rPr>
              <w:t xml:space="preserve"> ▲4.打印模式：包括微挤出、脉冲锥射流（微滴）、连续锥射流（微细线）、双螺杆混合-单螺杆挤出四种；</w:t>
            </w:r>
            <w:r>
              <w:br/>
            </w:r>
            <w:r>
              <w:rPr>
                <w:rFonts w:ascii="仿宋_GB2312" w:hAnsi="仿宋_GB2312" w:cs="仿宋_GB2312" w:eastAsia="仿宋_GB2312"/>
              </w:rPr>
              <w:t xml:space="preserve"> ▲5.打印材料粘度适应范围：20~60000 mPa·s（溶液、墨水、浆料、熔体、胶体等）（常温下）；打印材料种类：包括微纳米银浆、纳米银线、纳米材料、复合材料、热塑性聚合物、生物材料等；</w:t>
            </w:r>
            <w:r>
              <w:br/>
            </w:r>
            <w:r>
              <w:rPr>
                <w:rFonts w:ascii="仿宋_GB2312" w:hAnsi="仿宋_GB2312" w:cs="仿宋_GB2312" w:eastAsia="仿宋_GB2312"/>
              </w:rPr>
              <w:t xml:space="preserve"> ▲6.视觉监测和定位模块：打印过程监测（高速CCD）、激光测距仪；侧视监控模块：分辨率≥2448×2048，镜头放大倍数≧4，视野范围≥1.77×2.1mm，精度≤0.72um;竖直监测模块：分辨率≥2448×2048，镜头放大倍数≥1.5，视野范围≥5.63×4.71mm，精度≤2.3um；激光测距仪：</w:t>
            </w:r>
            <w:r>
              <w:br/>
            </w:r>
            <w:r>
              <w:rPr>
                <w:rFonts w:ascii="仿宋_GB2312" w:hAnsi="仿宋_GB2312" w:cs="仿宋_GB2312" w:eastAsia="仿宋_GB2312"/>
              </w:rPr>
              <w:t xml:space="preserve"> 测量范围：≥±1.3mm，直线性：≤±0.36μm，分辨率：≤0.25μm，光斑直径：≤ø25μm；</w:t>
            </w:r>
            <w:r>
              <w:br/>
            </w:r>
            <w:r>
              <w:rPr>
                <w:rFonts w:ascii="仿宋_GB2312" w:hAnsi="仿宋_GB2312" w:cs="仿宋_GB2312" w:eastAsia="仿宋_GB2312"/>
              </w:rPr>
              <w:t xml:space="preserve"> ▲7.运动模块：行程200 mm~400 mm；重复定位精度 ± 1 µm；</w:t>
            </w:r>
            <w:r>
              <w:br/>
            </w:r>
            <w:r>
              <w:rPr>
                <w:rFonts w:ascii="仿宋_GB2312" w:hAnsi="仿宋_GB2312" w:cs="仿宋_GB2312" w:eastAsia="仿宋_GB2312"/>
              </w:rPr>
              <w:t xml:space="preserve"> 8.打印基板种类：玻璃、硅片、陶瓷、PET、PDMS、Ecoflex、PEN、PI、纸等；</w:t>
            </w:r>
            <w:r>
              <w:br/>
            </w:r>
            <w:r>
              <w:rPr>
                <w:rFonts w:ascii="仿宋_GB2312" w:hAnsi="仿宋_GB2312" w:cs="仿宋_GB2312" w:eastAsia="仿宋_GB2312"/>
              </w:rPr>
              <w:t xml:space="preserve"> 9.打印平台：000级大理石平台；</w:t>
            </w:r>
            <w:r>
              <w:br/>
            </w:r>
            <w:r>
              <w:rPr>
                <w:rFonts w:ascii="仿宋_GB2312" w:hAnsi="仿宋_GB2312" w:cs="仿宋_GB2312" w:eastAsia="仿宋_GB2312"/>
              </w:rPr>
              <w:t xml:space="preserve"> 10.背压：包括气压、螺杆两种。气压调压范围：0~600kPa，灵敏度：≤0.2%，重复精度≤±0.5%；螺杆流量范围：0.2~2.4ml/min，每转流量：≤0.02ml/rev，出料耐压：≤20Bar。</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二、配置要求</w:t>
            </w:r>
            <w:r>
              <w:br/>
            </w:r>
            <w:r>
              <w:rPr>
                <w:rFonts w:ascii="仿宋_GB2312" w:hAnsi="仿宋_GB2312" w:cs="仿宋_GB2312" w:eastAsia="仿宋_GB2312"/>
              </w:rPr>
              <w:t xml:space="preserve"> 1.开源前处理分层软件一套；</w:t>
            </w:r>
            <w:r>
              <w:br/>
            </w:r>
            <w:r>
              <w:rPr>
                <w:rFonts w:ascii="仿宋_GB2312" w:hAnsi="仿宋_GB2312" w:cs="仿宋_GB2312" w:eastAsia="仿宋_GB2312"/>
              </w:rPr>
              <w:t xml:space="preserve"> 2. 提供石英玻璃材质2μm、10μm、20μm、30μm、40μm、50μm、60μm喷嘴各30个，不锈钢金属材质60μm、100μm、200μm、300μm喷嘴各10个；（接受定制）</w:t>
            </w:r>
            <w:r>
              <w:br/>
            </w:r>
            <w:r>
              <w:rPr>
                <w:rFonts w:ascii="仿宋_GB2312" w:hAnsi="仿宋_GB2312" w:cs="仿宋_GB2312" w:eastAsia="仿宋_GB2312"/>
              </w:rPr>
              <w:t xml:space="preserve"> 3. 配备喷嘴转接头或喷头模块10个，料筒50个，陶瓷加热环5个；</w:t>
            </w:r>
            <w:r>
              <w:br/>
            </w:r>
            <w:r>
              <w:rPr>
                <w:rFonts w:ascii="仿宋_GB2312" w:hAnsi="仿宋_GB2312" w:cs="仿宋_GB2312" w:eastAsia="仿宋_GB2312"/>
              </w:rPr>
              <w:t xml:space="preserve"> 4. 提供适用于本设备打印的纳米导电银浆（400C）250g，液态金属（镓铟合金）100g, PI光敏溶液250g, PDMS 2kg,光敏树脂2kg，纳米银线50g，纳米导电铜浆（Cu-200N）250g, 石墨烯粉末250g，碳纳米管粉末（纯度99.5%）50g，PLLA 250g, PLGA 250g, PCL 250g；</w:t>
            </w:r>
            <w:r>
              <w:br/>
            </w:r>
            <w:r>
              <w:rPr>
                <w:rFonts w:ascii="仿宋_GB2312" w:hAnsi="仿宋_GB2312" w:cs="仿宋_GB2312" w:eastAsia="仿宋_GB2312"/>
              </w:rPr>
              <w:t xml:space="preserve"> 5.提供适用于本设备打印基板的PET膜0.1*100*100mm、0.2*100*100mm、0.3*100*100mm各10片，PI膜0.1*100*100mm、0.15*100*100mm 各10片，PEN膜0.1*100*100mm、0.2*100*100mm、0.3*100*100mm各10片，PDMS膜0.1*100*100mm、0.2*100*100mm、0.3*100*100mm各10片，Ecoflex膜0.1*100*100mm、0.2*100*100mm、0.3*100*100mm各10片，纸基板100*100mm 30片，光学玻璃基板0.5*100*100mm、0.8*100*100mm、1*100*100mm各10片，硅片基板100*100mm 10片，陶瓷基板100*100mm 10片。</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三、其他要求</w:t>
            </w:r>
            <w:r>
              <w:br/>
            </w:r>
            <w:r>
              <w:rPr>
                <w:rFonts w:ascii="仿宋_GB2312" w:hAnsi="仿宋_GB2312" w:cs="仿宋_GB2312" w:eastAsia="仿宋_GB2312"/>
              </w:rPr>
              <w:t xml:space="preserve"> 包含仪器运输、安装、调试、验收、培训等，验收标准根据企业标准，3年质保；</w:t>
            </w:r>
            <w:r>
              <w:br/>
            </w:r>
            <w:r>
              <w:rPr>
                <w:rFonts w:ascii="仿宋_GB2312" w:hAnsi="仿宋_GB2312" w:cs="仿宋_GB2312" w:eastAsia="仿宋_GB2312"/>
              </w:rPr>
              <w:t xml:space="preserve"> 1.质保期内，若设备发生故障，中标人需调查故障原因并修复直至满足设备性能的要求，或者更换整机或部分有缺陷的组件；</w:t>
            </w:r>
            <w:r>
              <w:br/>
            </w:r>
            <w:r>
              <w:rPr>
                <w:rFonts w:ascii="仿宋_GB2312" w:hAnsi="仿宋_GB2312" w:cs="仿宋_GB2312" w:eastAsia="仿宋_GB2312"/>
              </w:rPr>
              <w:t xml:space="preserve"> 2.中标人应对由于设计、工艺或材料的缺陷而发生的任何不足和故障负责任；</w:t>
            </w:r>
            <w:r>
              <w:br/>
            </w:r>
            <w:r>
              <w:rPr>
                <w:rFonts w:ascii="仿宋_GB2312" w:hAnsi="仿宋_GB2312" w:cs="仿宋_GB2312" w:eastAsia="仿宋_GB2312"/>
              </w:rPr>
              <w:t xml:space="preserve"> 3.提供7×24小时售后服务热线；质保期内接到采购人故障信息后要求24小时内响应，3个工作日排除故障；</w:t>
            </w:r>
            <w:r>
              <w:br/>
            </w:r>
            <w:r>
              <w:rPr>
                <w:rFonts w:ascii="仿宋_GB2312" w:hAnsi="仿宋_GB2312" w:cs="仿宋_GB2312" w:eastAsia="仿宋_GB2312"/>
              </w:rPr>
              <w:t xml:space="preserve"> 4.质保期满后，中标人终身提供技术支持和维修服务，由此发生的相关服务和备品备件费用需按内部优惠价格。</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交货期：合同签订之日起90日历天内到货、安装调试、运行并交付使用。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交货期：合同签订之日起90日历天内到货、安装调试、运行并交付使用。</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交货期：合同签订之日起90日历天内到货、安装调试、运行并交付使用。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西安工程大学临潼校区7号楼机电学院</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西安工程大学临潼校区7号楼机电学院</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西安工程大学临潼校区7号楼机电学院</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中标人向采购人提供预付款等额的银行、保险公司等金融机构出具的预付款保函或其他担保措施，采购人向中标人支付合同总价的40%作为预付款，达到付款条件起22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待所有设备到达采购人指定地点，安装、调试、运行并经验收合格后，30天内支付合同总价的60%。采购人向中标人付款前，中标人应向采购人开具符合采购人要求的增值税专用发票，若因中标人未开具或逾期开具合法有效的增值税专用发票，采购人有权顺延付款期限且不承担逾期付款责任，达到付款条件起22个工作日内，支付合同总金额的60.0%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中标人向采购人提供预付款等额的银行、保险公司等金融机构出具的预付款保函或其他担保措施，采购人向中标人支付合同总价的40%作为预付款，达到付款条件起22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待所有设备到达采购人指定地点，安装、调试、运行并经验收合格后，30天内支付合同总价的60%。采购人向中标人付款前，中标人应向采购人开具符合采购人要求的增值税专用发票，若因中标人未开具或逾期开具合法有效的增值税专用发票，采购人有权顺延付款期限且不承担逾期付款责任，达到付款条件起22个工作日内，支付合同总金额的60.0%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中标人向采购人提供预付款等额的银行、保险公司等金融机构出具的预付款保函或其他担保措施，采购人向中标人支付合同总价的40%作为预付款，达到付款条件起22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待所有设备到达采购人指定地点，安装、调试、运行并经验收合格后，30天内支付合同总价的60%。采购人向中标人付款前，中标人应向采购人开具符合采购人要求的增值税专用发票，若因中标人未开具或逾期开具合法有效的增值税专用发票，采购人有权顺延付款期限且不承担逾期付款责任，达到付款条件起22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项目质保期：验收合格通过之日起3年。 售后服务响应时间（质保期内）：售后服务响应不得超出24小时，制定解决方案，3个工作日内派人到现场维修。其他售后要求：投标人对所提供的货物在质保期内，因产品质量而导致的缺陷，必须免费提供包修、包换、包退服务。</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项目质保期：验收合格通过之日起3年。 售后服务响应时间（质保期内）：售后服务响应不得超出24小时，制定解决方案，3个工作日内派人到现场维修。其他售后要求：投标人对所提供的货物在质保期内，因产品质量而导致的缺陷，必须免费提供包修、包换、包退服务。</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项目质保期：验收合格通过之日起3年。 售后服务响应时间（质保期内）：售后服务响应不得超出24小时，制定解决方案，3个工作日内派人到现场维修。其他售后要求：投标人对所提供的货物在质保期内，因产品质量而导致的缺陷，必须免费提供包修、包换、包退服务。</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按招标文件、投标文件及合同约定执行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1、本项目落实的政府采购政策： （1）《政府采购促进中小企业发展管理办法》的通知--财库〔2020〕46号 （2）财政部司法部关于政府采购支持监狱企业发展有关问题的通知--财库[2014]68号 （3）《财政部 发展改革委 生态环境部 市场监管总局关于调整优化节能产品 环境标志产品政府采购执行机制的通知》（财库〔2019〕9号） （4）《关于促进残疾人就业政府采购政策的通知》（财库[2017]141号） （5）《陕西省财政厅关于加快推进我省中小企业政府采购信用融资工作的通知》（陕财办采〔2020〕15 号） （6）《陕西省中小企业政府采购信用融资办法》陕财办采〔2018〕23号 （7）《关于运用政府采购政策支持乡村产业振兴的通知》（财库〔2021〕19 号） （8）《关于进一步加大政府采购支持中小企业力度的通知》（财库〔2022〕19号） （9）《陕西省财政厅关于进一步落实政府采购支持中小企业相关政策的通知》（陕财办采〔2023〕3号） （10）《国务院办公厅关于在政府采购中实施本国产品标准及相关政策的通知》（国办发〔2025〕34号） （11）《关于推动解决政府采购异常低价问题的通知》（财库〔2026〕2号） （12）若享受以上政策优惠的企业，提供相应声明函或品目范围内产品有效认证证书。如有最新颁布的政府采购政策，按最新的文件执行。 2、保证金的退还：自中标通知书发出之日起5个工作日内退还未中标人的投标保证金,自采购合同签订之日起5个工作日内退还中标人的投标保证金。合同签订后，中标人需将合同扫描件发送至指定联系人邮箱，邮箱地址为499094051@qq.com，并以邮件接收时间为退付的基准时间。 3、招标文件中所有的商务要求均为实质性要求，投标人必须响应并满足。 4、为顺利推进政府采购电子化交易平台应用工作，投标人需要在线提交所有通过电子化交易平台实施的政府采购项目的投标文件，同时，线下提交纸质投标文件正本壹份、副本壹份。 纸质投标文件正、副本分别胶装，标明投标人名称密封递交，递交截止时间同在线递交投标电子文件截止时间一致，递交地址：西安市雁展路1111号莱安中心T6-15层。（纸质投标文件可邮寄（顺丰速运），邮件签收时间应在递交电子投标文件截止时间之前，邮寄地址：西安市雁展路1111号莱安中心T6-15层，联系人：谢婷婷、李瑞洁，联系电话：029-81206622/81206633-832）。若电子投标文件与纸质投标文件不一致的，以电子投标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财务会计报告（包括审计报告、资产负债表、利润表、现金流量表、所有者权益变动表及其附注，成立时间至提交投标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提供2025年1月至今任意一个月的依法缴纳税收的相关凭据（时间以税款所属日期为准），凭据应有税务机关或代收机关的公章或业务专用章。依法免税或无须缴纳税收的投标人，应提供相应证明文件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法定代表人授权书及被授权人身份证复印件。（法定代表人直接投标只须提交其身份证明书）</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提供中小企业声明函。（本项目为专门面向中、小、微型企业采购项目）</w:t>
            </w:r>
          </w:p>
        </w:tc>
        <w:tc>
          <w:tcPr>
            <w:tcW w:type="dxa" w:w="1661"/>
          </w:tcPr>
          <w:p>
            <w:pPr>
              <w:pStyle w:val="null3"/>
            </w:pPr>
            <w:r>
              <w:rPr>
                <w:rFonts w:ascii="仿宋_GB2312" w:hAnsi="仿宋_GB2312" w:cs="仿宋_GB2312" w:eastAsia="仿宋_GB2312"/>
              </w:rPr>
              <w:t>投标人资格条件证明文件.docx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财务会计报告（包括审计报告、资产负债表、利润表、现金流量表、所有者权益变动表及其附注，成立时间至提交投标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提供2025年1月至今任意一个月的依法缴纳税收的相关凭据（时间以税款所属日期为准），凭据应有税务机关或代收机关的公章或业务专用章。依法免税或无须缴纳税收的投标人，应提供相应证明文件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法定代表人授权书及被授权人身份证复印件。（法定代表人直接投标只须提交其身份证明书）</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提供中小企业声明函。（本项目为专门面向中、小、微型企业采购项目）</w:t>
            </w:r>
          </w:p>
        </w:tc>
        <w:tc>
          <w:tcPr>
            <w:tcW w:type="dxa" w:w="1661"/>
          </w:tcPr>
          <w:p>
            <w:pPr>
              <w:pStyle w:val="null3"/>
            </w:pPr>
            <w:r>
              <w:rPr>
                <w:rFonts w:ascii="仿宋_GB2312" w:hAnsi="仿宋_GB2312" w:cs="仿宋_GB2312" w:eastAsia="仿宋_GB2312"/>
              </w:rPr>
              <w:t>投标人资格条件证明文件.docx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财务会计报告（包括审计报告、资产负债表、利润表、现金流量表、所有者权益变动表及其附注，成立时间至提交投标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提供2025年1月至今任意一个月的依法缴纳税收的相关凭据（时间以税款所属日期为准），凭据应有税务机关或代收机关的公章或业务专用章。依法免税或无须缴纳税收的投标人，应提供相应证明文件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法定代表人授权书及被授权人身份证复印件。（法定代表人直接投标只须提交其身份证明书）</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提供中小企业声明函。（本项目为专门面向中、小、微型企业采购项目）</w:t>
            </w:r>
          </w:p>
        </w:tc>
        <w:tc>
          <w:tcPr>
            <w:tcW w:type="dxa" w:w="1661"/>
          </w:tcPr>
          <w:p>
            <w:pPr>
              <w:pStyle w:val="null3"/>
            </w:pPr>
            <w:r>
              <w:rPr>
                <w:rFonts w:ascii="仿宋_GB2312" w:hAnsi="仿宋_GB2312" w:cs="仿宋_GB2312" w:eastAsia="仿宋_GB2312"/>
              </w:rPr>
              <w:t>投标人资格条件证明文件.docx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投标人资格条件证明文件.docx 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投标人资格条件证明文件.docx 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投标人资格条件证明文件.docx 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分项报价表（货物）.docx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投标人名称与营业执照一致</w:t>
            </w:r>
          </w:p>
        </w:tc>
        <w:tc>
          <w:tcPr>
            <w:tcW w:type="dxa" w:w="3322"/>
          </w:tcPr>
          <w:p>
            <w:pPr>
              <w:pStyle w:val="null3"/>
            </w:pPr>
            <w:r>
              <w:rPr>
                <w:rFonts w:ascii="仿宋_GB2312" w:hAnsi="仿宋_GB2312" w:cs="仿宋_GB2312" w:eastAsia="仿宋_GB2312"/>
              </w:rPr>
              <w:t>投标人名称与营业执照一致</w:t>
            </w:r>
          </w:p>
        </w:tc>
        <w:tc>
          <w:tcPr>
            <w:tcW w:type="dxa" w:w="1661"/>
          </w:tcPr>
          <w:p>
            <w:pPr>
              <w:pStyle w:val="null3"/>
            </w:pPr>
            <w:r>
              <w:rPr>
                <w:rFonts w:ascii="仿宋_GB2312" w:hAnsi="仿宋_GB2312" w:cs="仿宋_GB2312" w:eastAsia="仿宋_GB2312"/>
              </w:rPr>
              <w:t>投标人资格条件证明文件.docx 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投标报价是否超过采购预算或者最高限价</w:t>
            </w:r>
          </w:p>
        </w:tc>
        <w:tc>
          <w:tcPr>
            <w:tcW w:type="dxa" w:w="3322"/>
          </w:tcPr>
          <w:p>
            <w:pPr>
              <w:pStyle w:val="null3"/>
            </w:pPr>
            <w:r>
              <w:rPr>
                <w:rFonts w:ascii="仿宋_GB2312" w:hAnsi="仿宋_GB2312" w:cs="仿宋_GB2312" w:eastAsia="仿宋_GB2312"/>
              </w:rPr>
              <w:t>投标报价未超过采购预算或最高限价</w:t>
            </w:r>
          </w:p>
        </w:tc>
        <w:tc>
          <w:tcPr>
            <w:tcW w:type="dxa" w:w="1661"/>
          </w:tcPr>
          <w:p>
            <w:pPr>
              <w:pStyle w:val="null3"/>
            </w:pPr>
            <w:r>
              <w:rPr>
                <w:rFonts w:ascii="仿宋_GB2312" w:hAnsi="仿宋_GB2312" w:cs="仿宋_GB2312" w:eastAsia="仿宋_GB2312"/>
              </w:rPr>
              <w:t>开标一览表 标的清单 分项报价表（货物）.docx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标的数量满足招标要求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投标文件按招标文件要求的数量、计量单位、报价货币及签字盖章</w:t>
            </w:r>
          </w:p>
        </w:tc>
        <w:tc>
          <w:tcPr>
            <w:tcW w:type="dxa" w:w="3322"/>
          </w:tcPr>
          <w:p>
            <w:pPr>
              <w:pStyle w:val="null3"/>
            </w:pPr>
            <w:r>
              <w:rPr>
                <w:rFonts w:ascii="仿宋_GB2312" w:hAnsi="仿宋_GB2312" w:cs="仿宋_GB2312" w:eastAsia="仿宋_GB2312"/>
              </w:rPr>
              <w:t>投标文件按招标文件要求的数量、计量单位、报价货币及签字盖章</w:t>
            </w:r>
          </w:p>
        </w:tc>
        <w:tc>
          <w:tcPr>
            <w:tcW w:type="dxa" w:w="1661"/>
          </w:tcPr>
          <w:p>
            <w:pPr>
              <w:pStyle w:val="null3"/>
            </w:pPr>
            <w:r>
              <w:rPr>
                <w:rFonts w:ascii="仿宋_GB2312" w:hAnsi="仿宋_GB2312" w:cs="仿宋_GB2312" w:eastAsia="仿宋_GB2312"/>
              </w:rPr>
              <w:t>开标一览表 投标人资格条件证明文件.docx 投标函 标的清单 分项报价表（货物）.docx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商务要求实质性响应</w:t>
            </w:r>
          </w:p>
        </w:tc>
        <w:tc>
          <w:tcPr>
            <w:tcW w:type="dxa" w:w="3322"/>
          </w:tcPr>
          <w:p>
            <w:pPr>
              <w:pStyle w:val="null3"/>
            </w:pPr>
            <w:r>
              <w:rPr>
                <w:rFonts w:ascii="仿宋_GB2312" w:hAnsi="仿宋_GB2312" w:cs="仿宋_GB2312" w:eastAsia="仿宋_GB2312"/>
              </w:rPr>
              <w:t>投标文件的交货期、交货地点、质保期、付款方式、合同等商务内容符合招标文件要求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投标文件未含有采购人不能接受的附加条件的</w:t>
            </w:r>
          </w:p>
        </w:tc>
        <w:tc>
          <w:tcPr>
            <w:tcW w:type="dxa" w:w="1661"/>
          </w:tcPr>
          <w:p>
            <w:pPr>
              <w:pStyle w:val="null3"/>
            </w:pPr>
            <w:r>
              <w:rPr>
                <w:rFonts w:ascii="仿宋_GB2312" w:hAnsi="仿宋_GB2312" w:cs="仿宋_GB2312" w:eastAsia="仿宋_GB2312"/>
              </w:rPr>
              <w:t>产品技术参数表 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符合法律、法规和采购文件中规定的其他实质性要求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商务应答表 其他说明.docx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分项报价表（货物）.docx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投标人名称与营业执照一致</w:t>
            </w:r>
          </w:p>
        </w:tc>
        <w:tc>
          <w:tcPr>
            <w:tcW w:type="dxa" w:w="3322"/>
          </w:tcPr>
          <w:p>
            <w:pPr>
              <w:pStyle w:val="null3"/>
            </w:pPr>
            <w:r>
              <w:rPr>
                <w:rFonts w:ascii="仿宋_GB2312" w:hAnsi="仿宋_GB2312" w:cs="仿宋_GB2312" w:eastAsia="仿宋_GB2312"/>
              </w:rPr>
              <w:t>投标人名称与营业执照一致</w:t>
            </w:r>
          </w:p>
        </w:tc>
        <w:tc>
          <w:tcPr>
            <w:tcW w:type="dxa" w:w="1661"/>
          </w:tcPr>
          <w:p>
            <w:pPr>
              <w:pStyle w:val="null3"/>
            </w:pPr>
            <w:r>
              <w:rPr>
                <w:rFonts w:ascii="仿宋_GB2312" w:hAnsi="仿宋_GB2312" w:cs="仿宋_GB2312" w:eastAsia="仿宋_GB2312"/>
              </w:rPr>
              <w:t>投标人资格条件证明文件.docx 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投标报价是否超过采购预算或者最高限价</w:t>
            </w:r>
          </w:p>
        </w:tc>
        <w:tc>
          <w:tcPr>
            <w:tcW w:type="dxa" w:w="3322"/>
          </w:tcPr>
          <w:p>
            <w:pPr>
              <w:pStyle w:val="null3"/>
            </w:pPr>
            <w:r>
              <w:rPr>
                <w:rFonts w:ascii="仿宋_GB2312" w:hAnsi="仿宋_GB2312" w:cs="仿宋_GB2312" w:eastAsia="仿宋_GB2312"/>
              </w:rPr>
              <w:t>投标报价未超过采购预算或最高限价</w:t>
            </w:r>
          </w:p>
        </w:tc>
        <w:tc>
          <w:tcPr>
            <w:tcW w:type="dxa" w:w="1661"/>
          </w:tcPr>
          <w:p>
            <w:pPr>
              <w:pStyle w:val="null3"/>
            </w:pPr>
            <w:r>
              <w:rPr>
                <w:rFonts w:ascii="仿宋_GB2312" w:hAnsi="仿宋_GB2312" w:cs="仿宋_GB2312" w:eastAsia="仿宋_GB2312"/>
              </w:rPr>
              <w:t>开标一览表 标的清单 分项报价表（货物）.docx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标的数量满足招标要求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投标文件按招标文件要求的数量、计量单位、报价货币及签字盖章</w:t>
            </w:r>
          </w:p>
        </w:tc>
        <w:tc>
          <w:tcPr>
            <w:tcW w:type="dxa" w:w="3322"/>
          </w:tcPr>
          <w:p>
            <w:pPr>
              <w:pStyle w:val="null3"/>
            </w:pPr>
            <w:r>
              <w:rPr>
                <w:rFonts w:ascii="仿宋_GB2312" w:hAnsi="仿宋_GB2312" w:cs="仿宋_GB2312" w:eastAsia="仿宋_GB2312"/>
              </w:rPr>
              <w:t>投标文件按招标文件要求的数量、计量单位、报价货币及签字盖章</w:t>
            </w:r>
          </w:p>
        </w:tc>
        <w:tc>
          <w:tcPr>
            <w:tcW w:type="dxa" w:w="1661"/>
          </w:tcPr>
          <w:p>
            <w:pPr>
              <w:pStyle w:val="null3"/>
            </w:pPr>
            <w:r>
              <w:rPr>
                <w:rFonts w:ascii="仿宋_GB2312" w:hAnsi="仿宋_GB2312" w:cs="仿宋_GB2312" w:eastAsia="仿宋_GB2312"/>
              </w:rPr>
              <w:t>开标一览表 投标人资格条件证明文件.docx 投标函 标的清单 分项报价表（货物）.docx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商务要求实质性响应</w:t>
            </w:r>
          </w:p>
        </w:tc>
        <w:tc>
          <w:tcPr>
            <w:tcW w:type="dxa" w:w="3322"/>
          </w:tcPr>
          <w:p>
            <w:pPr>
              <w:pStyle w:val="null3"/>
            </w:pPr>
            <w:r>
              <w:rPr>
                <w:rFonts w:ascii="仿宋_GB2312" w:hAnsi="仿宋_GB2312" w:cs="仿宋_GB2312" w:eastAsia="仿宋_GB2312"/>
              </w:rPr>
              <w:t>投标文件的交货期、交货地点、质保期、付款方式、合同等商务内容符合招标文件要求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投标文件未含有采购人不能接受的附加条件的</w:t>
            </w:r>
          </w:p>
        </w:tc>
        <w:tc>
          <w:tcPr>
            <w:tcW w:type="dxa" w:w="1661"/>
          </w:tcPr>
          <w:p>
            <w:pPr>
              <w:pStyle w:val="null3"/>
            </w:pPr>
            <w:r>
              <w:rPr>
                <w:rFonts w:ascii="仿宋_GB2312" w:hAnsi="仿宋_GB2312" w:cs="仿宋_GB2312" w:eastAsia="仿宋_GB2312"/>
              </w:rPr>
              <w:t>产品技术参数表 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符合法律、法规和采购文件中规定的其他实质性要求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商务应答表 其他说明.docx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分项报价表（货物）.docx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投标人名称与营业执照一致</w:t>
            </w:r>
          </w:p>
        </w:tc>
        <w:tc>
          <w:tcPr>
            <w:tcW w:type="dxa" w:w="3322"/>
          </w:tcPr>
          <w:p>
            <w:pPr>
              <w:pStyle w:val="null3"/>
            </w:pPr>
            <w:r>
              <w:rPr>
                <w:rFonts w:ascii="仿宋_GB2312" w:hAnsi="仿宋_GB2312" w:cs="仿宋_GB2312" w:eastAsia="仿宋_GB2312"/>
              </w:rPr>
              <w:t>投标人名称与营业执照一致</w:t>
            </w:r>
          </w:p>
        </w:tc>
        <w:tc>
          <w:tcPr>
            <w:tcW w:type="dxa" w:w="1661"/>
          </w:tcPr>
          <w:p>
            <w:pPr>
              <w:pStyle w:val="null3"/>
            </w:pPr>
            <w:r>
              <w:rPr>
                <w:rFonts w:ascii="仿宋_GB2312" w:hAnsi="仿宋_GB2312" w:cs="仿宋_GB2312" w:eastAsia="仿宋_GB2312"/>
              </w:rPr>
              <w:t>投标人资格条件证明文件.docx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投标报价是否超过采购预算或者最高限价</w:t>
            </w:r>
          </w:p>
        </w:tc>
        <w:tc>
          <w:tcPr>
            <w:tcW w:type="dxa" w:w="3322"/>
          </w:tcPr>
          <w:p>
            <w:pPr>
              <w:pStyle w:val="null3"/>
            </w:pPr>
            <w:r>
              <w:rPr>
                <w:rFonts w:ascii="仿宋_GB2312" w:hAnsi="仿宋_GB2312" w:cs="仿宋_GB2312" w:eastAsia="仿宋_GB2312"/>
              </w:rPr>
              <w:t>投标报价未超过采购预算或最高限价</w:t>
            </w:r>
          </w:p>
        </w:tc>
        <w:tc>
          <w:tcPr>
            <w:tcW w:type="dxa" w:w="1661"/>
          </w:tcPr>
          <w:p>
            <w:pPr>
              <w:pStyle w:val="null3"/>
            </w:pPr>
            <w:r>
              <w:rPr>
                <w:rFonts w:ascii="仿宋_GB2312" w:hAnsi="仿宋_GB2312" w:cs="仿宋_GB2312" w:eastAsia="仿宋_GB2312"/>
              </w:rPr>
              <w:t>开标一览表 标的清单 分项报价表（货物）.docx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标的数量满足招标要求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投标文件按招标文件要求的数量、计量单位、报价货币及签字盖章</w:t>
            </w:r>
          </w:p>
        </w:tc>
        <w:tc>
          <w:tcPr>
            <w:tcW w:type="dxa" w:w="3322"/>
          </w:tcPr>
          <w:p>
            <w:pPr>
              <w:pStyle w:val="null3"/>
            </w:pPr>
            <w:r>
              <w:rPr>
                <w:rFonts w:ascii="仿宋_GB2312" w:hAnsi="仿宋_GB2312" w:cs="仿宋_GB2312" w:eastAsia="仿宋_GB2312"/>
              </w:rPr>
              <w:t>投标文件按招标文件要求的数量、计量单位、报价货币及签字盖章</w:t>
            </w:r>
          </w:p>
        </w:tc>
        <w:tc>
          <w:tcPr>
            <w:tcW w:type="dxa" w:w="1661"/>
          </w:tcPr>
          <w:p>
            <w:pPr>
              <w:pStyle w:val="null3"/>
            </w:pPr>
            <w:r>
              <w:rPr>
                <w:rFonts w:ascii="仿宋_GB2312" w:hAnsi="仿宋_GB2312" w:cs="仿宋_GB2312" w:eastAsia="仿宋_GB2312"/>
              </w:rPr>
              <w:t>开标一览表 投标人资格条件证明文件.docx 投标函 标的清单 分项报价表（货物）.docx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商务要求实质性响应</w:t>
            </w:r>
          </w:p>
        </w:tc>
        <w:tc>
          <w:tcPr>
            <w:tcW w:type="dxa" w:w="3322"/>
          </w:tcPr>
          <w:p>
            <w:pPr>
              <w:pStyle w:val="null3"/>
            </w:pPr>
            <w:r>
              <w:rPr>
                <w:rFonts w:ascii="仿宋_GB2312" w:hAnsi="仿宋_GB2312" w:cs="仿宋_GB2312" w:eastAsia="仿宋_GB2312"/>
              </w:rPr>
              <w:t>投标文件的交货期、交货地点、质保期、付款方式、合同等商务内容符合招标文件要求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投标文件未含有采购人不能接受的附加条件的</w:t>
            </w:r>
          </w:p>
        </w:tc>
        <w:tc>
          <w:tcPr>
            <w:tcW w:type="dxa" w:w="1661"/>
          </w:tcPr>
          <w:p>
            <w:pPr>
              <w:pStyle w:val="null3"/>
            </w:pPr>
            <w:r>
              <w:rPr>
                <w:rFonts w:ascii="仿宋_GB2312" w:hAnsi="仿宋_GB2312" w:cs="仿宋_GB2312" w:eastAsia="仿宋_GB2312"/>
              </w:rPr>
              <w:t>产品技术参数表 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符合法律、法规和采购文件中规定的其他实质性要求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商务应答表 其他说明.docx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招标文件要求认真审核投标文件中技术参数响应和提供的佐证材料。投标产品的基本功能、产品技术参数和配置完全满足或优于招标文件要求的，得满分29分；“▲”参数每负偏离一项扣3分（共计7项），未带标识参数每负偏离一项扣1分（共计8项），扣完为止。 备注：标“▲”项参数必须提供佐证材料（不限于产品彩页、检测报告、功能截图等），未提供佐证材料或提供的佐证材料无法证明或低于招标要求时按负偏离处理。</w:t>
            </w:r>
          </w:p>
        </w:tc>
        <w:tc>
          <w:tcPr>
            <w:tcW w:type="dxa" w:w="831"/>
          </w:tcPr>
          <w:p>
            <w:pPr>
              <w:pStyle w:val="null3"/>
              <w:jc w:val="right"/>
            </w:pPr>
            <w:r>
              <w:rPr>
                <w:rFonts w:ascii="仿宋_GB2312" w:hAnsi="仿宋_GB2312" w:cs="仿宋_GB2312" w:eastAsia="仿宋_GB2312"/>
              </w:rPr>
              <w:t>29.0000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1、详细评审---技术参数.docx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针对本项目有具体的实施方案，包括但不限于：①供货组织安排；②实施计划及进度计划；③安装调试方案；④配合验收方案；⑤人员配备方案。以上方案每有一项缺项扣3分，每有一项内容中有缺陷，扣1.5分。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2、详细评审---实施方案.docx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针对本项目提供详细的质量保证措施，包括但不限于：①所投产品制造厂家具备可靠且完善的管理制度，拥有充足的制造工艺、加工及检验能力；②质量保证措施。以上方案每缺一项扣2分；不提供方案不得分。每有1处描述缺陷要求扣1分，扣完为止。 注：缺陷是指：内容粗略不够全面、不够合理、可行性不足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3、详细评审---质量保证.docx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产品进货渠道正规，确保生产供应的产品无假货、水货、翻新货且无产权纠纷，提供响应产品的合法来源渠道证明文件（不限于原厂授权、供货协议等）,完全响应得2分；未提供或提供不全不得分。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4、详细评审---来源渠道.docx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投标人所响应质保期在满足招标文件要求的基础上，每增加1年加1分，最多加2分。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5、详细评审---质保期.docx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该方案包含：①紧急故障处理预案及解决问题能力；②故障维修响应时间；③定期巡检维护方案等；④提供产品备品备件价目表，并承诺质保期后的维修仍然按照备品备件表内价格收取费用。以上方案每有一项缺项扣2分，每有一项内容中有缺陷，扣1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6、详细评审---售后服务.docx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提供投标人2023年1月1日至今同类项目合同（以合同签订日期为准），每提供1个得1分，最高得5分。备注：响应文件中提供合同复印件（包含关键页，双方盖章页）。</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7、详细评审---业绩.docx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在采购人对于技术培训要求的基础上，提供优化后的产品培训方案，保障采购人能更快更顺利的投入使用，包括但不限于：①培训计划，含培训计划表、地点、时间及培训对象人数等；②培训内容，含所提供产品的原理和技术性能、操作维护方法、安装调试、排除故障等。以上方案每有一项缺项扣2分，每有一项内容中有缺陷，扣1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8、详细评审---培训方案.docx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中每有一项为节能产品经国家认证的得0.5分，每有一项为环境标志产品经国家认证的得0.5分，投标人响应产品中每有一项产品同时为节能产品和环境标志产品得1分，最多得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9、详细评审---节能环保.docx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分项报价表（货物）.docx</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价格分统一采用低价优先法计算，即满足招标文件要求且投标价格最低的投标报价为评标基准价，其价格分为满分。其他供应商的价格分统一按照下列公式计算： 投标报价得分=(评标基准价／投标报价)×价格权值，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分项报价表（货物）.docx</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招标文件要求认真审核投标文件中技术参数响应和提供的佐证材料。投标产品的基本功能、产品技术参数和配置完全满足或优于招标文件要求的，得满分28分；“▲”参数每负偏离一项扣3分（共计7项），未带标识参数每负偏离一项扣1分（共计7项），扣完为止。 备注：标“▲”项参数必须提供佐证材料（不限于产品彩页、检测报告、功能截图等），未提供佐证材料或提供的佐证材料无法证明或低于招标要求时按负偏离处理。</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1、详细评审---技术参数.docx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针对本项目有具体的实施方案，包括但不限于：①供货组织安排；②实施计划及进度计划；③安装调试方案；④配合验收方案；⑤人员配备方案。以上方案每有一项缺项扣3分，每有一项内容中有缺陷，扣1.5分。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2、详细评审---实施方案.docx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针对本项目提供详细的质量保证措施，包括但不限于：①所投产品制造厂家具备可靠且完善的管理制度，拥有充足的制造工艺、加工及检验能力；②质量保证措施。以上方案每缺一项扣2分；不提供方案不得分。每有1处描述缺陷要求扣1分，扣完为止。 注：缺陷是指：内容粗略不够全面、不够合理、可行性不足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3、详细评审---质量保证.docx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产品进货渠道正规，确保生产供应的产品无假货、水货、翻新货且无产权纠纷，提供响应产品的合法来源渠道证明文件（不限于原厂授权、供货协议等）,完全响应得2分；未提供或提供不全不得分。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4、详细评审---来源渠道.docx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投标人所响应质保期在满足招标文件要求的基础上，每增加1年加1分，最多加2分。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5、详细评审---质保期.docx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该方案包含：①紧急故障处理预案及解决问题能力；②故障维修响应时间；③定期巡检维护方案等；④提供产品备品备件价目表，并承诺质保期后的维修仍然按照备品备件表内价格收取费用。以上方案每有一项缺项扣2分，每有一项内容中有缺陷，扣1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6、详细评审---售后服务.docx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提供投标人2023年1月1日至今同类项目合同（以合同签订日期为准），每提供1个得1分，最高得6分。备注：投标文件中提供合同复印件（包含关键页，双方盖章页）。</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7、详细评审---业绩.docx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在采购人对于技术培训要求的基础上，提供优化后的产品培训方案，保障采购人能更快更顺利的投入使用，包括但不限于：①培训计划，含培训计划表、地点、时间及培训对象人数等；②培训内容，含所提供产品的原理和技术性能、操作维护方法、安装调试、排除故障等。以上方案每有一项缺项扣2分，每有一项内容中有缺陷，扣1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8、详细评审---培训方案.docx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中每有一项为节能产品经国家认证的得0.5分，每有一项为环境标志产品经国家认证的得0.5分，投标人响应产品中每有一项产品同时为节能产品和环境标志产品得1分，最多得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9、详细评审---节能环保.docx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分项报价表（货物）.docx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价格分统一采用低价优先法计算，即满足招标文件要求且投标价格最低的投标报价为评标基准价，其价格分为满分。其他供应商的价格分统一按照下列公式计算： 投标报价得分=(评标基准价／投标报价)×价格权值，计算分数时四舍五入取小数点后两位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分项报价表（货物）.docx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招标文件要求认真审核投标文件中技术参数响应和提供的佐证材料。投标产品的基本功能、产品技术参数和配置完全满足或优于招标文件要求的，得满分29分；“▲”参数每负偏离一项扣3分（共计7项），未带标识参数每负偏离一项扣1分（共计8项），扣完为止。 备注：标“▲”项参数必须提供佐证材料（不限于产品彩页、检测报告、功能截图等），未提供佐证材料或提供的佐证材料无法证明或低于招标要求时按负偏离处理。</w:t>
            </w:r>
          </w:p>
        </w:tc>
        <w:tc>
          <w:tcPr>
            <w:tcW w:type="dxa" w:w="831"/>
          </w:tcPr>
          <w:p>
            <w:pPr>
              <w:pStyle w:val="null3"/>
              <w:jc w:val="right"/>
            </w:pPr>
            <w:r>
              <w:rPr>
                <w:rFonts w:ascii="仿宋_GB2312" w:hAnsi="仿宋_GB2312" w:cs="仿宋_GB2312" w:eastAsia="仿宋_GB2312"/>
              </w:rPr>
              <w:t>29.0000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1、详细评审---技术参数.docx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针对本项目有具体的实施方案，包括但不限于：①供货组织安排；②实施计划及进度计划；③安装调试方案；④配合验收方案；⑤人员配备方案。以上方案每有一项缺项扣3分，每有一项内容中有缺陷，扣1.5分。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2、详细评审---实施方案.docx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针对本项目提供详细的质量保证措施，包括但不限于：①所投产品制造厂家具备可靠且完善的管理制度，拥有充足的制造工艺、加工及检验能力；②质量保证措施。以上方案每缺一项扣2分；不提供方案不得分。每有1处描述缺陷要求扣1分，扣完为止。 注：缺陷是指：内容粗略不够全面、不够合理、可行性不足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3、详细评审---质量保证.docx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产品进货渠道正规，确保生产供应的产品无假货、水货、翻新货且无产权纠纷，提供响应产品的合法来源渠道证明文件（不限于原厂授权、供货协议等）,完全响应得2分；未提供或提供不全不得分。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4、详细评审---来源渠道.docx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投标人所响应质保期在满足招标文件要求的基础上，每增加1年加1分，最多加2分。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5、详细评审---质保期.docx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该方案包含：①紧急故障处理预案及解决问题能力；②故障维修响应时间；③定期巡检维护方案等；④提供产品备品备件价目表，并承诺质保期后的维修仍然按照备品备件表内价格收取费用。以上方案每有一项缺项扣2分，每有一项内容中有缺陷，扣1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6、详细评审---售后服务.docx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提供投标人2023年1月1日至今同类项目合同（以合同签订日期为准），每提供1个得1分，最高得5分。备注：响应文件中提供合同复印件（包含关键页，双方盖章页）。</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7、详细评审---业绩.docx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在采购人对于技术培训要求的基础上，提供优化后的产品培训方案，保障采购人能更快更顺利的投入使用，包括但不限于：①培训计划，含培训计划表、地点、时间及培训对象人数等；②培训内容，含所提供产品的原理和技术性能、操作维护方法、安装调试、排除故障等。以上方案每有一项缺项扣2分，每有一项内容中有缺陷，扣1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8、详细评审---培训方案.docx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中每有一项为节能产品经国家认证的得0.5分，每有一项为环境标志产品经国家认证的得0.5分，投标人响应产品中每有一项产品同时为节能产品和环境标志产品得1分，最多得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9、详细评审---节能环保.docx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分项报价表（货物）.docx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价格分统一采用低价优先法计算，即满足招标文件要求且投标价格最低的投标报价为评标基准价，其价格分为满分。其他供应商的价格分统一按照下列公式计算： 投标报价得分=(评标基准价／投标报价)×价格权值，计算分数时四舍五入取小数点后两位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分项报价表（货物）.docx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详见附件：分项报价表（货物）.docx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详见附件：投标人资格条件证明文件.docx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详见附件：其他说明.docx</w:t>
      </w:r>
    </w:p>
    <w:p>
      <w:pPr>
        <w:pStyle w:val="null3"/>
        <w:ind w:firstLine="960"/>
      </w:pPr>
      <w:r>
        <w:rPr>
          <w:rFonts w:ascii="仿宋_GB2312" w:hAnsi="仿宋_GB2312" w:cs="仿宋_GB2312" w:eastAsia="仿宋_GB2312"/>
        </w:rPr>
        <w:t>详见附件：1、详细评审---技术参数.docx</w:t>
      </w:r>
    </w:p>
    <w:p>
      <w:pPr>
        <w:pStyle w:val="null3"/>
        <w:ind w:firstLine="960"/>
      </w:pPr>
      <w:r>
        <w:rPr>
          <w:rFonts w:ascii="仿宋_GB2312" w:hAnsi="仿宋_GB2312" w:cs="仿宋_GB2312" w:eastAsia="仿宋_GB2312"/>
        </w:rPr>
        <w:t>详见附件：2、详细评审---实施方案.docx</w:t>
      </w:r>
    </w:p>
    <w:p>
      <w:pPr>
        <w:pStyle w:val="null3"/>
        <w:ind w:firstLine="960"/>
      </w:pPr>
      <w:r>
        <w:rPr>
          <w:rFonts w:ascii="仿宋_GB2312" w:hAnsi="仿宋_GB2312" w:cs="仿宋_GB2312" w:eastAsia="仿宋_GB2312"/>
        </w:rPr>
        <w:t>详见附件：3、详细评审---质量保证.docx</w:t>
      </w:r>
    </w:p>
    <w:p>
      <w:pPr>
        <w:pStyle w:val="null3"/>
        <w:ind w:firstLine="960"/>
      </w:pPr>
      <w:r>
        <w:rPr>
          <w:rFonts w:ascii="仿宋_GB2312" w:hAnsi="仿宋_GB2312" w:cs="仿宋_GB2312" w:eastAsia="仿宋_GB2312"/>
        </w:rPr>
        <w:t>详见附件：4、详细评审---来源渠道.docx</w:t>
      </w:r>
    </w:p>
    <w:p>
      <w:pPr>
        <w:pStyle w:val="null3"/>
        <w:ind w:firstLine="960"/>
      </w:pPr>
      <w:r>
        <w:rPr>
          <w:rFonts w:ascii="仿宋_GB2312" w:hAnsi="仿宋_GB2312" w:cs="仿宋_GB2312" w:eastAsia="仿宋_GB2312"/>
        </w:rPr>
        <w:t>详见附件：5、详细评审---质保期.docx</w:t>
      </w:r>
    </w:p>
    <w:p>
      <w:pPr>
        <w:pStyle w:val="null3"/>
        <w:ind w:firstLine="960"/>
      </w:pPr>
      <w:r>
        <w:rPr>
          <w:rFonts w:ascii="仿宋_GB2312" w:hAnsi="仿宋_GB2312" w:cs="仿宋_GB2312" w:eastAsia="仿宋_GB2312"/>
        </w:rPr>
        <w:t>详见附件：6、详细评审---售后服务.docx</w:t>
      </w:r>
    </w:p>
    <w:p>
      <w:pPr>
        <w:pStyle w:val="null3"/>
        <w:ind w:firstLine="960"/>
      </w:pPr>
      <w:r>
        <w:rPr>
          <w:rFonts w:ascii="仿宋_GB2312" w:hAnsi="仿宋_GB2312" w:cs="仿宋_GB2312" w:eastAsia="仿宋_GB2312"/>
        </w:rPr>
        <w:t>详见附件：7、详细评审---业绩.docx</w:t>
      </w:r>
    </w:p>
    <w:p>
      <w:pPr>
        <w:pStyle w:val="null3"/>
        <w:ind w:firstLine="960"/>
      </w:pPr>
      <w:r>
        <w:rPr>
          <w:rFonts w:ascii="仿宋_GB2312" w:hAnsi="仿宋_GB2312" w:cs="仿宋_GB2312" w:eastAsia="仿宋_GB2312"/>
        </w:rPr>
        <w:t>详见附件：8、详细评审---培训方案.docx</w:t>
      </w:r>
    </w:p>
    <w:p>
      <w:pPr>
        <w:pStyle w:val="null3"/>
        <w:ind w:firstLine="960"/>
      </w:pPr>
      <w:r>
        <w:rPr>
          <w:rFonts w:ascii="仿宋_GB2312" w:hAnsi="仿宋_GB2312" w:cs="仿宋_GB2312" w:eastAsia="仿宋_GB2312"/>
        </w:rPr>
        <w:t>详见附件：9、详细评审---节能环保.docx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详见附件：分项报价表（货物）.docx</w:t>
      </w:r>
    </w:p>
    <w:p>
      <w:pPr>
        <w:pStyle w:val="null3"/>
        <w:ind w:firstLine="960"/>
      </w:pPr>
      <w:r>
        <w:rPr>
          <w:rFonts w:ascii="仿宋_GB2312" w:hAnsi="仿宋_GB2312" w:cs="仿宋_GB2312" w:eastAsia="仿宋_GB2312"/>
        </w:rPr>
        <w:t>详见附件：投标人资格条件证明文件.docx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详见附件：其他说明.docx</w:t>
      </w:r>
    </w:p>
    <w:p>
      <w:pPr>
        <w:pStyle w:val="null3"/>
        <w:ind w:firstLine="960"/>
      </w:pPr>
      <w:r>
        <w:rPr>
          <w:rFonts w:ascii="仿宋_GB2312" w:hAnsi="仿宋_GB2312" w:cs="仿宋_GB2312" w:eastAsia="仿宋_GB2312"/>
        </w:rPr>
        <w:t>详见附件：1、详细评审---技术参数.docx</w:t>
      </w:r>
    </w:p>
    <w:p>
      <w:pPr>
        <w:pStyle w:val="null3"/>
        <w:ind w:firstLine="960"/>
      </w:pPr>
      <w:r>
        <w:rPr>
          <w:rFonts w:ascii="仿宋_GB2312" w:hAnsi="仿宋_GB2312" w:cs="仿宋_GB2312" w:eastAsia="仿宋_GB2312"/>
        </w:rPr>
        <w:t>详见附件：2、详细评审---实施方案.docx</w:t>
      </w:r>
    </w:p>
    <w:p>
      <w:pPr>
        <w:pStyle w:val="null3"/>
        <w:ind w:firstLine="960"/>
      </w:pPr>
      <w:r>
        <w:rPr>
          <w:rFonts w:ascii="仿宋_GB2312" w:hAnsi="仿宋_GB2312" w:cs="仿宋_GB2312" w:eastAsia="仿宋_GB2312"/>
        </w:rPr>
        <w:t>详见附件：3、详细评审---质量保证.docx</w:t>
      </w:r>
    </w:p>
    <w:p>
      <w:pPr>
        <w:pStyle w:val="null3"/>
        <w:ind w:firstLine="960"/>
      </w:pPr>
      <w:r>
        <w:rPr>
          <w:rFonts w:ascii="仿宋_GB2312" w:hAnsi="仿宋_GB2312" w:cs="仿宋_GB2312" w:eastAsia="仿宋_GB2312"/>
        </w:rPr>
        <w:t>详见附件：4、详细评审---来源渠道.docx</w:t>
      </w:r>
    </w:p>
    <w:p>
      <w:pPr>
        <w:pStyle w:val="null3"/>
        <w:ind w:firstLine="960"/>
      </w:pPr>
      <w:r>
        <w:rPr>
          <w:rFonts w:ascii="仿宋_GB2312" w:hAnsi="仿宋_GB2312" w:cs="仿宋_GB2312" w:eastAsia="仿宋_GB2312"/>
        </w:rPr>
        <w:t>详见附件：5、详细评审---质保期.docx</w:t>
      </w:r>
    </w:p>
    <w:p>
      <w:pPr>
        <w:pStyle w:val="null3"/>
        <w:ind w:firstLine="960"/>
      </w:pPr>
      <w:r>
        <w:rPr>
          <w:rFonts w:ascii="仿宋_GB2312" w:hAnsi="仿宋_GB2312" w:cs="仿宋_GB2312" w:eastAsia="仿宋_GB2312"/>
        </w:rPr>
        <w:t>详见附件：6、详细评审---售后服务.docx</w:t>
      </w:r>
    </w:p>
    <w:p>
      <w:pPr>
        <w:pStyle w:val="null3"/>
        <w:ind w:firstLine="960"/>
      </w:pPr>
      <w:r>
        <w:rPr>
          <w:rFonts w:ascii="仿宋_GB2312" w:hAnsi="仿宋_GB2312" w:cs="仿宋_GB2312" w:eastAsia="仿宋_GB2312"/>
        </w:rPr>
        <w:t>详见附件：7、详细评审---业绩.docx</w:t>
      </w:r>
    </w:p>
    <w:p>
      <w:pPr>
        <w:pStyle w:val="null3"/>
        <w:ind w:firstLine="960"/>
      </w:pPr>
      <w:r>
        <w:rPr>
          <w:rFonts w:ascii="仿宋_GB2312" w:hAnsi="仿宋_GB2312" w:cs="仿宋_GB2312" w:eastAsia="仿宋_GB2312"/>
        </w:rPr>
        <w:t>详见附件：8、详细评审---培训方案.docx</w:t>
      </w:r>
    </w:p>
    <w:p>
      <w:pPr>
        <w:pStyle w:val="null3"/>
        <w:ind w:firstLine="960"/>
      </w:pPr>
      <w:r>
        <w:rPr>
          <w:rFonts w:ascii="仿宋_GB2312" w:hAnsi="仿宋_GB2312" w:cs="仿宋_GB2312" w:eastAsia="仿宋_GB2312"/>
        </w:rPr>
        <w:t>详见附件：9、详细评审---节能环保.docx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详见附件：分项报价表（货物）.docx</w:t>
      </w:r>
    </w:p>
    <w:p>
      <w:pPr>
        <w:pStyle w:val="null3"/>
        <w:ind w:firstLine="960"/>
      </w:pPr>
      <w:r>
        <w:rPr>
          <w:rFonts w:ascii="仿宋_GB2312" w:hAnsi="仿宋_GB2312" w:cs="仿宋_GB2312" w:eastAsia="仿宋_GB2312"/>
        </w:rPr>
        <w:t>详见附件：投标人资格条件证明文件.docx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详见附件：其他说明.docx</w:t>
      </w:r>
    </w:p>
    <w:p>
      <w:pPr>
        <w:pStyle w:val="null3"/>
        <w:ind w:firstLine="960"/>
      </w:pPr>
      <w:r>
        <w:rPr>
          <w:rFonts w:ascii="仿宋_GB2312" w:hAnsi="仿宋_GB2312" w:cs="仿宋_GB2312" w:eastAsia="仿宋_GB2312"/>
        </w:rPr>
        <w:t>详见附件：1、详细评审---技术参数.docx</w:t>
      </w:r>
    </w:p>
    <w:p>
      <w:pPr>
        <w:pStyle w:val="null3"/>
        <w:ind w:firstLine="960"/>
      </w:pPr>
      <w:r>
        <w:rPr>
          <w:rFonts w:ascii="仿宋_GB2312" w:hAnsi="仿宋_GB2312" w:cs="仿宋_GB2312" w:eastAsia="仿宋_GB2312"/>
        </w:rPr>
        <w:t>详见附件：2、详细评审---实施方案.docx</w:t>
      </w:r>
    </w:p>
    <w:p>
      <w:pPr>
        <w:pStyle w:val="null3"/>
        <w:ind w:firstLine="960"/>
      </w:pPr>
      <w:r>
        <w:rPr>
          <w:rFonts w:ascii="仿宋_GB2312" w:hAnsi="仿宋_GB2312" w:cs="仿宋_GB2312" w:eastAsia="仿宋_GB2312"/>
        </w:rPr>
        <w:t>详见附件：3、详细评审---质量保证.docx</w:t>
      </w:r>
    </w:p>
    <w:p>
      <w:pPr>
        <w:pStyle w:val="null3"/>
        <w:ind w:firstLine="960"/>
      </w:pPr>
      <w:r>
        <w:rPr>
          <w:rFonts w:ascii="仿宋_GB2312" w:hAnsi="仿宋_GB2312" w:cs="仿宋_GB2312" w:eastAsia="仿宋_GB2312"/>
        </w:rPr>
        <w:t>详见附件：4、详细评审---来源渠道.docx</w:t>
      </w:r>
    </w:p>
    <w:p>
      <w:pPr>
        <w:pStyle w:val="null3"/>
        <w:ind w:firstLine="960"/>
      </w:pPr>
      <w:r>
        <w:rPr>
          <w:rFonts w:ascii="仿宋_GB2312" w:hAnsi="仿宋_GB2312" w:cs="仿宋_GB2312" w:eastAsia="仿宋_GB2312"/>
        </w:rPr>
        <w:t>详见附件：5、详细评审---质保期.docx</w:t>
      </w:r>
    </w:p>
    <w:p>
      <w:pPr>
        <w:pStyle w:val="null3"/>
        <w:ind w:firstLine="960"/>
      </w:pPr>
      <w:r>
        <w:rPr>
          <w:rFonts w:ascii="仿宋_GB2312" w:hAnsi="仿宋_GB2312" w:cs="仿宋_GB2312" w:eastAsia="仿宋_GB2312"/>
        </w:rPr>
        <w:t>详见附件：6、详细评审---售后服务.docx</w:t>
      </w:r>
    </w:p>
    <w:p>
      <w:pPr>
        <w:pStyle w:val="null3"/>
        <w:ind w:firstLine="960"/>
      </w:pPr>
      <w:r>
        <w:rPr>
          <w:rFonts w:ascii="仿宋_GB2312" w:hAnsi="仿宋_GB2312" w:cs="仿宋_GB2312" w:eastAsia="仿宋_GB2312"/>
        </w:rPr>
        <w:t>详见附件：7、详细评审---业绩.docx</w:t>
      </w:r>
    </w:p>
    <w:p>
      <w:pPr>
        <w:pStyle w:val="null3"/>
        <w:ind w:firstLine="960"/>
      </w:pPr>
      <w:r>
        <w:rPr>
          <w:rFonts w:ascii="仿宋_GB2312" w:hAnsi="仿宋_GB2312" w:cs="仿宋_GB2312" w:eastAsia="仿宋_GB2312"/>
        </w:rPr>
        <w:t>详见附件：8、详细评审---培训方案.docx</w:t>
      </w:r>
    </w:p>
    <w:p>
      <w:pPr>
        <w:pStyle w:val="null3"/>
        <w:ind w:firstLine="960"/>
      </w:pPr>
      <w:r>
        <w:rPr>
          <w:rFonts w:ascii="仿宋_GB2312" w:hAnsi="仿宋_GB2312" w:cs="仿宋_GB2312" w:eastAsia="仿宋_GB2312"/>
        </w:rPr>
        <w:t>详见附件：9、详细评审---节能环保.docx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