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版本号：SXDY-2026-13120260629002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鄠邑区甘亭街道韩村产业路硬化项目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SXDY-2026-131</w:t>
      </w:r>
      <w:r>
        <w:br/>
      </w:r>
      <w:r>
        <w:br/>
      </w:r>
      <w:r>
        <w:br/>
      </w:r>
    </w:p>
    <w:p>
      <w:pPr>
        <w:pStyle w:val="null3"/>
        <w:jc w:val="center"/>
        <w:outlineLvl w:val="2"/>
      </w:pPr>
      <w:r>
        <w:rPr>
          <w:rFonts w:ascii="仿宋_GB2312" w:hAnsi="仿宋_GB2312" w:cs="仿宋_GB2312" w:eastAsia="仿宋_GB2312"/>
          <w:sz w:val="28"/>
          <w:b/>
        </w:rPr>
        <w:t>西安市鄠邑区甘亭街道办事处</w:t>
      </w:r>
    </w:p>
    <w:p>
      <w:pPr>
        <w:pStyle w:val="null3"/>
        <w:jc w:val="center"/>
        <w:outlineLvl w:val="2"/>
      </w:pPr>
      <w:r>
        <w:rPr>
          <w:rFonts w:ascii="仿宋_GB2312" w:hAnsi="仿宋_GB2312" w:cs="仿宋_GB2312" w:eastAsia="仿宋_GB2312"/>
          <w:sz w:val="28"/>
          <w:b/>
        </w:rPr>
        <w:t>陕西大用项目管理有限公司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陕西大用项目管理有限公司</w:t>
      </w:r>
      <w:r>
        <w:rPr>
          <w:rFonts w:ascii="仿宋_GB2312" w:hAnsi="仿宋_GB2312" w:cs="仿宋_GB2312" w:eastAsia="仿宋_GB2312"/>
        </w:rPr>
        <w:t>（以下简称“代理机构”）受</w:t>
      </w:r>
      <w:r>
        <w:rPr>
          <w:rFonts w:ascii="仿宋_GB2312" w:hAnsi="仿宋_GB2312" w:cs="仿宋_GB2312" w:eastAsia="仿宋_GB2312"/>
        </w:rPr>
        <w:t>西安市鄠邑区甘亭街道办事处</w:t>
      </w:r>
      <w:r>
        <w:rPr>
          <w:rFonts w:ascii="仿宋_GB2312" w:hAnsi="仿宋_GB2312" w:cs="仿宋_GB2312" w:eastAsia="仿宋_GB2312"/>
        </w:rPr>
        <w:t>委托，拟对</w:t>
      </w:r>
      <w:r>
        <w:rPr>
          <w:rFonts w:ascii="仿宋_GB2312" w:hAnsi="仿宋_GB2312" w:cs="仿宋_GB2312" w:eastAsia="仿宋_GB2312"/>
        </w:rPr>
        <w:t>鄠邑区甘亭街道韩村产业路硬化项目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SXDY-2026-131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鄠邑区甘亭街道韩村产业路硬化项目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项目主要对韩村产业路进行硬化，共包含3条道路，硬化道路全长1.171公里。</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采购包1（鄠邑区甘亭街道韩村产业路硬化项目）：属于专门面向中小企业采购。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法人主体：提供营业执照/事业单位法人登记证/非企业单位登记证/执业许可证，未提供的接受采购人通过国家企业信用信息公示系统（http://www.gsxt.gov.cn/index.html）进行相关信息的核实，并承担核实不到的后果；自然人提供身份证 。</w:t>
      </w:r>
    </w:p>
    <w:p>
      <w:pPr>
        <w:pStyle w:val="null3"/>
      </w:pPr>
      <w:r>
        <w:rPr>
          <w:rFonts w:ascii="仿宋_GB2312" w:hAnsi="仿宋_GB2312" w:cs="仿宋_GB2312" w:eastAsia="仿宋_GB2312"/>
        </w:rPr>
        <w:t>2、信用证明：未被信用中国网站列入重大税收违法案件当事人名单、未被中国执行信息公开网列入失信被执行人、未被中国政府采购网列入政府采购严重违法失信行为记录名单（开标时系统查询），未被各级建设诚信信息平台被列为投标受限制的行为人，参加本次政府采购活动前3年内在经营活动中没有重大违纪，提供书面声明。</w:t>
      </w:r>
    </w:p>
    <w:p>
      <w:pPr>
        <w:pStyle w:val="null3"/>
      </w:pPr>
      <w:r>
        <w:rPr>
          <w:rFonts w:ascii="仿宋_GB2312" w:hAnsi="仿宋_GB2312" w:cs="仿宋_GB2312" w:eastAsia="仿宋_GB2312"/>
        </w:rPr>
        <w:t>3、财务状况：提供2024或2025年度经第三方会计事务所审计过的财务报告，或响应文件递交截止时间前90天内基本账户银行出具的资信证明。注：①提供财务报告的，内容至少包括审计报告、附注。审计报告需具有注册会计师行业统一监管平台赋予的验证码。②提供资信证明的，必须提供资信证明全部页以及基本户信息（提供开户许可证复印件或提供基本银行账户信息复印件加盖公章）。银行出具的存款证明不能代替资信证明，存款证明无效。</w:t>
      </w:r>
    </w:p>
    <w:p>
      <w:pPr>
        <w:pStyle w:val="null3"/>
      </w:pPr>
      <w:r>
        <w:rPr>
          <w:rFonts w:ascii="仿宋_GB2312" w:hAnsi="仿宋_GB2312" w:cs="仿宋_GB2312" w:eastAsia="仿宋_GB2312"/>
        </w:rPr>
        <w:t>4、纳税凭证：提供2025年1月1日至今至少一个月依法纳税的相关凭证(税种至少为增值税或企业所得税中的一种)；依法免税或无须缴纳税收的应提供相关证明；成立不足一个月的提供将依法纳税的承诺书(格式自拟)。注:①零报税的提供申报成功的凭证。②时间以税款所属时段为准。</w:t>
      </w:r>
    </w:p>
    <w:p>
      <w:pPr>
        <w:pStyle w:val="null3"/>
      </w:pPr>
      <w:r>
        <w:rPr>
          <w:rFonts w:ascii="仿宋_GB2312" w:hAnsi="仿宋_GB2312" w:cs="仿宋_GB2312" w:eastAsia="仿宋_GB2312"/>
        </w:rPr>
        <w:t>5、社保缴纳凭证：提供2025年1月1日至今至少一个月的社会保障资金缴存凭证或社保机构开具的社会保险参保缴费情况凭证；依法不需要缴纳社会保障资金的提供相关证明；成立不足一个月的提供将依法交纳社会保障资金的承诺书（格式自拟）。注：①通过代缴方式缴存的，需提供链条完整的证明材料，证明材料至少包括代缴方的缴存凭证、供应商向代缴方用于缴存社保的银行转账单据。②供应商可自行打印带有社保机构公章的缴存凭证；提供银行交纳单据的，单据应显示社保缴存项（任一项）。</w:t>
      </w:r>
    </w:p>
    <w:p>
      <w:pPr>
        <w:pStyle w:val="null3"/>
      </w:pPr>
      <w:r>
        <w:rPr>
          <w:rFonts w:ascii="仿宋_GB2312" w:hAnsi="仿宋_GB2312" w:cs="仿宋_GB2312" w:eastAsia="仿宋_GB2312"/>
        </w:rPr>
        <w:t>6、履约能力：提供具有履行本合同所必需的专业技术能力的书面声明。</w:t>
      </w:r>
    </w:p>
    <w:p>
      <w:pPr>
        <w:pStyle w:val="null3"/>
      </w:pPr>
      <w:r>
        <w:rPr>
          <w:rFonts w:ascii="仿宋_GB2312" w:hAnsi="仿宋_GB2312" w:cs="仿宋_GB2312" w:eastAsia="仿宋_GB2312"/>
        </w:rPr>
        <w:t>7、法定代表人授权委托书（附法定代表人身份证复印件）及被授权委托人身份证（法定代表人参加投标须提供法定代表人身份证明书）：法定代表人授权委托书（附法定代表人身份证复印件）及被授权委托人身份证（法定代表人参加投标须提供法定代表人身份证明书），授权书需法定代表人或被授权人签字或盖章，供应商需在项目电子化交易系统中按要求上传相应证明文件</w:t>
      </w:r>
    </w:p>
    <w:p>
      <w:pPr>
        <w:pStyle w:val="null3"/>
      </w:pPr>
      <w:r>
        <w:rPr>
          <w:rFonts w:ascii="仿宋_GB2312" w:hAnsi="仿宋_GB2312" w:cs="仿宋_GB2312" w:eastAsia="仿宋_GB2312"/>
        </w:rPr>
        <w:t>8、企业资质：须具备市政公用工程施工总承包三级及以上或公路工程施工总承包三级及以上，并具有有效的安全生产许可证。提供资质证书及安全生产许可证。</w:t>
      </w:r>
    </w:p>
    <w:p>
      <w:pPr>
        <w:pStyle w:val="null3"/>
      </w:pPr>
      <w:r>
        <w:rPr>
          <w:rFonts w:ascii="仿宋_GB2312" w:hAnsi="仿宋_GB2312" w:cs="仿宋_GB2312" w:eastAsia="仿宋_GB2312"/>
        </w:rPr>
        <w:t>9、项目经理：拟派项目经理须为供应商单位注册的市政公用工程或公路工程专业二级及以上注册建造师，具有安全生产考核合格证（B证）且无在建工程。提供证书及无在建工程书面声明。</w:t>
      </w:r>
    </w:p>
    <w:p>
      <w:pPr>
        <w:pStyle w:val="null3"/>
      </w:pPr>
      <w:r>
        <w:rPr>
          <w:rFonts w:ascii="仿宋_GB2312" w:hAnsi="仿宋_GB2312" w:cs="仿宋_GB2312" w:eastAsia="仿宋_GB2312"/>
        </w:rPr>
        <w:t>10、联合体形式：本项目不接受联合体，提供非联合体声明。</w:t>
      </w:r>
    </w:p>
    <w:p>
      <w:pPr>
        <w:pStyle w:val="null3"/>
      </w:pPr>
      <w:r>
        <w:rPr>
          <w:rFonts w:ascii="仿宋_GB2312" w:hAnsi="仿宋_GB2312" w:cs="仿宋_GB2312" w:eastAsia="仿宋_GB2312"/>
        </w:rPr>
        <w:t>11、本项目专门面向中小企业采购（残疾人福利性单位、监狱企业视同小型、微型企业）：提供合法有效的中小企业声明函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西安市鄠邑区甘亭街道办事处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鄠邑区西大街8号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西安市鄠邑区甘亭街道办事处经办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13891836236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陕西大用项目管理有限公司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陕西省西安市雁塔区朱雀大街长丰园小区1区1幢C单元1117-1118室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张建龙、卜旭妮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029-85450865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代理服务费收费标准：代理服务费收费标准：以成交价为基准，参照《国家计委关于印发&lt;招标代理服务收费管理暂行办法&gt;的通知》（计价格[2002]1980号）规定的收费标准收取。 成交供应商在领取成交通知书前，成交供应商须向代理机构一次性支付代理服务费。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西安市鄠邑区甘亭街道办事处</w:t>
      </w:r>
      <w:r>
        <w:rPr>
          <w:rFonts w:ascii="仿宋_GB2312" w:hAnsi="仿宋_GB2312" w:cs="仿宋_GB2312" w:eastAsia="仿宋_GB2312"/>
        </w:rPr>
        <w:t>和</w:t>
      </w:r>
      <w:r>
        <w:rPr>
          <w:rFonts w:ascii="仿宋_GB2312" w:hAnsi="仿宋_GB2312" w:cs="仿宋_GB2312" w:eastAsia="仿宋_GB2312"/>
        </w:rPr>
        <w:t>陕西大用项目管理有限公司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西安市鄠邑区甘亭街道办事处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陕西大用项目管理有限公司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西安市鄠邑区甘亭街道办事处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陕西大用项目管理有限公司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符合国家相关质量标准并满足采购人的采购要求。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联系人：张建龙、卜旭妮</w:t>
      </w:r>
    </w:p>
    <w:p>
      <w:pPr>
        <w:pStyle w:val="null3"/>
      </w:pPr>
      <w:r>
        <w:rPr>
          <w:rFonts w:ascii="仿宋_GB2312" w:hAnsi="仿宋_GB2312" w:cs="仿宋_GB2312" w:eastAsia="仿宋_GB2312"/>
        </w:rPr>
        <w:t>联系电话：029-85450865</w:t>
      </w:r>
    </w:p>
    <w:p>
      <w:pPr>
        <w:pStyle w:val="null3"/>
      </w:pPr>
      <w:r>
        <w:rPr>
          <w:rFonts w:ascii="仿宋_GB2312" w:hAnsi="仿宋_GB2312" w:cs="仿宋_GB2312" w:eastAsia="仿宋_GB2312"/>
        </w:rPr>
        <w:t>地址：陕西省西安市雁塔区朱雀大街长丰园小区1区1幢C单元1117-1118室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957,367.22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鄠邑区甘亭街道韩村产业路硬化项目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标的名称：鄠邑区甘亭街道韩村产业路硬化项目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8"/>
              </w:rPr>
              <w:t>项目主要对韩村产业路进行硬化，共包含</w:t>
            </w:r>
            <w:r>
              <w:rPr>
                <w:rFonts w:ascii="仿宋_GB2312" w:hAnsi="仿宋_GB2312" w:cs="仿宋_GB2312" w:eastAsia="仿宋_GB2312"/>
                <w:sz w:val="28"/>
              </w:rPr>
              <w:t>3条道路，硬化道路全长1.171公里。</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本项目施工及验收须符合国家及行业现行相关标准、规范</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本项目工期：45日历天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技术服务合同条款及其他商务要求应答表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法人主体：提供营业执照/事业单位法人登记证/非企业单位登记证/执业许可证，未提供的接受采购人通过国家企业信用信息公示系统（http://www.gsxt.gov.cn/index.html）进行相关信息的核实，并承担核实不到的后果；自然人提供身份证 。</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未被信用中国网站列入重大税收违法案件当事人名单、未被中国执行信息公开网列入失信被执行人、未被中国政府采购网列入政府采购严重违法失信行为记录名单（开标时系统查询），未被各级建设诚信信息平台被列为投标受限制的行为人，参加本次政府采购活动前3年内在经营活动中没有重大违纪，提供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或2025年度经第三方会计事务所审计过的财务报告，或响应文件递交截止时间前90天内基本账户银行出具的资信证明。注：①提供财务报告的，内容至少包括审计报告、附注。审计报告需具有注册会计师行业统一监管平台赋予的验证码。②提供资信证明的，必须提供资信证明全部页以及基本户信息（提供开户许可证复印件或提供基本银行账户信息复印件加盖公章）。银行出具的存款证明不能代替资信证明，存款证明无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纳税凭证</w:t>
            </w:r>
          </w:p>
        </w:tc>
        <w:tc>
          <w:tcPr>
            <w:tcW w:type="dxa" w:w="3322"/>
          </w:tcPr>
          <w:p>
            <w:pPr>
              <w:pStyle w:val="null3"/>
            </w:pPr>
            <w:r>
              <w:rPr>
                <w:rFonts w:ascii="仿宋_GB2312" w:hAnsi="仿宋_GB2312" w:cs="仿宋_GB2312" w:eastAsia="仿宋_GB2312"/>
              </w:rPr>
              <w:t>提供2025年1月1日至今至少一个月依法纳税的相关凭证(税种至少为增值税或企业所得税中的一种)；依法免税或无须缴纳税收的应提供相关证明；成立不足一个月的提供将依法纳税的承诺书(格式自拟)。注:①零报税的提供申报成功的凭证。②时间以税款所属时段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社保缴纳凭证</w:t>
            </w:r>
          </w:p>
        </w:tc>
        <w:tc>
          <w:tcPr>
            <w:tcW w:type="dxa" w:w="3322"/>
          </w:tcPr>
          <w:p>
            <w:pPr>
              <w:pStyle w:val="null3"/>
            </w:pPr>
            <w:r>
              <w:rPr>
                <w:rFonts w:ascii="仿宋_GB2312" w:hAnsi="仿宋_GB2312" w:cs="仿宋_GB2312" w:eastAsia="仿宋_GB2312"/>
              </w:rPr>
              <w:t>提供2025年1月1日至今至少一个月的社会保障资金缴存凭证或社保机构开具的社会保险参保缴费情况凭证；依法不需要缴纳社会保障资金的提供相关证明；成立不足一个月的提供将依法交纳社会保障资金的承诺书（格式自拟）。注：①通过代缴方式缴存的，需提供链条完整的证明材料，证明材料至少包括代缴方的缴存凭证、供应商向代缴方用于缴存社保的银行转账单据。②供应商可自行打印带有社保机构公章的缴存凭证；提供银行交纳单据的，单据应显示社保缴存项（任一项）。</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法定代表人授权委托书（附法定代表人身份证复印件）及被授权委托人身份证（法定代表人参加投标须提供法定代表人身份证明书）</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须提供法定代表人身份证明书），授权书需法定代表人或被授权人签字或盖章，供应商需在项目电子化交易系统中按要求上传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须具备市政公用工程施工总承包三级及以上或公路工程施工总承包三级及以上，并具有有效的安全生产许可证。提供资质证书及安全生产许可证。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拟派项目经理须为供应商单位注册的市政公用工程或公路工程专业二级及以上注册建造师，具有安全生产考核合格证（B证）且无在建工程。提供证书及无在建工程书面声明。</w:t>
            </w:r>
          </w:p>
        </w:tc>
        <w:tc>
          <w:tcPr>
            <w:tcW w:type="dxa" w:w="1661"/>
          </w:tcPr>
          <w:p>
            <w:pPr>
              <w:pStyle w:val="null3"/>
            </w:pPr>
            <w:r>
              <w:rPr>
                <w:rFonts w:ascii="仿宋_GB2312" w:hAnsi="仿宋_GB2312" w:cs="仿宋_GB2312" w:eastAsia="仿宋_GB2312"/>
              </w:rPr>
              <w:t>项目管理机构组成表 主要人员简历表</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联合体形式</w:t>
            </w:r>
          </w:p>
        </w:tc>
        <w:tc>
          <w:tcPr>
            <w:tcW w:type="dxa" w:w="3322"/>
          </w:tcPr>
          <w:p>
            <w:pPr>
              <w:pStyle w:val="null3"/>
            </w:pPr>
            <w:r>
              <w:rPr>
                <w:rFonts w:ascii="仿宋_GB2312" w:hAnsi="仿宋_GB2312" w:cs="仿宋_GB2312" w:eastAsia="仿宋_GB2312"/>
              </w:rPr>
              <w:t>本项目不接受联合体，提供非联合体声明。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本项目专门面向中小企业采购（残疾人福利性单位、监狱企业视同小型、微型企业）</w:t>
            </w:r>
          </w:p>
        </w:tc>
        <w:tc>
          <w:tcPr>
            <w:tcW w:type="dxa" w:w="3322"/>
          </w:tcPr>
          <w:p>
            <w:pPr>
              <w:pStyle w:val="null3"/>
            </w:pPr>
            <w:r>
              <w:rPr>
                <w:rFonts w:ascii="仿宋_GB2312" w:hAnsi="仿宋_GB2312" w:cs="仿宋_GB2312" w:eastAsia="仿宋_GB2312"/>
              </w:rPr>
              <w:t>提供合法有效的中小企业声明函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名称一致性</w:t>
            </w:r>
          </w:p>
        </w:tc>
        <w:tc>
          <w:tcPr>
            <w:tcW w:type="dxa" w:w="3322"/>
          </w:tcPr>
          <w:p>
            <w:pPr>
              <w:pStyle w:val="null3"/>
            </w:pPr>
            <w:r>
              <w:rPr>
                <w:rFonts w:ascii="仿宋_GB2312" w:hAnsi="仿宋_GB2312" w:cs="仿宋_GB2312" w:eastAsia="仿宋_GB2312"/>
              </w:rPr>
              <w:t>响应文件封面、响应函、报价函、营业执照、资质证书、中小企业声明函、业绩合同名称完全统一。</w:t>
            </w:r>
          </w:p>
        </w:tc>
        <w:tc>
          <w:tcPr>
            <w:tcW w:type="dxa" w:w="1661"/>
          </w:tcPr>
          <w:p>
            <w:pPr>
              <w:pStyle w:val="null3"/>
            </w:pPr>
            <w:r>
              <w:rPr>
                <w:rFonts w:ascii="仿宋_GB2312" w:hAnsi="仿宋_GB2312" w:cs="仿宋_GB2312" w:eastAsia="仿宋_GB2312"/>
              </w:rPr>
              <w:t>响应文件封面 中小企业声明函 报价函 技术服务合同条款及其他商务要求应答表 供应商应提交的相关资格证明材料 供应商类似项目业绩一览表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签章合规</w:t>
            </w:r>
          </w:p>
        </w:tc>
        <w:tc>
          <w:tcPr>
            <w:tcW w:type="dxa" w:w="3322"/>
          </w:tcPr>
          <w:p>
            <w:pPr>
              <w:pStyle w:val="null3"/>
            </w:pPr>
            <w:r>
              <w:rPr>
                <w:rFonts w:ascii="仿宋_GB2312" w:hAnsi="仿宋_GB2312" w:cs="仿宋_GB2312" w:eastAsia="仿宋_GB2312"/>
              </w:rPr>
              <w:t>响应函、报价函、中小企业声明函投标函等按要求签章</w:t>
            </w:r>
          </w:p>
        </w:tc>
        <w:tc>
          <w:tcPr>
            <w:tcW w:type="dxa" w:w="1661"/>
          </w:tcPr>
          <w:p>
            <w:pPr>
              <w:pStyle w:val="null3"/>
            </w:pPr>
            <w:r>
              <w:rPr>
                <w:rFonts w:ascii="仿宋_GB2312" w:hAnsi="仿宋_GB2312" w:cs="仿宋_GB2312" w:eastAsia="仿宋_GB2312"/>
              </w:rPr>
              <w:t>响应文件封面 中小企业声明函 报价函 技术服务合同条款及其他商务要求应答表 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报价唯一性</w:t>
            </w:r>
          </w:p>
        </w:tc>
        <w:tc>
          <w:tcPr>
            <w:tcW w:type="dxa" w:w="3322"/>
          </w:tcPr>
          <w:p>
            <w:pPr>
              <w:pStyle w:val="null3"/>
            </w:pPr>
            <w:r>
              <w:rPr>
                <w:rFonts w:ascii="仿宋_GB2312" w:hAnsi="仿宋_GB2312" w:cs="仿宋_GB2312" w:eastAsia="仿宋_GB2312"/>
              </w:rPr>
              <w:t>只提供一个有效投标总价</w:t>
            </w:r>
          </w:p>
        </w:tc>
        <w:tc>
          <w:tcPr>
            <w:tcW w:type="dxa" w:w="1661"/>
          </w:tcPr>
          <w:p>
            <w:pPr>
              <w:pStyle w:val="null3"/>
            </w:pPr>
            <w:r>
              <w:rPr>
                <w:rFonts w:ascii="仿宋_GB2312" w:hAnsi="仿宋_GB2312" w:cs="仿宋_GB2312" w:eastAsia="仿宋_GB2312"/>
              </w:rPr>
              <w:t>响应文件封面 已标价工程量清单 报价函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施工方案及技术措施</w:t>
            </w:r>
          </w:p>
        </w:tc>
        <w:tc>
          <w:tcPr>
            <w:tcW w:type="dxa" w:w="2492"/>
          </w:tcPr>
          <w:p>
            <w:pPr>
              <w:pStyle w:val="null3"/>
            </w:pPr>
            <w:r>
              <w:rPr>
                <w:rFonts w:ascii="仿宋_GB2312" w:hAnsi="仿宋_GB2312" w:cs="仿宋_GB2312" w:eastAsia="仿宋_GB2312"/>
              </w:rPr>
              <w:t>1、方案贴合本产业路农机重载、田间接驳、低洼软基现场实际，全流程施工工艺完整，配套农田排水、边坡、路口专项处置措施得15分。 2、覆盖道路全部施工工序，针对项目软基、积水、农机出入口制定对应处理方案得12分。 3、具备完整道路施工流程，仅简单提及农机通行需求，未针对低洼、软基、农田排水等现场难点设置专项处置技术方案得9分。 4、仅罗列通用道路施工流程，未结合本项目田间道口、重载、软基等特有工况，无针对性专项处置内容得5分。 5、未提供不得分。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1.工程质量技术组织措施紧密结合本项目特点与施工重难点，内容科学可行、详实完整、针对性极强，管控体系完善，可直接落地实施，能够全面保障工程施工质量计10 分； 2.工程质量技术组织措施贴合本项目施工及质量要求，内容较科学可行、较为详细，针对性较强，核心质量管控措施齐全，可有效保障工程质量，仅存在轻微非关键瑕疵计6分； 3.工程质量技术组织措施基本科学可行，覆盖基础质量管控内容，具备一定针对性，但内容偏笼统、细化不足，多为通用模板内容，仅能满足项目基础质量管控需求计3分；4.未提供不得分。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1.安全生产技术组织措施贴合本项目施工安全重难点，内容科学可行、详实全面、针对性强，安全管控体系、防护措施、隐患排查、应急管理、人员管理等内容完善，可直接落地执行，能全面保障项目施工安全生产计 8 分； 2.安全生产技术组织措施内容完整性、科学性一般，仅覆盖基础安全管理内容，项目针对性一般，多为通用常规措施，内容较为笼统，仅能满足最低安全生产管控要求计 6 分； 3.安全生产技术组织措施内容简单空洞，未结合本项目施工安全特点编制，无针对性，核心安全管控措施缺失，无法有效保障项目安全生产计 4 分； 4. 安全生产技术组织措施内容简单空洞，未结合本项目施工安全特点编制，无针对性，核心安全管控措施缺失，无法有效保障项目安全生产计2分；5.未提供不得分。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确保文明施工的技术措施及环境保护措施（包含治污减霾措施）</w:t>
            </w:r>
          </w:p>
        </w:tc>
        <w:tc>
          <w:tcPr>
            <w:tcW w:type="dxa" w:w="2492"/>
          </w:tcPr>
          <w:p>
            <w:pPr>
              <w:pStyle w:val="null3"/>
            </w:pPr>
            <w:r>
              <w:rPr>
                <w:rFonts w:ascii="仿宋_GB2312" w:hAnsi="仿宋_GB2312" w:cs="仿宋_GB2312" w:eastAsia="仿宋_GB2312"/>
              </w:rPr>
              <w:t>1.文明施工、环境保护及治污减霾措施贴合本项目施工特点，内容科学可行、详实全面、针对性强，覆盖现场文明管控、扬尘治理、污水噪声管控、环保运维等核心内容，可直接落地实施，完全满足项目文明施工及环保管控要求计5 分； 2.文明施工及环保治污减霾措施基本科学可行，覆盖基础管控内容，具备一定针对性，但内容偏笼统、细化不足，多为通用常规措施，仅能满足项目基础文明施工及环保管控需求计3分； 3.措施内容简单空洞，未结合本项目实际编制，无专项针对性，核心文明施工、环保及治污减霾管控内容缺失，无法满足项目管控要求计1分； 4.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确保工期的技术措施</w:t>
            </w:r>
          </w:p>
        </w:tc>
        <w:tc>
          <w:tcPr>
            <w:tcW w:type="dxa" w:w="2492"/>
          </w:tcPr>
          <w:p>
            <w:pPr>
              <w:pStyle w:val="null3"/>
            </w:pPr>
            <w:r>
              <w:rPr>
                <w:rFonts w:ascii="仿宋_GB2312" w:hAnsi="仿宋_GB2312" w:cs="仿宋_GB2312" w:eastAsia="仿宋_GB2312"/>
              </w:rPr>
              <w:t>1.工期保障技术措施紧密结合本项目施工特点与工期重难点，内容科学可行、详实全面、针对性强。施工计划排布、工序衔接、进度管控、工期滞后补救、资源配置保障等内容完善，可有效保障项目按期完工计6 分； 2.工期保障技术措施科学可行、内容较为详细，具备较强项目针对性，覆盖进度管控核心内容，能够满足本项目工期保障基本需求，可保障项目正常推进施工进度计4分； 3.工期措施内容通用性强、针对性一般，内容较为笼统简单，仅覆盖基础进度管控内容；措施空洞、无项目针对性、关键保障内容缺失的计2分； 4.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1.绘制科学合理，反映整个施工过程， 内容科学合理计2分； 2.进度表或网络图错误或未提供不得计分。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施工机械设备配备计划和劳动力安排计划</w:t>
            </w:r>
          </w:p>
        </w:tc>
        <w:tc>
          <w:tcPr>
            <w:tcW w:type="dxa" w:w="2492"/>
          </w:tcPr>
          <w:p>
            <w:pPr>
              <w:pStyle w:val="null3"/>
            </w:pPr>
            <w:r>
              <w:rPr>
                <w:rFonts w:ascii="仿宋_GB2312" w:hAnsi="仿宋_GB2312" w:cs="仿宋_GB2312" w:eastAsia="仿宋_GB2312"/>
              </w:rPr>
              <w:t>1.施工机械设备配备计划贴合项目施工需求，配置齐全、排布合理、适配各施工工序；劳动力安排充足，人员岗位配置、班组结构、进退场计划科学合理，可完全匹配项目施工及工期进度需求，保障施工高效推进计8 分； 2.机械设备、劳动力安排基本满足施工最低需求，配置完整性、针对性一般，存在少量短板得4分；3.设备及人员安排简单笼统、配置不足、贴合度差，仅为通用模板内容计2分； 4.未提供相关计划的本项不得分。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项目机构组成</w:t>
            </w:r>
          </w:p>
        </w:tc>
        <w:tc>
          <w:tcPr>
            <w:tcW w:type="dxa" w:w="2492"/>
          </w:tcPr>
          <w:p>
            <w:pPr>
              <w:pStyle w:val="null3"/>
            </w:pPr>
            <w:r>
              <w:rPr>
                <w:rFonts w:ascii="仿宋_GB2312" w:hAnsi="仿宋_GB2312" w:cs="仿宋_GB2312" w:eastAsia="仿宋_GB2312"/>
              </w:rPr>
              <w:t>具有五大员（质量员、安全员、施工员、材料员、资料员）上岗证书（安全员须含安全生产考核合格证）的每证得1分；有相应职称证（初级及以上均可）的每证加1分，共计10分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近三年完成的类似业绩一项得2分，最多得6分（提供2023年6月1日至今类似工程；响应文件中须附类似工程业绩中标通知书或合同协议书或竣工验收证明材料复印件或扫描件，并加盖公章）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①评标基准价的确定：经对各供应商资格审查合格后，将有效投标价格最低的作为评标基准价，此项得满分；投标报价大于最高限价的，为无效报价，应作为无效标处理； ②根据下列公式计算出各供应商的投标报价与评标基准价的差异率。 其他供应商报价得分=(评标基准价／投标报价)×30%×100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详见附件：施工组织方案.docx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