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B6B7D">
      <w:pPr>
        <w:spacing w:before="229" w:line="219" w:lineRule="auto"/>
        <w:ind w:left="13"/>
        <w:rPr>
          <w:rFonts w:hint="eastAsia" w:ascii="宋体" w:hAnsi="宋体"/>
          <w:sz w:val="28"/>
          <w:szCs w:val="28"/>
        </w:rPr>
      </w:pPr>
      <w:r>
        <w:rPr>
          <w:rFonts w:ascii="宋体" w:hAnsi="宋体"/>
          <w:spacing w:val="-10"/>
          <w:sz w:val="28"/>
          <w:szCs w:val="28"/>
        </w:rPr>
        <w:t>合同编号：</w:t>
      </w:r>
      <w:r>
        <w:rPr>
          <w:rFonts w:hint="eastAsia" w:ascii="宋体" w:hAnsi="宋体"/>
          <w:spacing w:val="-10"/>
          <w:sz w:val="28"/>
          <w:szCs w:val="28"/>
        </w:rPr>
        <w:t xml:space="preserve"> </w:t>
      </w:r>
    </w:p>
    <w:p w14:paraId="385CAE6D">
      <w:pPr>
        <w:pStyle w:val="3"/>
        <w:spacing w:line="288" w:lineRule="auto"/>
      </w:pPr>
    </w:p>
    <w:p w14:paraId="10CA905E">
      <w:pPr>
        <w:pStyle w:val="3"/>
        <w:spacing w:line="288" w:lineRule="auto"/>
      </w:pPr>
    </w:p>
    <w:p w14:paraId="57A2E77E">
      <w:pPr>
        <w:spacing w:line="219" w:lineRule="auto"/>
        <w:ind w:firstLine="7020" w:firstLineChars="1300"/>
        <w:jc w:val="center"/>
        <w:rPr>
          <w:rFonts w:hint="eastAsia" w:ascii="宋体" w:hAnsi="宋体"/>
          <w:sz w:val="54"/>
          <w:szCs w:val="54"/>
        </w:rPr>
      </w:pPr>
      <w:r>
        <w:rPr>
          <w:rFonts w:hint="eastAsia" w:ascii="宋体" w:hAnsi="宋体"/>
          <w:sz w:val="54"/>
          <w:szCs w:val="54"/>
        </w:rPr>
        <w:t>项目</w:t>
      </w:r>
    </w:p>
    <w:p w14:paraId="44BB2BD8">
      <w:pPr>
        <w:pStyle w:val="3"/>
        <w:spacing w:line="258" w:lineRule="auto"/>
        <w:jc w:val="center"/>
      </w:pPr>
    </w:p>
    <w:p w14:paraId="6B7295B6">
      <w:pPr>
        <w:pStyle w:val="3"/>
        <w:spacing w:line="258" w:lineRule="auto"/>
        <w:jc w:val="center"/>
      </w:pPr>
    </w:p>
    <w:p w14:paraId="54D18E15">
      <w:pPr>
        <w:pStyle w:val="3"/>
        <w:spacing w:line="258" w:lineRule="auto"/>
        <w:jc w:val="center"/>
      </w:pPr>
    </w:p>
    <w:p w14:paraId="60427706">
      <w:pPr>
        <w:pStyle w:val="3"/>
        <w:spacing w:line="258" w:lineRule="auto"/>
        <w:jc w:val="center"/>
      </w:pPr>
    </w:p>
    <w:p w14:paraId="742349E0">
      <w:pPr>
        <w:keepNext w:val="0"/>
        <w:keepLines w:val="0"/>
        <w:pageBreakBefore w:val="0"/>
        <w:widowControl w:val="0"/>
        <w:kinsoku/>
        <w:wordWrap/>
        <w:overflowPunct/>
        <w:topLinePunct w:val="0"/>
        <w:autoSpaceDE/>
        <w:autoSpaceDN/>
        <w:bidi w:val="0"/>
        <w:adjustRightInd w:val="0"/>
        <w:snapToGrid/>
        <w:spacing w:before="247" w:line="221" w:lineRule="auto"/>
        <w:ind w:left="0" w:firstLine="0" w:firstLineChars="0"/>
        <w:jc w:val="center"/>
        <w:textAlignment w:val="baseline"/>
        <w:outlineLvl w:val="0"/>
      </w:pPr>
      <w:r>
        <w:rPr>
          <w:rFonts w:ascii="宋体" w:hAnsi="宋体"/>
          <w:b/>
          <w:bCs/>
          <w:spacing w:val="-25"/>
          <w:sz w:val="76"/>
          <w:szCs w:val="76"/>
        </w:rPr>
        <w:t>合</w:t>
      </w:r>
      <w:r>
        <w:rPr>
          <w:rFonts w:hint="eastAsia" w:ascii="宋体" w:hAnsi="宋体"/>
          <w:b/>
          <w:bCs/>
          <w:spacing w:val="-25"/>
          <w:sz w:val="76"/>
          <w:szCs w:val="76"/>
        </w:rPr>
        <w:t xml:space="preserve">   同</w:t>
      </w:r>
    </w:p>
    <w:p w14:paraId="6CA12167">
      <w:pPr>
        <w:pStyle w:val="3"/>
        <w:spacing w:line="242" w:lineRule="auto"/>
      </w:pPr>
    </w:p>
    <w:p w14:paraId="297C4631">
      <w:pPr>
        <w:pStyle w:val="3"/>
        <w:spacing w:line="242" w:lineRule="auto"/>
      </w:pPr>
    </w:p>
    <w:p w14:paraId="0E625272">
      <w:pPr>
        <w:pStyle w:val="3"/>
        <w:spacing w:line="242" w:lineRule="auto"/>
      </w:pPr>
    </w:p>
    <w:p w14:paraId="50B47E4D">
      <w:pPr>
        <w:spacing w:before="98" w:line="219" w:lineRule="auto"/>
        <w:ind w:firstLine="1974" w:firstLineChars="700"/>
        <w:rPr>
          <w:rFonts w:hint="eastAsia" w:ascii="宋体" w:hAnsi="宋体"/>
          <w:sz w:val="30"/>
          <w:szCs w:val="30"/>
          <w:u w:val="single"/>
        </w:rPr>
      </w:pPr>
      <w:r>
        <w:rPr>
          <w:rFonts w:ascii="宋体" w:hAnsi="宋体"/>
          <w:spacing w:val="-9"/>
          <w:sz w:val="30"/>
          <w:szCs w:val="30"/>
        </w:rPr>
        <w:t>项</w:t>
      </w:r>
      <w:r>
        <w:rPr>
          <w:rFonts w:hint="eastAsia" w:ascii="宋体" w:hAnsi="宋体"/>
          <w:spacing w:val="-9"/>
          <w:sz w:val="30"/>
          <w:szCs w:val="30"/>
        </w:rPr>
        <w:t xml:space="preserve"> </w:t>
      </w:r>
      <w:r>
        <w:rPr>
          <w:rFonts w:ascii="宋体" w:hAnsi="宋体"/>
          <w:spacing w:val="-9"/>
          <w:sz w:val="30"/>
          <w:szCs w:val="30"/>
        </w:rPr>
        <w:t>目</w:t>
      </w:r>
      <w:r>
        <w:rPr>
          <w:rFonts w:hint="eastAsia" w:ascii="宋体" w:hAnsi="宋体"/>
          <w:spacing w:val="-9"/>
          <w:sz w:val="30"/>
          <w:szCs w:val="30"/>
        </w:rPr>
        <w:t xml:space="preserve"> </w:t>
      </w:r>
      <w:r>
        <w:rPr>
          <w:rFonts w:ascii="宋体" w:hAnsi="宋体"/>
          <w:spacing w:val="-9"/>
          <w:sz w:val="30"/>
          <w:szCs w:val="30"/>
        </w:rPr>
        <w:t>编</w:t>
      </w:r>
      <w:r>
        <w:rPr>
          <w:rFonts w:hint="eastAsia" w:ascii="宋体" w:hAnsi="宋体"/>
          <w:spacing w:val="-9"/>
          <w:sz w:val="30"/>
          <w:szCs w:val="30"/>
        </w:rPr>
        <w:t xml:space="preserve"> </w:t>
      </w:r>
      <w:r>
        <w:rPr>
          <w:rFonts w:ascii="宋体" w:hAnsi="宋体"/>
          <w:spacing w:val="-9"/>
          <w:sz w:val="30"/>
          <w:szCs w:val="30"/>
        </w:rPr>
        <w:t>号：</w:t>
      </w:r>
      <w:r>
        <w:rPr>
          <w:rFonts w:hint="eastAsia" w:ascii="宋体" w:hAnsi="宋体"/>
          <w:spacing w:val="-9"/>
          <w:sz w:val="30"/>
          <w:szCs w:val="30"/>
          <w:u w:val="single"/>
        </w:rPr>
        <w:t xml:space="preserve">              </w:t>
      </w:r>
    </w:p>
    <w:p w14:paraId="5E6B8688">
      <w:pPr>
        <w:spacing w:before="244" w:line="219" w:lineRule="auto"/>
        <w:ind w:firstLine="1968" w:firstLineChars="600"/>
        <w:jc w:val="left"/>
        <w:rPr>
          <w:rFonts w:hint="eastAsia" w:ascii="宋体" w:hAnsi="宋体"/>
          <w:spacing w:val="14"/>
          <w:sz w:val="30"/>
          <w:szCs w:val="30"/>
          <w:u w:val="single"/>
        </w:rPr>
      </w:pPr>
      <w:r>
        <w:rPr>
          <w:rFonts w:ascii="宋体" w:hAnsi="宋体"/>
          <w:spacing w:val="14"/>
          <w:sz w:val="30"/>
          <w:szCs w:val="30"/>
        </w:rPr>
        <w:t>甲</w:t>
      </w:r>
      <w:r>
        <w:rPr>
          <w:rFonts w:hint="eastAsia" w:ascii="宋体" w:hAnsi="宋体"/>
          <w:spacing w:val="14"/>
          <w:sz w:val="30"/>
          <w:szCs w:val="30"/>
        </w:rPr>
        <w:t xml:space="preserve"> </w:t>
      </w:r>
      <w:r>
        <w:rPr>
          <w:rFonts w:ascii="宋体" w:hAnsi="宋体"/>
          <w:spacing w:val="20"/>
          <w:sz w:val="30"/>
          <w:szCs w:val="30"/>
        </w:rPr>
        <w:t xml:space="preserve">   </w:t>
      </w:r>
      <w:r>
        <w:rPr>
          <w:rFonts w:hint="eastAsia" w:ascii="宋体" w:hAnsi="宋体"/>
          <w:spacing w:val="20"/>
          <w:sz w:val="30"/>
          <w:szCs w:val="30"/>
        </w:rPr>
        <w:t xml:space="preserve"> </w:t>
      </w:r>
      <w:r>
        <w:rPr>
          <w:rFonts w:ascii="宋体" w:hAnsi="宋体"/>
          <w:spacing w:val="14"/>
          <w:sz w:val="30"/>
          <w:szCs w:val="30"/>
        </w:rPr>
        <w:t>方：</w:t>
      </w:r>
      <w:r>
        <w:rPr>
          <w:rFonts w:hint="eastAsia" w:ascii="宋体" w:hAnsi="宋体"/>
          <w:spacing w:val="14"/>
          <w:sz w:val="30"/>
          <w:szCs w:val="30"/>
          <w:u w:val="single"/>
        </w:rPr>
        <w:t xml:space="preserve">          </w:t>
      </w:r>
    </w:p>
    <w:p w14:paraId="3491B9FE">
      <w:pPr>
        <w:spacing w:before="244" w:line="219" w:lineRule="auto"/>
        <w:ind w:firstLine="2004" w:firstLineChars="600"/>
        <w:jc w:val="left"/>
      </w:pPr>
      <w:r>
        <w:rPr>
          <w:rFonts w:ascii="宋体" w:hAnsi="宋体"/>
          <w:spacing w:val="17"/>
          <w:sz w:val="30"/>
          <w:szCs w:val="30"/>
        </w:rPr>
        <w:t xml:space="preserve">乙  </w:t>
      </w:r>
      <w:r>
        <w:rPr>
          <w:rFonts w:hint="eastAsia" w:ascii="宋体" w:hAnsi="宋体"/>
          <w:spacing w:val="17"/>
          <w:sz w:val="30"/>
          <w:szCs w:val="30"/>
        </w:rPr>
        <w:t xml:space="preserve"> </w:t>
      </w:r>
      <w:r>
        <w:rPr>
          <w:rFonts w:ascii="宋体" w:hAnsi="宋体"/>
          <w:spacing w:val="17"/>
          <w:sz w:val="30"/>
          <w:szCs w:val="30"/>
        </w:rPr>
        <w:t xml:space="preserve">  方：</w:t>
      </w:r>
      <w:r>
        <w:rPr>
          <w:rFonts w:hint="eastAsia" w:ascii="宋体" w:hAnsi="宋体"/>
          <w:spacing w:val="17"/>
          <w:sz w:val="30"/>
          <w:szCs w:val="30"/>
          <w:u w:val="single"/>
        </w:rPr>
        <w:t xml:space="preserve">         </w:t>
      </w:r>
    </w:p>
    <w:p w14:paraId="6330A298">
      <w:pPr>
        <w:pStyle w:val="3"/>
        <w:spacing w:line="242" w:lineRule="auto"/>
      </w:pPr>
    </w:p>
    <w:p w14:paraId="3B56E118">
      <w:pPr>
        <w:pStyle w:val="3"/>
        <w:spacing w:line="242" w:lineRule="auto"/>
      </w:pPr>
    </w:p>
    <w:p w14:paraId="4CF54D7B">
      <w:pPr>
        <w:ind w:firstLine="2520" w:firstLineChars="700"/>
        <w:rPr>
          <w:rFonts w:hint="eastAsia" w:ascii="宋体" w:hAnsi="宋体"/>
          <w:sz w:val="36"/>
          <w:szCs w:val="36"/>
        </w:rPr>
      </w:pPr>
      <w:r>
        <w:rPr>
          <w:rFonts w:ascii="宋体" w:hAnsi="宋体"/>
          <w:sz w:val="36"/>
          <w:szCs w:val="36"/>
        </w:rPr>
        <w:t>二零二</w:t>
      </w:r>
      <w:r>
        <w:rPr>
          <w:rFonts w:hint="eastAsia" w:ascii="宋体" w:hAnsi="宋体"/>
          <w:sz w:val="36"/>
          <w:szCs w:val="36"/>
        </w:rPr>
        <w:t>六</w:t>
      </w:r>
      <w:r>
        <w:rPr>
          <w:rFonts w:ascii="宋体" w:hAnsi="宋体"/>
          <w:sz w:val="36"/>
          <w:szCs w:val="36"/>
        </w:rPr>
        <w:t xml:space="preserve">年 </w:t>
      </w:r>
      <w:r>
        <w:rPr>
          <w:rFonts w:hint="eastAsia" w:ascii="宋体" w:hAnsi="宋体"/>
          <w:sz w:val="36"/>
          <w:szCs w:val="36"/>
        </w:rPr>
        <w:t xml:space="preserve"> </w:t>
      </w:r>
      <w:r>
        <w:rPr>
          <w:rFonts w:ascii="宋体" w:hAnsi="宋体"/>
          <w:sz w:val="36"/>
          <w:szCs w:val="36"/>
        </w:rPr>
        <w:t>月  日</w:t>
      </w:r>
    </w:p>
    <w:p w14:paraId="6794B799">
      <w:pPr>
        <w:rPr>
          <w:rFonts w:hint="eastAsia" w:ascii="宋体" w:hAnsi="宋体"/>
          <w:sz w:val="36"/>
          <w:szCs w:val="36"/>
        </w:rPr>
      </w:pPr>
      <w:r>
        <w:rPr>
          <w:rFonts w:ascii="宋体" w:hAnsi="宋体"/>
          <w:sz w:val="36"/>
          <w:szCs w:val="36"/>
        </w:rPr>
        <w:br w:type="page"/>
      </w:r>
    </w:p>
    <w:p w14:paraId="7E241B90">
      <w:pPr>
        <w:spacing w:before="193" w:line="219" w:lineRule="auto"/>
        <w:ind w:left="503"/>
        <w:rPr>
          <w:rFonts w:hint="eastAsia" w:ascii="宋体" w:hAnsi="宋体"/>
          <w:b/>
          <w:bCs/>
          <w:spacing w:val="-8"/>
          <w:u w:val="single"/>
        </w:rPr>
      </w:pPr>
      <w:r>
        <w:rPr>
          <w:rFonts w:ascii="宋体" w:hAnsi="宋体"/>
          <w:b/>
          <w:bCs/>
          <w:spacing w:val="-8"/>
        </w:rPr>
        <w:t>甲方</w:t>
      </w:r>
      <w:r>
        <w:rPr>
          <w:rFonts w:hint="eastAsia" w:ascii="宋体" w:hAnsi="宋体"/>
          <w:b/>
          <w:bCs/>
          <w:spacing w:val="-8"/>
        </w:rPr>
        <w:t>（采购人）</w:t>
      </w:r>
      <w:r>
        <w:rPr>
          <w:rFonts w:ascii="宋体" w:hAnsi="宋体"/>
          <w:b/>
          <w:bCs/>
          <w:spacing w:val="-8"/>
        </w:rPr>
        <w:t>：</w:t>
      </w:r>
      <w:r>
        <w:rPr>
          <w:rFonts w:hint="eastAsia" w:ascii="宋体" w:hAnsi="宋体"/>
          <w:b/>
          <w:bCs/>
          <w:spacing w:val="-8"/>
          <w:u w:val="single"/>
        </w:rPr>
        <w:t>陕西省卫生健康信息中心</w:t>
      </w:r>
    </w:p>
    <w:p w14:paraId="26F4064B">
      <w:pPr>
        <w:spacing w:before="193" w:line="219" w:lineRule="auto"/>
        <w:ind w:left="503"/>
      </w:pPr>
      <w:r>
        <w:rPr>
          <w:rFonts w:ascii="宋体" w:hAnsi="宋体"/>
          <w:b/>
          <w:bCs/>
          <w:spacing w:val="-5"/>
        </w:rPr>
        <w:t>乙方</w:t>
      </w:r>
      <w:r>
        <w:rPr>
          <w:rFonts w:hint="eastAsia" w:ascii="宋体" w:hAnsi="宋体"/>
          <w:b/>
          <w:bCs/>
          <w:spacing w:val="-5"/>
        </w:rPr>
        <w:t>（供应商）</w:t>
      </w:r>
      <w:r>
        <w:rPr>
          <w:rFonts w:ascii="宋体" w:hAnsi="宋体"/>
          <w:b/>
          <w:bCs/>
          <w:spacing w:val="-8"/>
        </w:rPr>
        <w:t>：</w:t>
      </w:r>
      <w:r>
        <w:rPr>
          <w:rFonts w:hint="eastAsia" w:ascii="宋体" w:hAnsi="宋体"/>
          <w:b/>
          <w:bCs/>
          <w:spacing w:val="-8"/>
          <w:u w:val="single"/>
        </w:rPr>
        <w:t xml:space="preserve">              </w:t>
      </w:r>
    </w:p>
    <w:p w14:paraId="7FE682C7">
      <w:pPr>
        <w:widowControl/>
        <w:spacing w:line="360" w:lineRule="auto"/>
        <w:ind w:firstLine="480"/>
        <w:jc w:val="left"/>
        <w:rPr>
          <w:rFonts w:hint="eastAsia" w:ascii="宋体" w:hAnsi="宋体"/>
        </w:rPr>
      </w:pPr>
      <w:r>
        <w:rPr>
          <w:rFonts w:ascii="宋体" w:hAnsi="宋体"/>
        </w:rPr>
        <w:t>202</w:t>
      </w:r>
      <w:r>
        <w:rPr>
          <w:rFonts w:hint="eastAsia" w:ascii="宋体" w:hAnsi="宋体"/>
        </w:rPr>
        <w:t>6</w:t>
      </w:r>
      <w:r>
        <w:rPr>
          <w:rFonts w:ascii="宋体" w:hAnsi="宋体"/>
        </w:rPr>
        <w:t>年</w:t>
      </w:r>
      <w:r>
        <w:rPr>
          <w:rFonts w:hint="eastAsia" w:ascii="宋体" w:hAnsi="宋体"/>
        </w:rPr>
        <w:t xml:space="preserve">  </w:t>
      </w:r>
      <w:r>
        <w:rPr>
          <w:rFonts w:ascii="宋体" w:hAnsi="宋体"/>
        </w:rPr>
        <w:t>月</w:t>
      </w:r>
      <w:r>
        <w:rPr>
          <w:rFonts w:hint="eastAsia" w:ascii="宋体" w:hAnsi="宋体"/>
        </w:rPr>
        <w:t xml:space="preserve">   </w:t>
      </w:r>
      <w:r>
        <w:rPr>
          <w:rFonts w:ascii="宋体" w:hAnsi="宋体"/>
        </w:rPr>
        <w:t>日，(</w:t>
      </w:r>
      <w:r>
        <w:rPr>
          <w:rFonts w:hint="eastAsia" w:ascii="宋体" w:hAnsi="宋体"/>
        </w:rPr>
        <w:t>陕西省卫生健康信息中心</w:t>
      </w:r>
      <w:r>
        <w:rPr>
          <w:rFonts w:ascii="宋体" w:hAnsi="宋体"/>
        </w:rPr>
        <w:t>)(以下简称“甲方”)以</w:t>
      </w:r>
      <w:r>
        <w:rPr>
          <w:rFonts w:hint="eastAsia" w:ascii="宋体" w:hAnsi="宋体"/>
        </w:rPr>
        <w:t>竞争性磋商</w:t>
      </w:r>
      <w:r>
        <w:rPr>
          <w:rFonts w:ascii="宋体" w:hAnsi="宋体"/>
        </w:rPr>
        <w:t>方式对“(</w:t>
      </w:r>
      <w:r>
        <w:rPr>
          <w:rFonts w:hint="eastAsia" w:ascii="宋体" w:hAnsi="宋体"/>
          <w:u w:val="single"/>
        </w:rPr>
        <w:t>项目名称</w:t>
      </w:r>
      <w:r>
        <w:rPr>
          <w:rFonts w:ascii="宋体" w:hAnsi="宋体"/>
        </w:rPr>
        <w:t>)”(项目编号：</w:t>
      </w:r>
      <w:r>
        <w:rPr>
          <w:rFonts w:hint="eastAsia" w:ascii="宋体" w:hAnsi="宋体"/>
        </w:rPr>
        <w:t xml:space="preserve">    </w:t>
      </w:r>
      <w:r>
        <w:rPr>
          <w:rFonts w:ascii="宋体" w:hAnsi="宋体"/>
        </w:rPr>
        <w:t>)进行了招标。经</w:t>
      </w:r>
      <w:r>
        <w:rPr>
          <w:rFonts w:hint="eastAsia" w:ascii="宋体" w:hAnsi="宋体"/>
        </w:rPr>
        <w:t>磋商小组</w:t>
      </w:r>
      <w:r>
        <w:rPr>
          <w:rFonts w:ascii="宋体" w:hAnsi="宋体"/>
        </w:rPr>
        <w:t>评定，</w:t>
      </w:r>
      <w:r>
        <w:rPr>
          <w:rFonts w:ascii="宋体" w:hAnsi="宋体"/>
          <w:u w:val="single"/>
        </w:rPr>
        <w:t>(</w:t>
      </w:r>
      <w:r>
        <w:rPr>
          <w:rFonts w:hint="eastAsia" w:ascii="宋体" w:hAnsi="宋体"/>
          <w:u w:val="single"/>
        </w:rPr>
        <w:t>成交供应商</w:t>
      </w:r>
      <w:r>
        <w:rPr>
          <w:rFonts w:ascii="宋体" w:hAnsi="宋体"/>
          <w:u w:val="single"/>
        </w:rPr>
        <w:t>)</w:t>
      </w:r>
      <w:r>
        <w:rPr>
          <w:rFonts w:ascii="宋体" w:hAnsi="宋体"/>
        </w:rPr>
        <w:t>(以下简称“乙方”)为 该项目</w:t>
      </w:r>
      <w:r>
        <w:rPr>
          <w:rFonts w:hint="eastAsia" w:ascii="宋体" w:hAnsi="宋体"/>
        </w:rPr>
        <w:t>成交</w:t>
      </w:r>
      <w:r>
        <w:rPr>
          <w:rFonts w:ascii="宋体" w:hAnsi="宋体"/>
        </w:rPr>
        <w:t>供应商。现于</w:t>
      </w:r>
      <w:r>
        <w:rPr>
          <w:rFonts w:hint="eastAsia" w:ascii="宋体" w:hAnsi="宋体"/>
        </w:rPr>
        <w:t>成交</w:t>
      </w:r>
      <w:r>
        <w:rPr>
          <w:rFonts w:ascii="宋体" w:hAnsi="宋体"/>
        </w:rPr>
        <w:t>通知书发出之日起三十日内，按照</w:t>
      </w:r>
      <w:r>
        <w:rPr>
          <w:rFonts w:hint="eastAsia" w:ascii="宋体" w:hAnsi="宋体"/>
        </w:rPr>
        <w:t>磋商</w:t>
      </w:r>
      <w:r>
        <w:rPr>
          <w:rFonts w:ascii="宋体" w:hAnsi="宋体"/>
        </w:rPr>
        <w:t>文件确定的事项签订本合同。</w:t>
      </w:r>
    </w:p>
    <w:p w14:paraId="31BD123F">
      <w:pPr>
        <w:widowControl/>
        <w:spacing w:line="360" w:lineRule="auto"/>
        <w:ind w:firstLine="480"/>
        <w:jc w:val="left"/>
        <w:rPr>
          <w:rFonts w:hint="eastAsia" w:ascii="宋体" w:hAnsi="宋体"/>
        </w:rPr>
      </w:pPr>
      <w:r>
        <w:rPr>
          <w:rFonts w:ascii="宋体" w:hAnsi="宋体"/>
        </w:rPr>
        <w:t>根据《中华人民共和国民法典》、《中华人民共和国政府采购法》等相关法律法规之规定，按照平等、自愿、公平和诚实信用的原则，经甲方和乙方协商一致，约定以下合同条款，以兹共同遵守、全面履行。</w:t>
      </w:r>
    </w:p>
    <w:p w14:paraId="5E50CAF3">
      <w:pPr>
        <w:widowControl/>
        <w:spacing w:line="360" w:lineRule="auto"/>
        <w:ind w:firstLine="480"/>
        <w:jc w:val="left"/>
        <w:rPr>
          <w:rFonts w:hint="eastAsia" w:ascii="宋体" w:hAnsi="宋体"/>
          <w:b/>
          <w:bCs/>
        </w:rPr>
      </w:pPr>
      <w:r>
        <w:rPr>
          <w:rFonts w:ascii="宋体" w:hAnsi="宋体"/>
          <w:b/>
          <w:bCs/>
        </w:rPr>
        <w:t>一、合同构成</w:t>
      </w:r>
    </w:p>
    <w:p w14:paraId="663C4A73">
      <w:pPr>
        <w:widowControl/>
        <w:spacing w:line="360" w:lineRule="auto"/>
        <w:ind w:firstLine="480"/>
        <w:jc w:val="left"/>
        <w:rPr>
          <w:rFonts w:hint="eastAsia" w:ascii="宋体" w:hAnsi="宋体"/>
        </w:rPr>
      </w:pPr>
      <w:r>
        <w:rPr>
          <w:rFonts w:ascii="宋体" w:hAnsi="宋体"/>
        </w:rPr>
        <w:t>1、本合同文本</w:t>
      </w:r>
    </w:p>
    <w:p w14:paraId="397B445F">
      <w:pPr>
        <w:widowControl/>
        <w:spacing w:line="360" w:lineRule="auto"/>
        <w:ind w:firstLine="480"/>
        <w:jc w:val="left"/>
        <w:rPr>
          <w:rFonts w:hint="eastAsia" w:ascii="宋体" w:hAnsi="宋体"/>
        </w:rPr>
      </w:pPr>
      <w:r>
        <w:rPr>
          <w:rFonts w:ascii="宋体" w:hAnsi="宋体"/>
        </w:rPr>
        <w:t>2、</w:t>
      </w:r>
      <w:r>
        <w:rPr>
          <w:rFonts w:hint="eastAsia" w:ascii="宋体" w:hAnsi="宋体"/>
        </w:rPr>
        <w:t>成交</w:t>
      </w:r>
      <w:r>
        <w:rPr>
          <w:rFonts w:ascii="宋体" w:hAnsi="宋体"/>
        </w:rPr>
        <w:t>通知书</w:t>
      </w:r>
    </w:p>
    <w:p w14:paraId="0CE61F76">
      <w:pPr>
        <w:widowControl/>
        <w:spacing w:line="360" w:lineRule="auto"/>
        <w:ind w:firstLine="480"/>
        <w:jc w:val="left"/>
        <w:rPr>
          <w:rFonts w:hint="eastAsia" w:ascii="宋体" w:hAnsi="宋体"/>
        </w:rPr>
      </w:pPr>
      <w:r>
        <w:rPr>
          <w:rFonts w:ascii="宋体" w:hAnsi="宋体"/>
        </w:rPr>
        <w:t>3、</w:t>
      </w:r>
      <w:r>
        <w:rPr>
          <w:rFonts w:hint="eastAsia" w:ascii="宋体" w:hAnsi="宋体"/>
        </w:rPr>
        <w:t>磋商响应文件、磋商文件、澄清、修改补充文件</w:t>
      </w:r>
    </w:p>
    <w:p w14:paraId="0D5AA424">
      <w:pPr>
        <w:widowControl/>
        <w:spacing w:line="360" w:lineRule="auto"/>
        <w:ind w:firstLine="482" w:firstLineChars="200"/>
        <w:jc w:val="left"/>
        <w:rPr>
          <w:rFonts w:hint="eastAsia" w:ascii="宋体" w:hAnsi="宋体"/>
          <w:b/>
          <w:bCs/>
        </w:rPr>
      </w:pPr>
      <w:r>
        <w:rPr>
          <w:rFonts w:ascii="宋体" w:hAnsi="宋体"/>
          <w:b/>
          <w:bCs/>
        </w:rPr>
        <w:t>二、服务内容：</w:t>
      </w:r>
    </w:p>
    <w:p w14:paraId="491ED8B1">
      <w:pPr>
        <w:autoSpaceDE w:val="0"/>
        <w:autoSpaceDN w:val="0"/>
        <w:snapToGrid w:val="0"/>
        <w:spacing w:line="360" w:lineRule="auto"/>
        <w:ind w:firstLine="480" w:firstLineChars="200"/>
        <w:textAlignment w:val="auto"/>
        <w:outlineLvl w:val="0"/>
        <w:rPr>
          <w:rFonts w:ascii="宋体" w:hAnsi="宋体" w:cs="宋体"/>
          <w:bCs/>
          <w:szCs w:val="24"/>
        </w:rPr>
      </w:pPr>
      <w:r>
        <w:rPr>
          <w:rFonts w:hint="eastAsia" w:ascii="宋体" w:hAnsi="宋体" w:cs="宋体"/>
          <w:bCs/>
          <w:szCs w:val="24"/>
        </w:rPr>
        <w:t>保障</w:t>
      </w:r>
      <w:r>
        <w:rPr>
          <w:rFonts w:hint="eastAsia" w:ascii="宋体" w:hAnsi="宋体" w:cs="宋体"/>
          <w:bCs/>
          <w:szCs w:val="24"/>
          <w:lang w:eastAsia="zh-CN"/>
        </w:rPr>
        <w:t>国家卫生统计信息网络直报（陕西省卫生健康综合统计系统）</w:t>
      </w:r>
      <w:r>
        <w:rPr>
          <w:rFonts w:hint="eastAsia" w:ascii="宋体" w:hAnsi="宋体" w:cs="宋体"/>
          <w:bCs/>
          <w:szCs w:val="24"/>
        </w:rPr>
        <w:t>正常运行、负责系统日常管理维护工作。主要内容包括系统部分功能完善</w:t>
      </w:r>
      <w:r>
        <w:rPr>
          <w:rFonts w:hint="eastAsia" w:ascii="宋体" w:hAnsi="宋体" w:cs="宋体"/>
          <w:bCs/>
          <w:szCs w:val="24"/>
          <w:lang w:val="en-US" w:eastAsia="zh-CN"/>
        </w:rPr>
        <w:t>升级</w:t>
      </w:r>
      <w:r>
        <w:rPr>
          <w:rFonts w:hint="eastAsia" w:ascii="宋体" w:hAnsi="宋体" w:cs="宋体"/>
          <w:bCs/>
          <w:szCs w:val="24"/>
        </w:rPr>
        <w:t>及应用系统的日常维护、故障诊断、问题排除、性能调整</w:t>
      </w:r>
      <w:r>
        <w:rPr>
          <w:rFonts w:hint="eastAsia" w:ascii="宋体" w:hAnsi="宋体" w:cs="宋体"/>
          <w:bCs/>
          <w:szCs w:val="24"/>
          <w:lang w:eastAsia="zh-CN"/>
        </w:rPr>
        <w:t>、</w:t>
      </w:r>
      <w:r>
        <w:rPr>
          <w:rFonts w:hint="eastAsia" w:ascii="宋体" w:hAnsi="宋体" w:cs="宋体"/>
          <w:bCs/>
          <w:szCs w:val="24"/>
        </w:rPr>
        <w:t>规划建议</w:t>
      </w:r>
      <w:r>
        <w:rPr>
          <w:rFonts w:hint="eastAsia" w:ascii="宋体" w:hAnsi="宋体" w:cs="宋体"/>
          <w:bCs/>
          <w:szCs w:val="24"/>
          <w:lang w:val="en-US" w:eastAsia="zh-CN"/>
        </w:rPr>
        <w:t>以及分析报告开发、指标查询</w:t>
      </w:r>
      <w:r>
        <w:rPr>
          <w:rFonts w:hint="eastAsia" w:ascii="宋体" w:hAnsi="宋体" w:cs="宋体"/>
          <w:bCs/>
          <w:szCs w:val="24"/>
        </w:rPr>
        <w:t>等。</w:t>
      </w:r>
    </w:p>
    <w:p w14:paraId="27B2A102">
      <w:pPr>
        <w:widowControl/>
        <w:numPr>
          <w:ilvl w:val="0"/>
          <w:numId w:val="1"/>
        </w:numPr>
        <w:spacing w:line="360" w:lineRule="auto"/>
        <w:ind w:firstLine="482" w:firstLineChars="200"/>
        <w:jc w:val="left"/>
        <w:rPr>
          <w:rFonts w:hint="eastAsia" w:ascii="宋体" w:hAnsi="宋体"/>
        </w:rPr>
      </w:pPr>
      <w:r>
        <w:rPr>
          <w:rFonts w:ascii="宋体" w:hAnsi="宋体"/>
          <w:b/>
          <w:bCs/>
        </w:rPr>
        <w:t>运维服务期：</w:t>
      </w:r>
      <w:r>
        <w:rPr>
          <w:rFonts w:hint="eastAsia" w:ascii="宋体" w:hAnsi="宋体" w:cs="宋体"/>
          <w:szCs w:val="24"/>
        </w:rPr>
        <w:t>自合同签订后一年。</w:t>
      </w:r>
    </w:p>
    <w:p w14:paraId="4F22BE88">
      <w:pPr>
        <w:widowControl/>
        <w:numPr>
          <w:ilvl w:val="0"/>
          <w:numId w:val="1"/>
        </w:numPr>
        <w:spacing w:line="360" w:lineRule="auto"/>
        <w:ind w:firstLine="482" w:firstLineChars="200"/>
        <w:jc w:val="left"/>
        <w:rPr>
          <w:rFonts w:hint="eastAsia" w:ascii="宋体" w:hAnsi="宋体"/>
        </w:rPr>
      </w:pPr>
      <w:r>
        <w:rPr>
          <w:rFonts w:ascii="宋体" w:hAnsi="宋体"/>
          <w:b/>
          <w:bCs/>
        </w:rPr>
        <w:t>四、运维服务地点：</w:t>
      </w:r>
      <w:r>
        <w:rPr>
          <w:rFonts w:hint="eastAsia" w:ascii="宋体" w:hAnsi="宋体"/>
        </w:rPr>
        <w:t>采购人</w:t>
      </w:r>
      <w:r>
        <w:rPr>
          <w:rFonts w:ascii="宋体" w:hAnsi="宋体"/>
        </w:rPr>
        <w:t>指定地点。</w:t>
      </w:r>
    </w:p>
    <w:p w14:paraId="25A3A0FB">
      <w:pPr>
        <w:widowControl/>
        <w:spacing w:line="360" w:lineRule="auto"/>
        <w:ind w:firstLine="482" w:firstLineChars="200"/>
        <w:jc w:val="left"/>
        <w:rPr>
          <w:rFonts w:hint="eastAsia" w:ascii="宋体" w:hAnsi="宋体"/>
          <w:color w:val="auto"/>
        </w:rPr>
      </w:pPr>
      <w:r>
        <w:rPr>
          <w:rFonts w:ascii="宋体" w:hAnsi="宋体"/>
          <w:b/>
          <w:bCs/>
          <w:color w:val="auto"/>
        </w:rPr>
        <w:t>五、本合同总价为：</w:t>
      </w:r>
      <w:r>
        <w:rPr>
          <w:rFonts w:ascii="宋体" w:hAnsi="宋体"/>
          <w:color w:val="auto"/>
        </w:rPr>
        <w:t>人民币</w:t>
      </w:r>
      <w:r>
        <w:rPr>
          <w:rFonts w:hint="eastAsia" w:ascii="宋体" w:hAnsi="宋体"/>
          <w:color w:val="auto"/>
        </w:rPr>
        <w:t xml:space="preserve">       </w:t>
      </w:r>
      <w:r>
        <w:rPr>
          <w:rFonts w:ascii="宋体" w:hAnsi="宋体"/>
          <w:color w:val="auto"/>
        </w:rPr>
        <w:t>元整(¥</w:t>
      </w:r>
      <w:r>
        <w:rPr>
          <w:rFonts w:hint="eastAsia" w:ascii="宋体" w:hAnsi="宋体"/>
          <w:color w:val="auto"/>
          <w:u w:val="single"/>
        </w:rPr>
        <w:t xml:space="preserve">       </w:t>
      </w:r>
      <w:r>
        <w:rPr>
          <w:rFonts w:ascii="宋体" w:hAnsi="宋体"/>
          <w:color w:val="auto"/>
        </w:rPr>
        <w:t>)</w:t>
      </w:r>
    </w:p>
    <w:p w14:paraId="767D050E">
      <w:pPr>
        <w:widowControl/>
        <w:spacing w:line="360" w:lineRule="auto"/>
        <w:ind w:firstLine="482" w:firstLineChars="200"/>
        <w:jc w:val="left"/>
        <w:rPr>
          <w:rFonts w:hint="eastAsia" w:ascii="宋体" w:hAnsi="宋体"/>
          <w:b/>
          <w:bCs/>
          <w:color w:val="auto"/>
        </w:rPr>
      </w:pPr>
      <w:r>
        <w:rPr>
          <w:rFonts w:ascii="宋体" w:hAnsi="宋体"/>
          <w:b/>
          <w:bCs/>
          <w:color w:val="auto"/>
        </w:rPr>
        <w:t>六、付款方式和发票开具方式</w:t>
      </w:r>
    </w:p>
    <w:p w14:paraId="18BAFCDA">
      <w:pPr>
        <w:spacing w:line="360" w:lineRule="auto"/>
        <w:ind w:left="0" w:leftChars="0" w:firstLine="480" w:firstLineChars="200"/>
        <w:rPr>
          <w:rFonts w:hint="eastAsia" w:ascii="宋体" w:hAnsi="宋体" w:eastAsia="宋体" w:cs="Times New Roman"/>
          <w:color w:val="auto"/>
        </w:rPr>
      </w:pPr>
      <w:r>
        <w:rPr>
          <w:rFonts w:hint="eastAsia" w:ascii="宋体" w:hAnsi="宋体" w:eastAsia="宋体"/>
          <w:color w:val="auto"/>
        </w:rPr>
        <w:t>6.1付款方式：</w:t>
      </w:r>
      <w:r>
        <w:rPr>
          <w:rFonts w:hint="eastAsia" w:ascii="宋体" w:hAnsi="宋体" w:eastAsia="宋体" w:cs="Times New Roman"/>
          <w:color w:val="auto"/>
        </w:rPr>
        <w:t>自签订合同起，甲方收到乙方开具的全额增值税发票后30个工作日内，支付合同总金额的</w:t>
      </w:r>
      <w:r>
        <w:rPr>
          <w:rFonts w:hint="eastAsia" w:ascii="宋体" w:hAnsi="宋体" w:cs="Times New Roman"/>
          <w:color w:val="auto"/>
          <w:lang w:val="en-US" w:eastAsia="zh-CN"/>
        </w:rPr>
        <w:t>90</w:t>
      </w:r>
      <w:r>
        <w:rPr>
          <w:rFonts w:hint="eastAsia" w:ascii="宋体" w:hAnsi="宋体" w:eastAsia="宋体" w:cs="Times New Roman"/>
          <w:color w:val="auto"/>
        </w:rPr>
        <w:t>%；合同期满后，乙方提交《验收申请》，甲方验收合格后30个工作日内，乙方提交付款申请后，支付剩余</w:t>
      </w:r>
      <w:r>
        <w:rPr>
          <w:rFonts w:hint="eastAsia" w:ascii="宋体" w:hAnsi="宋体" w:cs="Times New Roman"/>
          <w:color w:val="auto"/>
          <w:lang w:val="en-US" w:eastAsia="zh-CN"/>
        </w:rPr>
        <w:t>10</w:t>
      </w:r>
      <w:r>
        <w:rPr>
          <w:rFonts w:hint="eastAsia" w:ascii="宋体" w:hAnsi="宋体" w:eastAsia="宋体" w:cs="Times New Roman"/>
          <w:color w:val="auto"/>
        </w:rPr>
        <w:t>%。</w:t>
      </w:r>
    </w:p>
    <w:p w14:paraId="36DA7C7C">
      <w:pPr>
        <w:widowControl/>
        <w:spacing w:line="360" w:lineRule="auto"/>
        <w:ind w:firstLine="480"/>
        <w:jc w:val="left"/>
        <w:rPr>
          <w:rFonts w:hint="eastAsia" w:ascii="宋体" w:hAnsi="宋体"/>
          <w:color w:val="auto"/>
        </w:rPr>
      </w:pPr>
      <w:r>
        <w:rPr>
          <w:rFonts w:hint="eastAsia" w:ascii="宋体" w:hAnsi="宋体"/>
          <w:color w:val="auto"/>
        </w:rPr>
        <w:t>6.2</w:t>
      </w:r>
      <w:r>
        <w:rPr>
          <w:rFonts w:ascii="宋体" w:hAnsi="宋体"/>
          <w:color w:val="auto"/>
        </w:rPr>
        <w:t>乙方在甲方办理以上各期付款的支付手续前，向甲方出具等额的符合国家规定的发票</w:t>
      </w:r>
      <w:r>
        <w:rPr>
          <w:rFonts w:hint="eastAsia" w:ascii="宋体" w:hAnsi="宋体"/>
          <w:color w:val="auto"/>
        </w:rPr>
        <w:t>。</w:t>
      </w:r>
    </w:p>
    <w:p w14:paraId="7749153F">
      <w:pPr>
        <w:widowControl/>
        <w:spacing w:line="360" w:lineRule="auto"/>
        <w:ind w:firstLine="480"/>
        <w:jc w:val="left"/>
        <w:rPr>
          <w:rFonts w:ascii="宋体" w:hAnsi="宋体"/>
          <w:b/>
          <w:bCs/>
          <w:color w:val="auto"/>
        </w:rPr>
      </w:pPr>
      <w:r>
        <w:rPr>
          <w:rFonts w:ascii="宋体" w:hAnsi="宋体"/>
          <w:b/>
          <w:bCs/>
          <w:color w:val="auto"/>
        </w:rPr>
        <w:t>七</w:t>
      </w:r>
      <w:r>
        <w:rPr>
          <w:rFonts w:hint="eastAsia" w:ascii="宋体" w:hAnsi="宋体"/>
          <w:b/>
          <w:bCs/>
          <w:color w:val="auto"/>
        </w:rPr>
        <w:t>、</w:t>
      </w:r>
      <w:r>
        <w:rPr>
          <w:rFonts w:ascii="宋体" w:hAnsi="宋体"/>
          <w:b/>
          <w:bCs/>
          <w:color w:val="auto"/>
        </w:rPr>
        <w:t>运维服务要求</w:t>
      </w:r>
    </w:p>
    <w:p w14:paraId="64793074">
      <w:pPr>
        <w:widowControl/>
        <w:spacing w:line="360" w:lineRule="auto"/>
        <w:ind w:firstLine="480"/>
        <w:jc w:val="left"/>
        <w:rPr>
          <w:rFonts w:hint="eastAsia" w:ascii="宋体" w:hAnsi="宋体" w:cs="宋体"/>
          <w:bCs/>
          <w:szCs w:val="24"/>
          <w:lang w:val="en-US" w:eastAsia="zh-CN"/>
        </w:rPr>
      </w:pPr>
      <w:bookmarkStart w:id="0" w:name="_GoBack"/>
      <w:bookmarkEnd w:id="0"/>
      <w:r>
        <w:rPr>
          <w:rFonts w:hint="eastAsia" w:ascii="宋体" w:hAnsi="宋体" w:cs="宋体"/>
          <w:bCs/>
          <w:szCs w:val="24"/>
          <w:lang w:val="en-US" w:eastAsia="zh-CN"/>
        </w:rPr>
        <w:t>供应商须委派2名具备丰富卫生统计信息网络直报系统运维经验的人员组成驻场运维团队，常驻陕西省卫生健康信息中心现场办公，及时解决系统运行及用户操作中的各类问题，并承担系统信息管理与维护工作，包括对系统各类信息和数据的存储、转换、访问、调用、发布等操作维护，以及系统数据与配置文件的自动化或定期手工全量备份（含部署程序包及工作目录配置文件，每次备份需填写《备份记录》），并提供核心数据恢复服务，确保恢复后数据的完整性与质量符合采购方要求；同时配备远程运维工程师，通过邮件、电话、网络等手段远程协助解决用户问题。针对突发故障，供应商须提供应急维护服务，在系统异常导致业务中断时，高级技术支持工程师应在30分钟内响应，快速排查恢复并填写《现场支持问题反馈单》，总结原因并纳入知识库管理；同时须制定系统应急恢复及数据应急恢复方案，在自然灾害或社会事件等极端情况下确保系统部分或总体稳定运行，并填写《系统故障报告》。在运维期间，供应商还须提供系统优化及数据利用规划等咨询规划服务，长期关注系统运行状况并提出资源配置与软件配置优化建议；结合省级政务信创云环境，从系统资源分配、软件配置等角度进行性能调优，并针对系统不定时提供安全漏洞整改及三级等保测评问题整改服务，确保系统满足政务系统运行安全要求。供应商须与采购方签署保密协议，对系统存储信息、网络结构、应用系统、组织架构等所有可能泄露的信息严格保密，项目组成员须接受保密教育并签署个人保密协议，杜绝将采购方数据用于运维之外的任何用途。运维期结束后，供应商应继续提供5×8小时热线电话及电子邮件等免费技术支持，并对现场支持、定期巡检、系统升级及培训等提供有偿技术服务。运维期内，供应商还须根据工作实际需求，为省卫健委内部各业务处室、信息中心及各级用户提供分层级系统操作培训，确保各级用户能够正常使用系统功能。</w:t>
      </w:r>
    </w:p>
    <w:p w14:paraId="1F9BEEBF">
      <w:pPr>
        <w:widowControl/>
        <w:spacing w:line="360" w:lineRule="auto"/>
        <w:ind w:firstLine="723" w:firstLineChars="300"/>
        <w:jc w:val="left"/>
        <w:rPr>
          <w:rFonts w:hint="eastAsia" w:ascii="宋体" w:hAnsi="宋体"/>
          <w:b/>
          <w:bCs/>
        </w:rPr>
      </w:pPr>
      <w:r>
        <w:rPr>
          <w:rFonts w:ascii="宋体" w:hAnsi="宋体"/>
          <w:b/>
          <w:bCs/>
        </w:rPr>
        <w:t>八、项目验收</w:t>
      </w:r>
    </w:p>
    <w:p w14:paraId="567AC843">
      <w:pPr>
        <w:widowControl/>
        <w:spacing w:line="360" w:lineRule="auto"/>
        <w:ind w:firstLine="480"/>
        <w:jc w:val="left"/>
        <w:rPr>
          <w:rFonts w:hint="eastAsia" w:ascii="宋体" w:hAnsi="宋体"/>
        </w:rPr>
      </w:pPr>
      <w:r>
        <w:rPr>
          <w:rFonts w:ascii="宋体" w:hAnsi="宋体"/>
        </w:rPr>
        <w:t>8.1项目验收由甲方或其委托的专家或第三方机构对项目进行验收，验收时，乙方应无条件予以配合并提供所需的全部资料；</w:t>
      </w:r>
    </w:p>
    <w:p w14:paraId="6FA16D52">
      <w:pPr>
        <w:widowControl/>
        <w:spacing w:line="360" w:lineRule="auto"/>
        <w:ind w:firstLine="480"/>
        <w:jc w:val="left"/>
        <w:rPr>
          <w:rFonts w:ascii="宋体" w:hAnsi="宋体"/>
        </w:rPr>
      </w:pPr>
      <w:r>
        <w:rPr>
          <w:rFonts w:ascii="宋体" w:hAnsi="宋体"/>
        </w:rPr>
        <w:t>8.2验收依据：磋商文件、磋商响应文件、合同文本、国内相应的标准、规范</w:t>
      </w:r>
      <w:r>
        <w:rPr>
          <w:rFonts w:hint="eastAsia" w:ascii="宋体" w:hAnsi="宋体"/>
          <w:lang w:val="en-US" w:eastAsia="zh-CN"/>
        </w:rPr>
        <w:t>、</w:t>
      </w:r>
      <w:r>
        <w:rPr>
          <w:rFonts w:hint="eastAsia" w:ascii="宋体" w:hAnsi="宋体" w:eastAsia="宋体" w:cs="宋体"/>
          <w:sz w:val="24"/>
          <w:szCs w:val="24"/>
          <w:lang w:val="en-US" w:eastAsia="zh-CN"/>
        </w:rPr>
        <w:t>运维相关</w:t>
      </w:r>
      <w:r>
        <w:rPr>
          <w:rFonts w:ascii="宋体" w:hAnsi="宋体" w:eastAsia="宋体" w:cs="宋体"/>
          <w:sz w:val="24"/>
          <w:szCs w:val="24"/>
        </w:rPr>
        <w:t>巡检报告</w:t>
      </w:r>
      <w:r>
        <w:rPr>
          <w:rFonts w:hint="eastAsia" w:ascii="宋体" w:hAnsi="宋体" w:cs="宋体"/>
          <w:sz w:val="24"/>
          <w:szCs w:val="24"/>
          <w:lang w:eastAsia="zh-CN"/>
        </w:rPr>
        <w:t>、</w:t>
      </w:r>
      <w:r>
        <w:rPr>
          <w:rFonts w:ascii="宋体" w:hAnsi="宋体" w:eastAsia="宋体" w:cs="宋体"/>
          <w:sz w:val="24"/>
          <w:szCs w:val="24"/>
        </w:rPr>
        <w:t>年报月报技术支持记录、数据治理报告、安全整改报告</w:t>
      </w:r>
      <w:r>
        <w:rPr>
          <w:rFonts w:hint="eastAsia" w:ascii="宋体" w:hAnsi="宋体" w:eastAsia="宋体" w:cs="宋体"/>
          <w:sz w:val="24"/>
          <w:szCs w:val="24"/>
          <w:lang w:val="en-US" w:eastAsia="zh-CN"/>
        </w:rPr>
        <w:t>等资料</w:t>
      </w:r>
      <w:r>
        <w:rPr>
          <w:rFonts w:ascii="宋体" w:hAnsi="宋体"/>
        </w:rPr>
        <w:t>。</w:t>
      </w:r>
    </w:p>
    <w:p w14:paraId="4742C747">
      <w:pPr>
        <w:widowControl/>
        <w:spacing w:line="360" w:lineRule="auto"/>
        <w:ind w:firstLine="480"/>
        <w:jc w:val="left"/>
        <w:rPr>
          <w:rFonts w:hint="default" w:ascii="宋体" w:hAnsi="宋体" w:eastAsia="宋体"/>
          <w:lang w:val="en-US" w:eastAsia="zh-CN"/>
        </w:rPr>
      </w:pPr>
      <w:r>
        <w:rPr>
          <w:rFonts w:hint="eastAsia" w:ascii="宋体" w:hAnsi="宋体"/>
          <w:lang w:val="en-US" w:eastAsia="zh-CN"/>
        </w:rPr>
        <w:t>8.3验收交付物：包括但不限于</w:t>
      </w:r>
      <w:r>
        <w:rPr>
          <w:rFonts w:hint="eastAsia" w:ascii="宋体" w:hAnsi="宋体" w:eastAsia="宋体" w:cs="宋体"/>
          <w:sz w:val="24"/>
          <w:szCs w:val="24"/>
          <w:lang w:val="en-US" w:eastAsia="zh-CN"/>
        </w:rPr>
        <w:t>开发相关需求调研、开发、测试、试运行资料；运维相关</w:t>
      </w:r>
      <w:r>
        <w:rPr>
          <w:rFonts w:ascii="宋体" w:hAnsi="宋体" w:eastAsia="宋体" w:cs="宋体"/>
          <w:sz w:val="24"/>
          <w:szCs w:val="24"/>
        </w:rPr>
        <w:t>巡检报告、月度运维台账、年报月报技术支持记录、数据治理报告、安全整改报告</w:t>
      </w:r>
      <w:r>
        <w:rPr>
          <w:rFonts w:hint="eastAsia" w:ascii="宋体" w:hAnsi="宋体" w:eastAsia="宋体" w:cs="宋体"/>
          <w:sz w:val="24"/>
          <w:szCs w:val="24"/>
          <w:lang w:val="en-US" w:eastAsia="zh-CN"/>
        </w:rPr>
        <w:t>等资料</w:t>
      </w:r>
      <w:r>
        <w:rPr>
          <w:rFonts w:hint="eastAsia" w:ascii="宋体" w:hAnsi="宋体" w:cs="宋体"/>
          <w:sz w:val="24"/>
          <w:szCs w:val="24"/>
          <w:lang w:val="en-US" w:eastAsia="zh-CN"/>
        </w:rPr>
        <w:t>。</w:t>
      </w:r>
    </w:p>
    <w:p w14:paraId="17540CAF">
      <w:pPr>
        <w:widowControl/>
        <w:spacing w:line="360" w:lineRule="auto"/>
        <w:ind w:firstLine="480"/>
        <w:jc w:val="left"/>
        <w:rPr>
          <w:rFonts w:hint="eastAsia" w:ascii="宋体" w:hAnsi="宋体"/>
          <w:b/>
          <w:bCs/>
        </w:rPr>
      </w:pPr>
      <w:r>
        <w:rPr>
          <w:rFonts w:ascii="宋体" w:hAnsi="宋体"/>
          <w:b/>
          <w:bCs/>
        </w:rPr>
        <w:t>九、知识产权</w:t>
      </w:r>
    </w:p>
    <w:p w14:paraId="7BF92420">
      <w:pPr>
        <w:autoSpaceDE w:val="0"/>
        <w:autoSpaceDN w:val="0"/>
        <w:snapToGrid w:val="0"/>
        <w:spacing w:line="360" w:lineRule="auto"/>
        <w:ind w:firstLine="480" w:firstLineChars="200"/>
        <w:rPr>
          <w:rFonts w:ascii="宋体" w:hAnsi="宋体" w:cs="宋体"/>
        </w:rPr>
      </w:pPr>
      <w:r>
        <w:rPr>
          <w:rFonts w:hint="eastAsia" w:ascii="宋体" w:hAnsi="宋体" w:cs="宋体"/>
        </w:rPr>
        <w:t xml:space="preserve">1.本项目所涉及到的所有成果的知识产权归采购人所有。 </w:t>
      </w:r>
    </w:p>
    <w:p w14:paraId="5407F3DA">
      <w:pPr>
        <w:autoSpaceDE w:val="0"/>
        <w:autoSpaceDN w:val="0"/>
        <w:snapToGrid w:val="0"/>
        <w:spacing w:line="360" w:lineRule="auto"/>
        <w:ind w:firstLine="480" w:firstLineChars="200"/>
        <w:rPr>
          <w:rFonts w:ascii="宋体" w:hAnsi="宋体" w:cs="宋体"/>
        </w:rPr>
      </w:pPr>
      <w:r>
        <w:rPr>
          <w:rFonts w:hint="eastAsia" w:ascii="宋体" w:hAnsi="宋体" w:cs="宋体"/>
        </w:rPr>
        <w:t xml:space="preserve">2.供应商无论出于任何目的如在其他地方使用该成果，必须经采购人同意方可使用。否则，贵采购人有权要求终止涉及到该中标知识产权的任何使用活动并保留追究卖方相应的法律责任的权利。 </w:t>
      </w:r>
    </w:p>
    <w:p w14:paraId="17931EA1">
      <w:pPr>
        <w:autoSpaceDE w:val="0"/>
        <w:autoSpaceDN w:val="0"/>
        <w:snapToGrid w:val="0"/>
        <w:spacing w:line="360" w:lineRule="auto"/>
        <w:ind w:firstLine="480" w:firstLineChars="200"/>
        <w:rPr>
          <w:rFonts w:ascii="宋体" w:hAnsi="宋体" w:cs="宋体"/>
        </w:rPr>
      </w:pPr>
      <w:r>
        <w:rPr>
          <w:rFonts w:hint="eastAsia" w:ascii="宋体" w:hAnsi="宋体" w:cs="宋体"/>
        </w:rPr>
        <w:t>3.供应商为执行本合同而提供的技术资料使用权归采购人所有。</w:t>
      </w:r>
    </w:p>
    <w:p w14:paraId="0E388929">
      <w:pPr>
        <w:widowControl/>
        <w:spacing w:line="360" w:lineRule="auto"/>
        <w:ind w:firstLine="480"/>
        <w:jc w:val="left"/>
        <w:rPr>
          <w:rFonts w:hint="eastAsia" w:ascii="宋体" w:hAnsi="宋体"/>
          <w:b/>
          <w:bCs/>
        </w:rPr>
      </w:pPr>
      <w:r>
        <w:rPr>
          <w:rFonts w:ascii="宋体" w:hAnsi="宋体"/>
          <w:b/>
          <w:bCs/>
        </w:rPr>
        <w:t>十、违约责任</w:t>
      </w:r>
    </w:p>
    <w:p w14:paraId="72888BF7">
      <w:pPr>
        <w:widowControl/>
        <w:spacing w:line="360" w:lineRule="auto"/>
        <w:ind w:firstLine="480"/>
        <w:jc w:val="left"/>
        <w:rPr>
          <w:rFonts w:hint="eastAsia" w:ascii="宋体" w:hAnsi="宋体"/>
        </w:rPr>
      </w:pPr>
      <w:r>
        <w:rPr>
          <w:rFonts w:ascii="宋体" w:hAnsi="宋体"/>
        </w:rPr>
        <w:t>10.1除不可抗力外，如果乙方没有按照本合同约定的期限、地点和方式履行，那么甲方可要求乙方支付违约金，违约金按每迟延履行一日的应提供而未提供服务价格的0.5%计算，最高限额为本合同总价的5%;迟延履行的违约金计算数额达到前述最高限额之日起，甲方有权在要求乙方支付违约金的同时，书面通知乙方解除本合同；</w:t>
      </w:r>
    </w:p>
    <w:p w14:paraId="18C38C15">
      <w:pPr>
        <w:widowControl/>
        <w:spacing w:line="360" w:lineRule="auto"/>
        <w:ind w:firstLine="480"/>
        <w:jc w:val="left"/>
        <w:rPr>
          <w:rFonts w:hint="eastAsia" w:ascii="宋体" w:hAnsi="宋体"/>
        </w:rPr>
      </w:pPr>
      <w:r>
        <w:rPr>
          <w:rFonts w:ascii="宋体" w:hAnsi="宋体"/>
        </w:rPr>
        <w:t>10.2除不可抗力外，如果甲方没有按照本合同约定的付款方式付款，那么乙方可要求甲方支付违约金，违约金按每迟延付款一日的应付而未付款的0.5%计算，最高限额为本合同总价的5%;迟延付款的违约金计算数额达到前述最高限额之日起，乙方有权在要求甲方支付违约金的同时，书面通知甲方解除本合同；</w:t>
      </w:r>
    </w:p>
    <w:p w14:paraId="7FFDA459">
      <w:pPr>
        <w:widowControl/>
        <w:spacing w:line="360" w:lineRule="auto"/>
        <w:ind w:firstLine="480"/>
        <w:jc w:val="left"/>
        <w:rPr>
          <w:rFonts w:hint="eastAsia" w:ascii="宋体" w:hAnsi="宋体"/>
          <w:b/>
          <w:bCs/>
        </w:rPr>
      </w:pPr>
      <w:r>
        <w:rPr>
          <w:rFonts w:ascii="宋体" w:hAnsi="宋体"/>
          <w:b/>
          <w:bCs/>
        </w:rPr>
        <w:t>十一、质量保证</w:t>
      </w:r>
    </w:p>
    <w:p w14:paraId="36ADAD79">
      <w:pPr>
        <w:widowControl/>
        <w:spacing w:line="360" w:lineRule="auto"/>
        <w:ind w:firstLine="480"/>
        <w:jc w:val="left"/>
        <w:rPr>
          <w:rFonts w:hint="eastAsia" w:ascii="宋体" w:hAnsi="宋体"/>
        </w:rPr>
      </w:pPr>
      <w:r>
        <w:rPr>
          <w:rFonts w:ascii="宋体" w:hAnsi="宋体"/>
        </w:rPr>
        <w:t>11.1乙方应建立和完善履行合同的内部质量保证体系，并提供相关内部规章制度给甲方，以便甲方进行监督检查；</w:t>
      </w:r>
    </w:p>
    <w:p w14:paraId="28BD0028">
      <w:pPr>
        <w:widowControl/>
        <w:spacing w:line="360" w:lineRule="auto"/>
        <w:ind w:firstLine="480"/>
        <w:jc w:val="left"/>
        <w:rPr>
          <w:rFonts w:hint="eastAsia" w:ascii="宋体" w:hAnsi="宋体"/>
        </w:rPr>
      </w:pPr>
      <w:r>
        <w:rPr>
          <w:rFonts w:ascii="宋体" w:hAnsi="宋体"/>
        </w:rPr>
        <w:t>11.2乙方应保证履行合同的人员数量和素质、软件和硬件设备的配置、场地、环境和设施等满足全面履行合同的要求，并应接受甲方的监督检查。</w:t>
      </w:r>
    </w:p>
    <w:p w14:paraId="15AA50DA">
      <w:pPr>
        <w:widowControl/>
        <w:spacing w:line="360" w:lineRule="auto"/>
        <w:ind w:firstLine="480"/>
        <w:jc w:val="left"/>
        <w:rPr>
          <w:rFonts w:hint="eastAsia" w:ascii="宋体" w:hAnsi="宋体"/>
          <w:b/>
          <w:bCs/>
        </w:rPr>
      </w:pPr>
      <w:r>
        <w:rPr>
          <w:rFonts w:ascii="宋体" w:hAnsi="宋体"/>
          <w:b/>
          <w:bCs/>
        </w:rPr>
        <w:t>十二、延迟履行</w:t>
      </w:r>
    </w:p>
    <w:p w14:paraId="2587BAFD">
      <w:pPr>
        <w:widowControl/>
        <w:spacing w:line="360" w:lineRule="auto"/>
        <w:ind w:firstLine="480"/>
        <w:jc w:val="left"/>
        <w:rPr>
          <w:rFonts w:hint="eastAsia" w:ascii="宋体" w:hAnsi="宋体"/>
        </w:rPr>
      </w:pPr>
      <w:r>
        <w:rPr>
          <w:rFonts w:ascii="宋体" w:hAnsi="宋体"/>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3963BBC4">
      <w:pPr>
        <w:widowControl/>
        <w:spacing w:line="360" w:lineRule="auto"/>
        <w:ind w:firstLine="480"/>
        <w:jc w:val="left"/>
        <w:rPr>
          <w:rFonts w:hint="eastAsia" w:ascii="宋体" w:hAnsi="宋体"/>
          <w:b/>
          <w:bCs/>
        </w:rPr>
      </w:pPr>
      <w:r>
        <w:rPr>
          <w:rFonts w:ascii="宋体" w:hAnsi="宋体"/>
          <w:b/>
          <w:bCs/>
        </w:rPr>
        <w:t>十三、转让</w:t>
      </w:r>
    </w:p>
    <w:p w14:paraId="21B0B43B">
      <w:pPr>
        <w:widowControl/>
        <w:spacing w:line="360" w:lineRule="auto"/>
        <w:ind w:firstLine="480"/>
        <w:jc w:val="left"/>
        <w:rPr>
          <w:rFonts w:hint="eastAsia" w:ascii="宋体" w:hAnsi="宋体"/>
        </w:rPr>
      </w:pPr>
      <w:r>
        <w:rPr>
          <w:rFonts w:ascii="宋体" w:hAnsi="宋体"/>
        </w:rPr>
        <w:t>未经甲方事先书面同意，乙方不得部分转让或全部转让其应履行的合同义务。</w:t>
      </w:r>
    </w:p>
    <w:p w14:paraId="5C702F73">
      <w:pPr>
        <w:widowControl/>
        <w:spacing w:line="360" w:lineRule="auto"/>
        <w:ind w:firstLine="480"/>
        <w:jc w:val="left"/>
        <w:rPr>
          <w:rFonts w:hint="eastAsia" w:ascii="宋体" w:hAnsi="宋体"/>
          <w:b/>
          <w:bCs/>
        </w:rPr>
      </w:pPr>
      <w:r>
        <w:rPr>
          <w:rFonts w:ascii="宋体" w:hAnsi="宋体"/>
          <w:b/>
          <w:bCs/>
        </w:rPr>
        <w:t>十四、乙方履约延误</w:t>
      </w:r>
    </w:p>
    <w:p w14:paraId="544542E1">
      <w:pPr>
        <w:widowControl/>
        <w:spacing w:line="360" w:lineRule="auto"/>
        <w:ind w:firstLine="480"/>
        <w:jc w:val="left"/>
        <w:rPr>
          <w:rFonts w:hint="eastAsia" w:ascii="宋体" w:hAnsi="宋体"/>
        </w:rPr>
      </w:pPr>
      <w:r>
        <w:rPr>
          <w:rFonts w:ascii="宋体" w:hAnsi="宋体"/>
        </w:rPr>
        <w:t>14.1乙方应在规定的服务期内提供服务。</w:t>
      </w:r>
    </w:p>
    <w:p w14:paraId="499BFB47">
      <w:pPr>
        <w:widowControl/>
        <w:spacing w:line="360" w:lineRule="auto"/>
        <w:ind w:firstLine="480"/>
        <w:jc w:val="left"/>
        <w:rPr>
          <w:rFonts w:hint="eastAsia" w:ascii="宋体" w:hAnsi="宋体"/>
        </w:rPr>
      </w:pPr>
      <w:r>
        <w:rPr>
          <w:rFonts w:ascii="宋体" w:hAnsi="宋体"/>
        </w:rPr>
        <w:t>14.2在履行合同过程中，如果乙方遇到妨碍提供服务的情况时，应及时以书面形式将拖延的事实、可能拖延的时间和原因通知甲方。甲方在收到乙方通知后，应尽快对情况进行评价，并确定是否同意，以及是否收取误期赔偿费。延期应通过修改合同的方式由双方认可。</w:t>
      </w:r>
    </w:p>
    <w:p w14:paraId="14147D0E">
      <w:pPr>
        <w:widowControl/>
        <w:spacing w:line="360" w:lineRule="auto"/>
        <w:ind w:firstLine="480"/>
        <w:jc w:val="left"/>
        <w:rPr>
          <w:rFonts w:hint="eastAsia" w:ascii="宋体" w:hAnsi="宋体"/>
          <w:b/>
          <w:bCs/>
        </w:rPr>
      </w:pPr>
      <w:r>
        <w:rPr>
          <w:rFonts w:ascii="宋体" w:hAnsi="宋体"/>
          <w:b/>
          <w:bCs/>
        </w:rPr>
        <w:t>十五、合同中止、终止</w:t>
      </w:r>
    </w:p>
    <w:p w14:paraId="25A4803B">
      <w:pPr>
        <w:widowControl/>
        <w:spacing w:line="360" w:lineRule="auto"/>
        <w:ind w:firstLine="480"/>
        <w:jc w:val="left"/>
        <w:rPr>
          <w:rFonts w:hint="eastAsia" w:ascii="宋体" w:hAnsi="宋体"/>
        </w:rPr>
      </w:pPr>
      <w:r>
        <w:rPr>
          <w:rFonts w:ascii="宋体" w:hAnsi="宋体"/>
        </w:rPr>
        <w:t>15.1甲乙双方不得擅自中止或者终止合同；</w:t>
      </w:r>
    </w:p>
    <w:p w14:paraId="31633404">
      <w:pPr>
        <w:widowControl/>
        <w:spacing w:line="360" w:lineRule="auto"/>
        <w:ind w:firstLine="480"/>
        <w:jc w:val="left"/>
        <w:rPr>
          <w:rFonts w:hint="eastAsia" w:ascii="宋体" w:hAnsi="宋体"/>
        </w:rPr>
      </w:pPr>
      <w:r>
        <w:rPr>
          <w:rFonts w:ascii="宋体" w:hAnsi="宋体"/>
        </w:rPr>
        <w:t>15.2合同继续履行将损害国家利益和社会公共利益的，双方当事人应当中止或者终止合同。有过错的一方应当承担赔偿责任，双方当事人都有过错的，各自承担相应的责任。</w:t>
      </w:r>
    </w:p>
    <w:p w14:paraId="4CDE7B9C">
      <w:pPr>
        <w:widowControl/>
        <w:spacing w:line="360" w:lineRule="auto"/>
        <w:ind w:firstLine="480"/>
        <w:jc w:val="left"/>
        <w:rPr>
          <w:rFonts w:hint="eastAsia" w:ascii="宋体" w:hAnsi="宋体"/>
          <w:b/>
          <w:bCs/>
        </w:rPr>
      </w:pPr>
      <w:r>
        <w:rPr>
          <w:rFonts w:ascii="宋体" w:hAnsi="宋体"/>
          <w:b/>
          <w:bCs/>
        </w:rPr>
        <w:t>十六、不可抗力</w:t>
      </w:r>
    </w:p>
    <w:p w14:paraId="3297CB96">
      <w:pPr>
        <w:widowControl/>
        <w:spacing w:line="360" w:lineRule="auto"/>
        <w:ind w:firstLine="480"/>
        <w:jc w:val="left"/>
        <w:rPr>
          <w:rFonts w:hint="eastAsia" w:ascii="宋体" w:hAnsi="宋体"/>
        </w:rPr>
      </w:pPr>
      <w:r>
        <w:rPr>
          <w:rFonts w:ascii="宋体" w:hAnsi="宋体"/>
        </w:rPr>
        <w:t>16.1如果任何一方遭遇法律规定的不可抗力，致使合同履行受阻时，履行合同的期限应予延长，延长的期限应相当于不可抗力所影响的时间；</w:t>
      </w:r>
    </w:p>
    <w:p w14:paraId="5260C2DE">
      <w:pPr>
        <w:widowControl/>
        <w:spacing w:line="360" w:lineRule="auto"/>
        <w:ind w:firstLine="480"/>
        <w:jc w:val="left"/>
        <w:rPr>
          <w:rFonts w:hint="eastAsia" w:ascii="宋体" w:hAnsi="宋体"/>
        </w:rPr>
      </w:pPr>
      <w:r>
        <w:rPr>
          <w:rFonts w:ascii="宋体" w:hAnsi="宋体"/>
        </w:rPr>
        <w:t>16.2因不可抗力致使不能实现合同目的，甲乙双方可以解除合同；</w:t>
      </w:r>
    </w:p>
    <w:p w14:paraId="2F168840">
      <w:pPr>
        <w:widowControl/>
        <w:spacing w:line="360" w:lineRule="auto"/>
        <w:ind w:firstLine="480"/>
        <w:jc w:val="left"/>
        <w:rPr>
          <w:rFonts w:hint="eastAsia" w:ascii="宋体" w:hAnsi="宋体"/>
        </w:rPr>
      </w:pPr>
      <w:r>
        <w:rPr>
          <w:rFonts w:ascii="宋体" w:hAnsi="宋体"/>
        </w:rPr>
        <w:t>16.3因不可抗力致使合同有变更必要的，甲乙双方应在10个工作且内以书面形式变更合同；</w:t>
      </w:r>
    </w:p>
    <w:p w14:paraId="3D510879">
      <w:pPr>
        <w:widowControl/>
        <w:spacing w:line="360" w:lineRule="auto"/>
        <w:ind w:firstLine="480"/>
        <w:jc w:val="left"/>
        <w:rPr>
          <w:rFonts w:hint="eastAsia" w:ascii="宋体" w:hAnsi="宋体"/>
        </w:rPr>
      </w:pPr>
      <w:r>
        <w:rPr>
          <w:rFonts w:ascii="宋体" w:hAnsi="宋体"/>
        </w:rPr>
        <w:t>16.4受不可抗力影响的一方在不可抗力发生后，应在10个工作且内以书面形式通知对方，并在10个工作日内，将有关部门出具的证明文件送达对方当事人。</w:t>
      </w:r>
    </w:p>
    <w:p w14:paraId="5C0E75A9">
      <w:pPr>
        <w:widowControl/>
        <w:spacing w:line="360" w:lineRule="auto"/>
        <w:ind w:firstLine="480"/>
        <w:jc w:val="left"/>
        <w:rPr>
          <w:rFonts w:hint="eastAsia" w:ascii="宋体" w:hAnsi="宋体"/>
          <w:b/>
          <w:bCs/>
        </w:rPr>
      </w:pPr>
      <w:r>
        <w:rPr>
          <w:rFonts w:ascii="宋体" w:hAnsi="宋体"/>
          <w:b/>
          <w:bCs/>
        </w:rPr>
        <w:t>十七、争议的解决</w:t>
      </w:r>
    </w:p>
    <w:p w14:paraId="2099059F">
      <w:pPr>
        <w:widowControl/>
        <w:spacing w:line="360" w:lineRule="auto"/>
        <w:ind w:firstLine="480"/>
        <w:jc w:val="left"/>
        <w:rPr>
          <w:rFonts w:hint="eastAsia" w:ascii="宋体" w:hAnsi="宋体"/>
        </w:rPr>
      </w:pPr>
      <w:r>
        <w:rPr>
          <w:rFonts w:ascii="宋体" w:hAnsi="宋体"/>
        </w:rPr>
        <w:t>本合同履行过程中发生的任何争议，双方当事人均可通过和解或者调解解决；不愿和解、调解或者和解、调解不成的，可以选择下列2款方式解决：</w:t>
      </w:r>
    </w:p>
    <w:p w14:paraId="302067CC">
      <w:pPr>
        <w:widowControl/>
        <w:spacing w:line="360" w:lineRule="auto"/>
        <w:ind w:firstLine="480"/>
        <w:jc w:val="left"/>
        <w:rPr>
          <w:rFonts w:hint="eastAsia" w:ascii="宋体" w:hAnsi="宋体"/>
        </w:rPr>
      </w:pPr>
      <w:r>
        <w:rPr>
          <w:rFonts w:ascii="宋体" w:hAnsi="宋体"/>
        </w:rPr>
        <w:t>17.1将争议提交合同签订地仲裁委员会依申请仲裁时其现行有效的仲裁规则裁决；</w:t>
      </w:r>
    </w:p>
    <w:p w14:paraId="4C0823EF">
      <w:pPr>
        <w:widowControl/>
        <w:spacing w:line="360" w:lineRule="auto"/>
        <w:ind w:firstLine="480"/>
        <w:jc w:val="left"/>
        <w:rPr>
          <w:rFonts w:hint="eastAsia" w:ascii="宋体" w:hAnsi="宋体"/>
        </w:rPr>
      </w:pPr>
      <w:r>
        <w:rPr>
          <w:rFonts w:ascii="宋体" w:hAnsi="宋体"/>
        </w:rPr>
        <w:t>17.2向合同签订地人民法院起诉。</w:t>
      </w:r>
    </w:p>
    <w:p w14:paraId="645B89B2">
      <w:pPr>
        <w:widowControl/>
        <w:spacing w:line="360" w:lineRule="auto"/>
        <w:ind w:firstLine="480"/>
        <w:jc w:val="left"/>
        <w:rPr>
          <w:rFonts w:hint="eastAsia" w:ascii="宋体" w:hAnsi="宋体"/>
          <w:b/>
          <w:bCs/>
        </w:rPr>
      </w:pPr>
      <w:r>
        <w:rPr>
          <w:rFonts w:ascii="宋体" w:hAnsi="宋体"/>
          <w:b/>
          <w:bCs/>
        </w:rPr>
        <w:t>十八、通知和送达</w:t>
      </w:r>
    </w:p>
    <w:p w14:paraId="246F0D82">
      <w:pPr>
        <w:widowControl/>
        <w:spacing w:line="360" w:lineRule="auto"/>
        <w:ind w:firstLine="480"/>
        <w:jc w:val="left"/>
        <w:rPr>
          <w:rFonts w:hint="eastAsia" w:ascii="宋体" w:hAnsi="宋体"/>
        </w:rPr>
      </w:pPr>
      <w:r>
        <w:rPr>
          <w:rFonts w:ascii="宋体" w:hAnsi="宋体"/>
        </w:rPr>
        <w:t>18.1任何一方因履行合同而以合同第一部分尾部所列明的约定送达地址发出的所有通知、文件、材料，均视为已向对方当事人送达；任何一方变更上述送达方式或者地址的，应于3个工作日内书面通知对方当事人，在对方当事人收到有关变更通知之前，变更前的约定送达方式或者地址仍视为有效。</w:t>
      </w:r>
    </w:p>
    <w:p w14:paraId="2A5519E2">
      <w:pPr>
        <w:widowControl/>
        <w:spacing w:line="360" w:lineRule="auto"/>
        <w:ind w:firstLine="480"/>
        <w:jc w:val="left"/>
        <w:rPr>
          <w:rFonts w:hint="eastAsia" w:ascii="宋体" w:hAnsi="宋体"/>
        </w:rPr>
      </w:pPr>
      <w:r>
        <w:rPr>
          <w:rFonts w:ascii="宋体" w:hAnsi="宋体"/>
        </w:rPr>
        <w:t>18.2以当面交付方式送达的，交付之时视为送达；以电子邮件方式送达的，发出电子邮件之时视为送达；以传真方式送达的，发出传真之时视为送达；以邮寄方式送达的，邮件挂号寄出或者交邮之日之次日视为送达。</w:t>
      </w:r>
    </w:p>
    <w:p w14:paraId="7F93DAB2">
      <w:pPr>
        <w:widowControl/>
        <w:spacing w:line="360" w:lineRule="auto"/>
        <w:ind w:firstLine="480"/>
        <w:jc w:val="left"/>
        <w:rPr>
          <w:rFonts w:hint="eastAsia" w:ascii="宋体" w:hAnsi="宋体"/>
          <w:b/>
          <w:bCs/>
        </w:rPr>
      </w:pPr>
      <w:r>
        <w:rPr>
          <w:rFonts w:ascii="宋体" w:hAnsi="宋体"/>
          <w:b/>
          <w:bCs/>
        </w:rPr>
        <w:t>十九、税费</w:t>
      </w:r>
    </w:p>
    <w:p w14:paraId="023477E7">
      <w:pPr>
        <w:widowControl/>
        <w:spacing w:line="360" w:lineRule="auto"/>
        <w:ind w:firstLine="480"/>
        <w:jc w:val="left"/>
        <w:rPr>
          <w:rFonts w:hint="eastAsia" w:ascii="宋体" w:hAnsi="宋体"/>
        </w:rPr>
      </w:pPr>
      <w:r>
        <w:rPr>
          <w:rFonts w:ascii="宋体" w:hAnsi="宋体"/>
        </w:rPr>
        <w:t>与合同有关的一切税费，均按照中华人民共和国法律的相关规定缴纳。</w:t>
      </w:r>
    </w:p>
    <w:p w14:paraId="2CC5DD5B">
      <w:pPr>
        <w:widowControl/>
        <w:spacing w:line="360" w:lineRule="auto"/>
        <w:ind w:firstLine="480"/>
        <w:jc w:val="left"/>
        <w:rPr>
          <w:rFonts w:hint="eastAsia" w:ascii="宋体" w:hAnsi="宋体"/>
          <w:b/>
          <w:bCs/>
        </w:rPr>
      </w:pPr>
      <w:r>
        <w:rPr>
          <w:rFonts w:ascii="宋体" w:hAnsi="宋体"/>
          <w:b/>
          <w:bCs/>
        </w:rPr>
        <w:t>二十、其他</w:t>
      </w:r>
    </w:p>
    <w:p w14:paraId="3B197968">
      <w:pPr>
        <w:widowControl/>
        <w:spacing w:line="360" w:lineRule="auto"/>
        <w:ind w:firstLine="480"/>
        <w:jc w:val="left"/>
        <w:rPr>
          <w:rFonts w:hint="eastAsia" w:ascii="宋体" w:hAnsi="宋体"/>
        </w:rPr>
      </w:pPr>
      <w:r>
        <w:rPr>
          <w:rFonts w:ascii="宋体" w:hAnsi="宋体"/>
        </w:rPr>
        <w:t>20.1乙方和乙方工作人员应对甲方提供的资料，以及对在项目实施过程中知悉的秘密(包括不限于国家秘密、科研秘密、商业秘密、群众个人信息等所有秘密)履行保密义务，不得就所涉及的秘密及敏感信息以单位或者个人名义公开披露和公开发表观点。</w:t>
      </w:r>
    </w:p>
    <w:p w14:paraId="1BD4B417">
      <w:pPr>
        <w:widowControl/>
        <w:spacing w:line="360" w:lineRule="auto"/>
        <w:ind w:firstLine="480"/>
        <w:jc w:val="left"/>
        <w:rPr>
          <w:rFonts w:hint="eastAsia" w:ascii="宋体" w:hAnsi="宋体"/>
        </w:rPr>
      </w:pPr>
      <w:r>
        <w:rPr>
          <w:rFonts w:ascii="宋体" w:hAnsi="宋体"/>
        </w:rPr>
        <w:t>20.2本合同应按照中华人民共和国的现行法律进行解释。</w:t>
      </w:r>
    </w:p>
    <w:p w14:paraId="713AB0C0">
      <w:pPr>
        <w:widowControl/>
        <w:spacing w:line="360" w:lineRule="auto"/>
        <w:ind w:firstLine="480"/>
        <w:jc w:val="left"/>
        <w:rPr>
          <w:rFonts w:hint="eastAsia" w:ascii="宋体" w:hAnsi="宋体"/>
        </w:rPr>
      </w:pPr>
      <w:r>
        <w:rPr>
          <w:rFonts w:ascii="宋体" w:hAnsi="宋体"/>
        </w:rPr>
        <w:t>20.3本合同语言为简体中文，双方交换的与合同有关的信函均按此书写。</w:t>
      </w:r>
    </w:p>
    <w:p w14:paraId="08DD843B">
      <w:pPr>
        <w:widowControl/>
        <w:spacing w:line="360" w:lineRule="auto"/>
        <w:ind w:firstLine="480"/>
        <w:jc w:val="left"/>
        <w:rPr>
          <w:rFonts w:hint="eastAsia" w:ascii="宋体" w:hAnsi="宋体"/>
        </w:rPr>
      </w:pPr>
      <w:r>
        <w:rPr>
          <w:rFonts w:ascii="宋体" w:hAnsi="宋体"/>
        </w:rPr>
        <w:t>20.4除技术规范中另有规定外，计量单位均使用中华人民共和国法定计量单位。</w:t>
      </w:r>
    </w:p>
    <w:p w14:paraId="5F187537">
      <w:pPr>
        <w:widowControl/>
        <w:spacing w:line="360" w:lineRule="auto"/>
        <w:ind w:firstLine="480"/>
        <w:jc w:val="left"/>
        <w:rPr>
          <w:rFonts w:hint="eastAsia" w:ascii="宋体" w:hAnsi="宋体"/>
        </w:rPr>
      </w:pPr>
      <w:r>
        <w:rPr>
          <w:rFonts w:ascii="宋体" w:hAnsi="宋体"/>
        </w:rPr>
        <w:t>二十一、合同一经签订，不得擅自变更、中止或者终止合同。对确需变更、调整或者中止、终止合同的，应按规定履行相应的手续。</w:t>
      </w:r>
    </w:p>
    <w:p w14:paraId="2D99B3FF">
      <w:pPr>
        <w:widowControl/>
        <w:spacing w:line="360" w:lineRule="auto"/>
        <w:ind w:firstLine="480"/>
        <w:jc w:val="left"/>
        <w:rPr>
          <w:rFonts w:hint="eastAsia" w:ascii="宋体" w:hAnsi="宋体"/>
        </w:rPr>
      </w:pPr>
      <w:r>
        <w:rPr>
          <w:rFonts w:ascii="宋体" w:hAnsi="宋体"/>
        </w:rPr>
        <w:t>二十二、本合同一式</w:t>
      </w:r>
      <w:r>
        <w:rPr>
          <w:rFonts w:hint="eastAsia" w:ascii="宋体" w:hAnsi="宋体"/>
        </w:rPr>
        <w:t>柒</w:t>
      </w:r>
      <w:r>
        <w:rPr>
          <w:rFonts w:ascii="宋体" w:hAnsi="宋体"/>
        </w:rPr>
        <w:t>份，其中，甲方肆份，乙方贰份，采购代理机构壹份。签字盖章后生效，合同执行完毕自动失效(合同的服务承诺长期则长期有效)。</w:t>
      </w:r>
    </w:p>
    <w:p w14:paraId="4649B7B0">
      <w:pPr>
        <w:rPr>
          <w:rFonts w:hint="eastAsia" w:ascii="宋体" w:hAnsi="宋体"/>
        </w:rPr>
      </w:pPr>
      <w:r>
        <w:rPr>
          <w:rFonts w:ascii="宋体" w:hAnsi="宋体"/>
        </w:rPr>
        <w:br w:type="page"/>
      </w:r>
    </w:p>
    <w:tbl>
      <w:tblPr>
        <w:tblStyle w:val="7"/>
        <w:tblW w:w="847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26"/>
        <w:gridCol w:w="4253"/>
      </w:tblGrid>
      <w:tr w14:paraId="010E4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trPr>
        <w:tc>
          <w:tcPr>
            <w:tcW w:w="4226" w:type="dxa"/>
            <w:vAlign w:val="center"/>
          </w:tcPr>
          <w:p w14:paraId="3BDE8F50">
            <w:pPr>
              <w:pStyle w:val="6"/>
              <w:spacing w:before="264" w:line="219" w:lineRule="auto"/>
              <w:ind w:left="75"/>
              <w:jc w:val="left"/>
              <w:rPr>
                <w:rFonts w:hint="eastAsia"/>
                <w:lang w:eastAsia="zh-CN"/>
              </w:rPr>
            </w:pPr>
            <w:r>
              <w:rPr>
                <w:spacing w:val="1"/>
                <w:lang w:eastAsia="zh-CN"/>
              </w:rPr>
              <w:t>甲  方：</w:t>
            </w:r>
            <w:r>
              <w:rPr>
                <w:rFonts w:hint="eastAsia"/>
                <w:spacing w:val="1"/>
                <w:lang w:eastAsia="zh-CN"/>
              </w:rPr>
              <w:t>陕西省卫生健康信息中心</w:t>
            </w:r>
          </w:p>
        </w:tc>
        <w:tc>
          <w:tcPr>
            <w:tcW w:w="4253" w:type="dxa"/>
            <w:vAlign w:val="center"/>
          </w:tcPr>
          <w:p w14:paraId="58DEEC40">
            <w:pPr>
              <w:pStyle w:val="6"/>
              <w:spacing w:before="263" w:line="219" w:lineRule="auto"/>
              <w:ind w:left="124"/>
              <w:jc w:val="left"/>
              <w:rPr>
                <w:rFonts w:hint="eastAsia"/>
              </w:rPr>
            </w:pPr>
            <w:r>
              <w:rPr>
                <w:spacing w:val="1"/>
              </w:rPr>
              <w:t>乙  方：</w:t>
            </w:r>
          </w:p>
        </w:tc>
      </w:tr>
      <w:tr w14:paraId="1A1A2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84" w:hRule="atLeast"/>
        </w:trPr>
        <w:tc>
          <w:tcPr>
            <w:tcW w:w="4226" w:type="dxa"/>
            <w:vAlign w:val="center"/>
          </w:tcPr>
          <w:p w14:paraId="5B43B18D">
            <w:pPr>
              <w:pStyle w:val="6"/>
              <w:spacing w:before="75" w:line="219" w:lineRule="auto"/>
              <w:ind w:left="75"/>
              <w:jc w:val="left"/>
              <w:rPr>
                <w:rFonts w:hint="eastAsia"/>
              </w:rPr>
            </w:pPr>
            <w:r>
              <w:rPr>
                <w:spacing w:val="12"/>
              </w:rPr>
              <w:t>(盖章)</w:t>
            </w:r>
          </w:p>
        </w:tc>
        <w:tc>
          <w:tcPr>
            <w:tcW w:w="4253" w:type="dxa"/>
            <w:vAlign w:val="center"/>
          </w:tcPr>
          <w:p w14:paraId="06256170">
            <w:pPr>
              <w:pStyle w:val="6"/>
              <w:spacing w:before="75" w:line="219" w:lineRule="auto"/>
              <w:ind w:left="124"/>
              <w:jc w:val="left"/>
              <w:rPr>
                <w:rFonts w:hint="eastAsia"/>
              </w:rPr>
            </w:pPr>
            <w:r>
              <w:rPr>
                <w:spacing w:val="6"/>
              </w:rPr>
              <w:t>乙方全称(盖章)</w:t>
            </w:r>
          </w:p>
        </w:tc>
      </w:tr>
      <w:tr w14:paraId="04CC8E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9" w:hRule="atLeast"/>
        </w:trPr>
        <w:tc>
          <w:tcPr>
            <w:tcW w:w="4226" w:type="dxa"/>
            <w:vAlign w:val="center"/>
          </w:tcPr>
          <w:p w14:paraId="1DD19D21">
            <w:pPr>
              <w:pStyle w:val="6"/>
              <w:spacing w:before="75" w:line="229" w:lineRule="auto"/>
              <w:ind w:left="75"/>
              <w:jc w:val="left"/>
              <w:rPr>
                <w:rFonts w:hint="eastAsia"/>
              </w:rPr>
            </w:pPr>
            <w:r>
              <w:rPr>
                <w:spacing w:val="-2"/>
              </w:rPr>
              <w:t>地址：</w:t>
            </w:r>
          </w:p>
        </w:tc>
        <w:tc>
          <w:tcPr>
            <w:tcW w:w="4253" w:type="dxa"/>
            <w:vAlign w:val="center"/>
          </w:tcPr>
          <w:p w14:paraId="74A5A019">
            <w:pPr>
              <w:pStyle w:val="6"/>
              <w:spacing w:line="219" w:lineRule="auto"/>
              <w:ind w:left="124"/>
              <w:jc w:val="left"/>
              <w:rPr>
                <w:rFonts w:hint="eastAsia"/>
              </w:rPr>
            </w:pPr>
            <w:r>
              <w:rPr>
                <w:position w:val="20"/>
              </w:rPr>
              <w:t>地址：</w:t>
            </w:r>
          </w:p>
        </w:tc>
      </w:tr>
      <w:tr w14:paraId="210D31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4226" w:type="dxa"/>
            <w:vAlign w:val="center"/>
          </w:tcPr>
          <w:p w14:paraId="1840A30C">
            <w:pPr>
              <w:pStyle w:val="6"/>
              <w:spacing w:before="263" w:line="219" w:lineRule="auto"/>
              <w:ind w:left="75"/>
              <w:jc w:val="left"/>
              <w:rPr>
                <w:rFonts w:hint="eastAsia"/>
                <w:lang w:eastAsia="zh-CN"/>
              </w:rPr>
            </w:pPr>
            <w:r>
              <w:rPr>
                <w:spacing w:val="1"/>
              </w:rPr>
              <w:t>邮编：</w:t>
            </w:r>
            <w:r>
              <w:rPr>
                <w:rFonts w:hint="eastAsia"/>
                <w:spacing w:val="1"/>
                <w:lang w:eastAsia="zh-CN"/>
              </w:rPr>
              <w:t xml:space="preserve"> </w:t>
            </w:r>
          </w:p>
        </w:tc>
        <w:tc>
          <w:tcPr>
            <w:tcW w:w="4253" w:type="dxa"/>
            <w:vAlign w:val="center"/>
          </w:tcPr>
          <w:p w14:paraId="6802CDC9">
            <w:pPr>
              <w:pStyle w:val="6"/>
              <w:spacing w:before="263" w:line="219" w:lineRule="auto"/>
              <w:ind w:left="124"/>
              <w:jc w:val="left"/>
              <w:rPr>
                <w:rFonts w:hint="eastAsia"/>
                <w:lang w:eastAsia="zh-CN"/>
              </w:rPr>
            </w:pPr>
            <w:r>
              <w:rPr>
                <w:spacing w:val="1"/>
              </w:rPr>
              <w:t>邮编：</w:t>
            </w:r>
            <w:r>
              <w:rPr>
                <w:rFonts w:hint="eastAsia"/>
                <w:spacing w:val="1"/>
                <w:lang w:eastAsia="zh-CN"/>
              </w:rPr>
              <w:t xml:space="preserve"> </w:t>
            </w:r>
          </w:p>
        </w:tc>
      </w:tr>
      <w:tr w14:paraId="49A19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2" w:hRule="atLeast"/>
        </w:trPr>
        <w:tc>
          <w:tcPr>
            <w:tcW w:w="4226" w:type="dxa"/>
            <w:vMerge w:val="restart"/>
            <w:vAlign w:val="center"/>
          </w:tcPr>
          <w:p w14:paraId="51935547">
            <w:pPr>
              <w:pStyle w:val="6"/>
              <w:spacing w:before="75" w:line="219" w:lineRule="auto"/>
              <w:ind w:left="75"/>
              <w:jc w:val="left"/>
              <w:rPr>
                <w:rFonts w:hint="eastAsia"/>
              </w:rPr>
            </w:pPr>
            <w:r>
              <w:rPr>
                <w:spacing w:val="-20"/>
              </w:rPr>
              <w:t>全权代表(签字)：</w:t>
            </w:r>
            <w:r>
              <w:rPr>
                <w:spacing w:val="1"/>
              </w:rPr>
              <w:t xml:space="preserve">    </w:t>
            </w:r>
          </w:p>
        </w:tc>
        <w:tc>
          <w:tcPr>
            <w:tcW w:w="4253" w:type="dxa"/>
            <w:vAlign w:val="center"/>
          </w:tcPr>
          <w:p w14:paraId="742DE8CD">
            <w:pPr>
              <w:pStyle w:val="6"/>
              <w:spacing w:before="274" w:line="219" w:lineRule="auto"/>
              <w:ind w:left="124"/>
              <w:jc w:val="left"/>
              <w:rPr>
                <w:rFonts w:hint="eastAsia"/>
                <w:spacing w:val="-1"/>
              </w:rPr>
            </w:pPr>
            <w:r>
              <w:rPr>
                <w:spacing w:val="-1"/>
              </w:rPr>
              <w:t>法定代表人：</w:t>
            </w:r>
          </w:p>
        </w:tc>
      </w:tr>
      <w:tr w14:paraId="4D9B64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2" w:hRule="atLeast"/>
        </w:trPr>
        <w:tc>
          <w:tcPr>
            <w:tcW w:w="4226" w:type="dxa"/>
            <w:vMerge w:val="continue"/>
            <w:vAlign w:val="center"/>
          </w:tcPr>
          <w:p w14:paraId="033EF32F">
            <w:pPr>
              <w:jc w:val="left"/>
              <w:rPr>
                <w:rFonts w:ascii="Arial"/>
              </w:rPr>
            </w:pPr>
          </w:p>
        </w:tc>
        <w:tc>
          <w:tcPr>
            <w:tcW w:w="4253" w:type="dxa"/>
            <w:vAlign w:val="center"/>
          </w:tcPr>
          <w:p w14:paraId="0721BE26">
            <w:pPr>
              <w:pStyle w:val="6"/>
              <w:spacing w:before="274" w:line="219" w:lineRule="auto"/>
              <w:ind w:left="124"/>
              <w:jc w:val="left"/>
              <w:rPr>
                <w:rFonts w:hint="eastAsia"/>
                <w:spacing w:val="-1"/>
              </w:rPr>
            </w:pPr>
            <w:r>
              <w:rPr>
                <w:spacing w:val="-1"/>
              </w:rPr>
              <w:t xml:space="preserve">授权代表(签字)：    </w:t>
            </w:r>
          </w:p>
        </w:tc>
      </w:tr>
      <w:tr w14:paraId="1C729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trPr>
        <w:tc>
          <w:tcPr>
            <w:tcW w:w="4226" w:type="dxa"/>
            <w:vAlign w:val="center"/>
          </w:tcPr>
          <w:p w14:paraId="2AA803CE">
            <w:pPr>
              <w:pStyle w:val="6"/>
              <w:spacing w:before="278" w:line="221" w:lineRule="auto"/>
              <w:ind w:left="75"/>
              <w:jc w:val="left"/>
              <w:rPr>
                <w:rFonts w:hint="eastAsia"/>
                <w:lang w:eastAsia="zh-CN"/>
              </w:rPr>
            </w:pPr>
            <w:r>
              <w:t>电话：</w:t>
            </w:r>
            <w:r>
              <w:rPr>
                <w:rFonts w:hint="eastAsia"/>
                <w:lang w:eastAsia="zh-CN"/>
              </w:rPr>
              <w:t xml:space="preserve"> </w:t>
            </w:r>
          </w:p>
        </w:tc>
        <w:tc>
          <w:tcPr>
            <w:tcW w:w="4253" w:type="dxa"/>
            <w:vAlign w:val="center"/>
          </w:tcPr>
          <w:p w14:paraId="77AE57B4">
            <w:pPr>
              <w:pStyle w:val="6"/>
              <w:spacing w:before="278" w:line="221" w:lineRule="auto"/>
              <w:ind w:left="124"/>
              <w:jc w:val="left"/>
              <w:rPr>
                <w:rFonts w:hint="eastAsia"/>
              </w:rPr>
            </w:pPr>
            <w:r>
              <w:t>电话：</w:t>
            </w:r>
          </w:p>
        </w:tc>
      </w:tr>
      <w:tr w14:paraId="3BFDC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4" w:hRule="atLeast"/>
        </w:trPr>
        <w:tc>
          <w:tcPr>
            <w:tcW w:w="4226" w:type="dxa"/>
            <w:vAlign w:val="center"/>
          </w:tcPr>
          <w:p w14:paraId="4D9B007F">
            <w:pPr>
              <w:pStyle w:val="6"/>
              <w:spacing w:before="265" w:line="219" w:lineRule="auto"/>
              <w:ind w:left="75"/>
              <w:jc w:val="left"/>
              <w:rPr>
                <w:rFonts w:hint="eastAsia"/>
                <w:lang w:eastAsia="zh-CN"/>
              </w:rPr>
            </w:pPr>
            <w:r>
              <w:t>传真：</w:t>
            </w:r>
            <w:r>
              <w:rPr>
                <w:rFonts w:hint="eastAsia"/>
                <w:lang w:eastAsia="zh-CN"/>
              </w:rPr>
              <w:t xml:space="preserve"> </w:t>
            </w:r>
          </w:p>
        </w:tc>
        <w:tc>
          <w:tcPr>
            <w:tcW w:w="4253" w:type="dxa"/>
            <w:vAlign w:val="center"/>
          </w:tcPr>
          <w:p w14:paraId="60A2DC5C">
            <w:pPr>
              <w:pStyle w:val="6"/>
              <w:spacing w:before="265" w:line="219" w:lineRule="auto"/>
              <w:ind w:left="124"/>
              <w:jc w:val="left"/>
              <w:rPr>
                <w:rFonts w:hint="eastAsia"/>
              </w:rPr>
            </w:pPr>
            <w:r>
              <w:rPr>
                <w:spacing w:val="-1"/>
              </w:rPr>
              <w:t>传真：</w:t>
            </w:r>
          </w:p>
        </w:tc>
      </w:tr>
      <w:tr w14:paraId="164D6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4226" w:type="dxa"/>
            <w:vAlign w:val="center"/>
          </w:tcPr>
          <w:p w14:paraId="40870A37">
            <w:pPr>
              <w:jc w:val="left"/>
              <w:rPr>
                <w:rFonts w:ascii="Arial"/>
              </w:rPr>
            </w:pPr>
          </w:p>
        </w:tc>
        <w:tc>
          <w:tcPr>
            <w:tcW w:w="4253" w:type="dxa"/>
            <w:vAlign w:val="center"/>
          </w:tcPr>
          <w:p w14:paraId="303892D4">
            <w:pPr>
              <w:pStyle w:val="6"/>
              <w:spacing w:before="277" w:line="219" w:lineRule="auto"/>
              <w:ind w:left="124"/>
              <w:jc w:val="left"/>
              <w:rPr>
                <w:rFonts w:hint="eastAsia"/>
              </w:rPr>
            </w:pPr>
            <w:r>
              <w:t>开户银行：</w:t>
            </w:r>
          </w:p>
        </w:tc>
      </w:tr>
      <w:tr w14:paraId="7816C3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4226" w:type="dxa"/>
            <w:vAlign w:val="center"/>
          </w:tcPr>
          <w:p w14:paraId="36AB9E9C">
            <w:pPr>
              <w:jc w:val="left"/>
              <w:rPr>
                <w:rFonts w:ascii="Arial"/>
              </w:rPr>
            </w:pPr>
          </w:p>
        </w:tc>
        <w:tc>
          <w:tcPr>
            <w:tcW w:w="4253" w:type="dxa"/>
            <w:vAlign w:val="center"/>
          </w:tcPr>
          <w:p w14:paraId="491A23A8">
            <w:pPr>
              <w:pStyle w:val="6"/>
              <w:spacing w:before="259" w:line="221" w:lineRule="auto"/>
              <w:ind w:left="124"/>
              <w:jc w:val="left"/>
              <w:rPr>
                <w:rFonts w:hint="eastAsia"/>
              </w:rPr>
            </w:pPr>
            <w:r>
              <w:t>账号：</w:t>
            </w:r>
          </w:p>
        </w:tc>
      </w:tr>
      <w:tr w14:paraId="1E3B2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4226" w:type="dxa"/>
            <w:vAlign w:val="center"/>
          </w:tcPr>
          <w:p w14:paraId="0C397C11">
            <w:pPr>
              <w:pStyle w:val="6"/>
              <w:spacing w:before="290" w:line="220" w:lineRule="auto"/>
              <w:ind w:left="75"/>
              <w:jc w:val="left"/>
              <w:rPr>
                <w:rFonts w:hint="eastAsia"/>
              </w:rPr>
            </w:pPr>
            <w:r>
              <w:rPr>
                <w:spacing w:val="13"/>
              </w:rPr>
              <w:t>日期</w:t>
            </w:r>
          </w:p>
        </w:tc>
        <w:tc>
          <w:tcPr>
            <w:tcW w:w="4253" w:type="dxa"/>
            <w:vAlign w:val="center"/>
          </w:tcPr>
          <w:p w14:paraId="456D68EC">
            <w:pPr>
              <w:pStyle w:val="6"/>
              <w:spacing w:before="290" w:line="220" w:lineRule="auto"/>
              <w:ind w:left="124"/>
              <w:jc w:val="left"/>
              <w:rPr>
                <w:rFonts w:hint="eastAsia"/>
              </w:rPr>
            </w:pPr>
            <w:r>
              <w:rPr>
                <w:spacing w:val="13"/>
              </w:rPr>
              <w:t>日期</w:t>
            </w:r>
          </w:p>
        </w:tc>
      </w:tr>
    </w:tbl>
    <w:p w14:paraId="20E36212">
      <w:pPr>
        <w:pStyle w:val="8"/>
        <w:rPr>
          <w:rFonts w:hint="default"/>
        </w:rPr>
      </w:pPr>
    </w:p>
    <w:p w14:paraId="3E6F441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A9DAD"/>
    <w:multiLevelType w:val="singleLevel"/>
    <w:tmpl w:val="6FEA9DA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293F65"/>
    <w:rsid w:val="13293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before="60" w:after="60" w:line="360" w:lineRule="atLeast"/>
      <w:jc w:val="both"/>
      <w:textAlignment w:val="baseline"/>
    </w:pPr>
    <w:rPr>
      <w:rFonts w:ascii="Times New Roman"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99"/>
  </w:style>
  <w:style w:type="paragraph" w:customStyle="1" w:styleId="6">
    <w:name w:val="Table Text"/>
    <w:basedOn w:val="1"/>
    <w:autoRedefine/>
    <w:semiHidden/>
    <w:qFormat/>
    <w:uiPriority w:val="0"/>
    <w:rPr>
      <w:rFonts w:ascii="宋体" w:hAnsi="宋体"/>
      <w:sz w:val="23"/>
      <w:szCs w:val="23"/>
      <w:lang w:eastAsia="en-US"/>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2026-07-20T10:16:00Z</dcterms:created>
  <dc:creator>第一口吃猪猪</dc:creator>
  <cp:lastModifiedBy>第一口吃猪猪</cp:lastModifiedBy>
  <dcterms:modified xsi:type="dcterms:W3CDTF">2026-07-20T10:17:44Z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F791819C785E40BBAF3BCA8CAAD783F1_11</vt:lpwstr>
  </property>
  <property fmtid="{D5CDD505-2E9C-101B-9397-08002B2CF9AE}" pid="4" name="KSOTemplateDocerSaveRecord">
    <vt:lpwstr>eyJoZGlkIjoiNWYwZjkzODRkOWEwMTZhYmU5MmQ3MTczOWVkYzdjOGUiLCJ1c2VySWQiOiIzMTM3MDc3NjQifQ==</vt:lpwstr>
  </property>
</Properties>
</file>