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版本号：SCZA2026-ZB-0953-00120260424001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西安高新区东大街道2026年农村生活污水处理设施运行维护项目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SCZA2026-ZB-0953-001</w:t>
      </w:r>
      <w:r>
        <w:br/>
      </w:r>
      <w:r>
        <w:br/>
      </w:r>
      <w:r>
        <w:br/>
      </w:r>
    </w:p>
    <w:p>
      <w:pPr>
        <w:pStyle w:val="null3"/>
        <w:jc w:val="center"/>
        <w:outlineLvl w:val="2"/>
      </w:pPr>
      <w:r>
        <w:rPr>
          <w:rFonts w:ascii="仿宋_GB2312" w:hAnsi="仿宋_GB2312" w:cs="仿宋_GB2312" w:eastAsia="仿宋_GB2312"/>
          <w:sz w:val="28"/>
          <w:b/>
        </w:rPr>
        <w:t>西安市长安区东大街道办事处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西安市长安区东大街道办事处</w:t>
      </w:r>
      <w:r>
        <w:rPr>
          <w:rFonts w:ascii="仿宋_GB2312" w:hAnsi="仿宋_GB2312" w:cs="仿宋_GB2312" w:eastAsia="仿宋_GB2312"/>
        </w:rPr>
        <w:t>委托，拟对</w:t>
      </w:r>
      <w:r>
        <w:rPr>
          <w:rFonts w:ascii="仿宋_GB2312" w:hAnsi="仿宋_GB2312" w:cs="仿宋_GB2312" w:eastAsia="仿宋_GB2312"/>
        </w:rPr>
        <w:t>西安高新区东大街道2026年农村生活污水处理设施运行维护项目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SCZA2026-ZB-0953-001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西安高新区东大街道2026年农村生活污水处理设施运行维护项目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西安高新区东大街道2026年农村生活污水处理设施运行维护项目，具体详见本项目招标文件。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p>
    <w:p>
      <w:pPr>
        <w:pStyle w:val="null3"/>
      </w:pPr>
      <w:r>
        <w:rPr>
          <w:rFonts w:ascii="仿宋_GB2312" w:hAnsi="仿宋_GB2312" w:cs="仿宋_GB2312" w:eastAsia="仿宋_GB2312"/>
        </w:rPr>
        <w:t>2、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西安市长安区东大街道办事处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西安市长安区东大街道落庄甲子一号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029-85925898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采购包1：7,824,700.00元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服务费以成交金额为基数，参考《国家计委关于印发&lt;招标代理服务收费管理暂行办法&gt;的通知》（计价格〔2002〕1980号）及《国家发改委关于降低部分建设项目收费标准规范收费行为等有关问题的通知》（发改价格〔2011〕534号）有关规定计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西安市长安区东大街道办事处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西安市长安区东大街道办事处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西安市长安区东大街道办事处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西安高新区东大街道2026年农村生活污水处理设施运行维护项目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7,824,700.00</w:t>
      </w:r>
    </w:p>
    <w:p>
      <w:pPr>
        <w:pStyle w:val="null3"/>
      </w:pPr>
      <w:r>
        <w:rPr>
          <w:rFonts w:ascii="仿宋_GB2312" w:hAnsi="仿宋_GB2312" w:cs="仿宋_GB2312" w:eastAsia="仿宋_GB2312"/>
        </w:rPr>
        <w:t>采购包最高限价（元）: 7,824,700.00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西安高新区东大街道2026年农村生活污水处理设施运行维护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7,824,700.00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标的名称：西安高新区东大街道2026年农村生活污水处理设施运行维护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次委托运营范围为8座污水处理站、6座提升泵站、76.497公里配套污水收集管网及其他附属设施。为确保高新区东大街办农村污水处理设施正常稳定运行，充分发挥设施环境效益和社会效益，需将场站设备、配套管网及其他附属设施委托具有专业技术及运营管理能力的运营商进行运维。</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（一）负责场站预处理系统、生化处理系统、配电系统、深度处理系统以及污泥处理系统的运营管理，并对各场站的安保、站内卫生、绿化养护进行管理；定期检测出水水质，并不断改善各场站的运行效果。</w:t>
            </w:r>
          </w:p>
          <w:p>
            <w:pPr>
              <w:pStyle w:val="null3"/>
            </w:pPr>
            <w:r>
              <w:rPr>
                <w:rFonts w:ascii="仿宋_GB2312" w:hAnsi="仿宋_GB2312" w:cs="仿宋_GB2312" w:eastAsia="仿宋_GB2312"/>
              </w:rPr>
              <w:t>（二）负责检查泵站设备的运行情况，定期清洁润滑设备，定期检查电气系统，定期检修泵站设备，定期清理泵体内垃圾，保证设备的正常运行。</w:t>
            </w:r>
          </w:p>
          <w:p>
            <w:pPr>
              <w:pStyle w:val="null3"/>
            </w:pPr>
            <w:r>
              <w:rPr>
                <w:rFonts w:ascii="仿宋_GB2312" w:hAnsi="仿宋_GB2312" w:cs="仿宋_GB2312" w:eastAsia="仿宋_GB2312"/>
              </w:rPr>
              <w:t>（三）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所在地街道办事处和主管部门报告，尽快修复设施。</w:t>
            </w:r>
          </w:p>
          <w:p>
            <w:pPr>
              <w:pStyle w:val="null3"/>
            </w:pPr>
            <w:r>
              <w:rPr>
                <w:rFonts w:ascii="仿宋_GB2312" w:hAnsi="仿宋_GB2312" w:cs="仿宋_GB2312" w:eastAsia="仿宋_GB2312"/>
              </w:rPr>
              <w:t>（四）负责调蓄池淤泥清理、转运、处置，保证调蓄池具备调蓄能力。</w:t>
            </w:r>
          </w:p>
          <w:p>
            <w:pPr>
              <w:pStyle w:val="null3"/>
            </w:pPr>
            <w:r>
              <w:rPr>
                <w:rFonts w:ascii="仿宋_GB2312" w:hAnsi="仿宋_GB2312" w:cs="仿宋_GB2312" w:eastAsia="仿宋_GB2312"/>
              </w:rPr>
              <w:t>（五）负责依据国家和当地政府的相关法规标准的规定，对产生的污泥及其他固体废物、危险废物等废弃物进行规范收集、贮存、转移、处置。</w:t>
            </w:r>
          </w:p>
          <w:p>
            <w:pPr>
              <w:pStyle w:val="null3"/>
            </w:pPr>
            <w:r>
              <w:rPr>
                <w:rFonts w:ascii="仿宋_GB2312" w:hAnsi="仿宋_GB2312" w:cs="仿宋_GB2312" w:eastAsia="仿宋_GB2312"/>
              </w:rPr>
              <w:t>（六）负责运行记录、设备检修记录、水质检测记录、废物处置记录等各类资料的填写、收集、归档、保管工作。</w:t>
            </w:r>
          </w:p>
          <w:p>
            <w:pPr>
              <w:pStyle w:val="null3"/>
            </w:pPr>
            <w:r>
              <w:rPr>
                <w:rFonts w:ascii="仿宋_GB2312" w:hAnsi="仿宋_GB2312" w:cs="仿宋_GB2312" w:eastAsia="仿宋_GB2312"/>
              </w:rPr>
              <w:t>（七）负责农村生活污水应急处置。</w:t>
            </w:r>
          </w:p>
          <w:p>
            <w:pPr>
              <w:pStyle w:val="null3"/>
            </w:pPr>
            <w:r>
              <w:rPr>
                <w:rFonts w:ascii="仿宋_GB2312" w:hAnsi="仿宋_GB2312" w:cs="仿宋_GB2312" w:eastAsia="仿宋_GB2312"/>
              </w:rPr>
              <w:t>三、运维要求</w:t>
            </w:r>
          </w:p>
          <w:p>
            <w:pPr>
              <w:pStyle w:val="null3"/>
            </w:pPr>
            <w:r>
              <w:rPr>
                <w:rFonts w:ascii="仿宋_GB2312" w:hAnsi="仿宋_GB2312" w:cs="仿宋_GB2312" w:eastAsia="仿宋_GB2312"/>
              </w:rPr>
              <w:t>要求供应商制定并严格执行相关农村生活污水治理设施运行维护规程等技术与管理文件，明确项目组织管理机制、员工培训制度、运行维护管理、档案管理、安全管理、环境管理、运维考核等内容与要求，建立运维台账，确保运维对象的运行稳定、有效，出水水质达标。制定应急预案，不发生安全事故，无环境污染事件。</w:t>
            </w:r>
          </w:p>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污水处理站运维要求。庆镇村污水站等8座污水站，运维期间，实际日处理量满足要求，出水水质按要求检测，确保出水达标。其中表1.1污水处理设施处理后出水水质达到陕西省地方标准《农村生活污水处理设施水污染物排放标准》（DB61/1227-2018），表1.2中污水处理设施处理后出水水质达到《陕西省黄河流域污水综合排放标准》(DB61/224-2018)中B标准，各污水处理站具体出水排放标准详见下表。</w:t>
            </w:r>
          </w:p>
          <w:p>
            <w:pPr>
              <w:pStyle w:val="null3"/>
            </w:pPr>
            <w:r>
              <w:rPr>
                <w:rFonts w:ascii="仿宋_GB2312" w:hAnsi="仿宋_GB2312" w:cs="仿宋_GB2312" w:eastAsia="仿宋_GB2312"/>
              </w:rPr>
              <w:t>表1.1 污水处理站统计表（一）</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设计规模</w:t>
                  </w:r>
                </w:p>
              </w:tc>
              <w:tc>
                <w:tcPr>
                  <w:tcW w:type="dxa" w:w="638"/>
                </w:tcPr>
                <w:p>
                  <w:pPr>
                    <w:pStyle w:val="null3"/>
                  </w:pPr>
                  <w:r>
                    <w:rPr>
                      <w:rFonts w:ascii="仿宋_GB2312" w:hAnsi="仿宋_GB2312" w:cs="仿宋_GB2312" w:eastAsia="仿宋_GB2312"/>
                    </w:rPr>
                    <w:t>排放标准</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庆镇村污水处理站</w:t>
                  </w:r>
                </w:p>
              </w:tc>
              <w:tc>
                <w:tcPr>
                  <w:tcW w:type="dxa" w:w="638"/>
                </w:tcPr>
                <w:p>
                  <w:pPr>
                    <w:pStyle w:val="null3"/>
                  </w:pPr>
                  <w:r>
                    <w:rPr>
                      <w:rFonts w:ascii="仿宋_GB2312" w:hAnsi="仿宋_GB2312" w:cs="仿宋_GB2312" w:eastAsia="仿宋_GB2312"/>
                    </w:rPr>
                    <w:t>200立方米/日</w:t>
                  </w:r>
                </w:p>
              </w:tc>
              <w:tc>
                <w:tcPr>
                  <w:tcW w:type="dxa" w:w="638"/>
                </w:tcPr>
                <w:p>
                  <w:pPr>
                    <w:pStyle w:val="null3"/>
                  </w:pPr>
                  <w:r>
                    <w:rPr>
                      <w:rFonts w:ascii="仿宋_GB2312" w:hAnsi="仿宋_GB2312" w:cs="仿宋_GB2312" w:eastAsia="仿宋_GB2312"/>
                    </w:rPr>
                    <w:t>一级标准</w:t>
                  </w:r>
                </w:p>
              </w:tc>
            </w:tr>
            <w:tr>
              <w:tc>
                <w:tcPr>
                  <w:tcW w:type="dxa" w:w="638"/>
                </w:tcPr>
                <w:p>
                  <w:pPr>
                    <w:pStyle w:val="null3"/>
                  </w:pPr>
                  <w:r>
                    <w:rPr>
                      <w:rFonts w:ascii="仿宋_GB2312" w:hAnsi="仿宋_GB2312" w:cs="仿宋_GB2312" w:eastAsia="仿宋_GB2312"/>
                    </w:rPr>
                    <w:t>总计</w:t>
                  </w:r>
                </w:p>
              </w:tc>
              <w:tc>
                <w:tcPr>
                  <w:tcW w:type="dxa" w:w="1914"/>
                  <w:gridSpan w:val="3"/>
                </w:tcPr>
                <w:p>
                  <w:pPr>
                    <w:pStyle w:val="null3"/>
                  </w:pPr>
                  <w:r>
                    <w:rPr>
                      <w:rFonts w:ascii="仿宋_GB2312" w:hAnsi="仿宋_GB2312" w:cs="仿宋_GB2312" w:eastAsia="仿宋_GB2312"/>
                    </w:rPr>
                    <w:t>1座污水处理站，设计处理能力200立方米/日</w:t>
                  </w:r>
                </w:p>
              </w:tc>
            </w:tr>
          </w:tbl>
          <w:p>
            <w:pPr>
              <w:pStyle w:val="null3"/>
            </w:pPr>
            <w:r>
              <w:rPr>
                <w:rFonts w:ascii="仿宋_GB2312" w:hAnsi="仿宋_GB2312" w:cs="仿宋_GB2312" w:eastAsia="仿宋_GB2312"/>
              </w:rPr>
              <w:t>表1.2 污水处理站统计表（二）</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设计规模</w:t>
                  </w:r>
                </w:p>
              </w:tc>
              <w:tc>
                <w:tcPr>
                  <w:tcW w:type="dxa" w:w="638"/>
                </w:tcPr>
                <w:p>
                  <w:pPr>
                    <w:pStyle w:val="null3"/>
                  </w:pPr>
                  <w:r>
                    <w:rPr>
                      <w:rFonts w:ascii="仿宋_GB2312" w:hAnsi="仿宋_GB2312" w:cs="仿宋_GB2312" w:eastAsia="仿宋_GB2312"/>
                    </w:rPr>
                    <w:t>排放标准</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双强村污水处理站</w:t>
                  </w:r>
                </w:p>
              </w:tc>
              <w:tc>
                <w:tcPr>
                  <w:tcW w:type="dxa" w:w="638"/>
                </w:tcPr>
                <w:p>
                  <w:pPr>
                    <w:pStyle w:val="null3"/>
                  </w:pPr>
                  <w:r>
                    <w:rPr>
                      <w:rFonts w:ascii="仿宋_GB2312" w:hAnsi="仿宋_GB2312" w:cs="仿宋_GB2312" w:eastAsia="仿宋_GB2312"/>
                    </w:rPr>
                    <w:t>1500立方米/日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东大村污水处理站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郭北村污水处理站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北大村污水处理站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西庄村污水处理站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太平河村污水处理站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西干渠污水处理站</w:t>
                  </w:r>
                </w:p>
              </w:tc>
              <w:tc>
                <w:tcPr>
                  <w:tcW w:type="dxa" w:w="638"/>
                </w:tcPr>
                <w:p>
                  <w:pPr>
                    <w:pStyle w:val="null3"/>
                  </w:pPr>
                  <w:r>
                    <w:rPr>
                      <w:rFonts w:ascii="仿宋_GB2312" w:hAnsi="仿宋_GB2312" w:cs="仿宋_GB2312" w:eastAsia="仿宋_GB2312"/>
                    </w:rPr>
                    <w:t>1000立方米/日</w:t>
                  </w:r>
                </w:p>
              </w:tc>
              <w:tc>
                <w:tcPr>
                  <w:tcW w:type="dxa" w:w="638"/>
                </w:tcPr>
                <w:p>
                  <w:pPr>
                    <w:pStyle w:val="null3"/>
                  </w:pPr>
                  <w:r>
                    <w:rPr>
                      <w:rFonts w:ascii="仿宋_GB2312" w:hAnsi="仿宋_GB2312" w:cs="仿宋_GB2312" w:eastAsia="仿宋_GB2312"/>
                    </w:rPr>
                    <w:t>B标准</w:t>
                  </w:r>
                </w:p>
              </w:tc>
            </w:tr>
            <w:tr>
              <w:tc>
                <w:tcPr>
                  <w:tcW w:type="dxa" w:w="638"/>
                </w:tcPr>
                <w:p>
                  <w:pPr>
                    <w:pStyle w:val="null3"/>
                  </w:pPr>
                  <w:r>
                    <w:rPr>
                      <w:rFonts w:ascii="仿宋_GB2312" w:hAnsi="仿宋_GB2312" w:cs="仿宋_GB2312" w:eastAsia="仿宋_GB2312"/>
                    </w:rPr>
                    <w:t>总计</w:t>
                  </w:r>
                </w:p>
              </w:tc>
              <w:tc>
                <w:tcPr>
                  <w:tcW w:type="dxa" w:w="1914"/>
                  <w:gridSpan w:val="3"/>
                </w:tcPr>
                <w:p>
                  <w:pPr>
                    <w:pStyle w:val="null3"/>
                  </w:pPr>
                  <w:r>
                    <w:rPr>
                      <w:rFonts w:ascii="仿宋_GB2312" w:hAnsi="仿宋_GB2312" w:cs="仿宋_GB2312" w:eastAsia="仿宋_GB2312"/>
                    </w:rPr>
                    <w:t xml:space="preserve"> 7座污水处理站，设计处理能力7500立方米/日  </w:t>
                  </w:r>
                </w:p>
              </w:tc>
            </w:tr>
          </w:tbl>
          <w:p>
            <w:pPr>
              <w:pStyle w:val="null3"/>
            </w:pPr>
            <w:r>
              <w:rPr>
                <w:rFonts w:ascii="仿宋_GB2312" w:hAnsi="仿宋_GB2312" w:cs="仿宋_GB2312" w:eastAsia="仿宋_GB2312"/>
              </w:rPr>
              <w:t>2.污水收集系统和其他附属设施运维要求</w:t>
            </w:r>
          </w:p>
          <w:p>
            <w:pPr>
              <w:pStyle w:val="null3"/>
            </w:pPr>
            <w:r>
              <w:rPr>
                <w:rFonts w:ascii="仿宋_GB2312" w:hAnsi="仿宋_GB2312" w:cs="仿宋_GB2312" w:eastAsia="仿宋_GB2312"/>
              </w:rPr>
              <w:t>2.1提升泵站运维要求。负责6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pPr>
              <w:pStyle w:val="null3"/>
            </w:pPr>
            <w:r>
              <w:rPr>
                <w:rFonts w:ascii="仿宋_GB2312" w:hAnsi="仿宋_GB2312" w:cs="仿宋_GB2312" w:eastAsia="仿宋_GB2312"/>
              </w:rPr>
              <w:t>表2.1污水提升泵站统计表</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设计规模</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一体化提升泵站</w:t>
                  </w:r>
                </w:p>
              </w:tc>
              <w:tc>
                <w:tcPr>
                  <w:tcW w:type="dxa" w:w="638"/>
                </w:tcPr>
                <w:p>
                  <w:pPr>
                    <w:pStyle w:val="null3"/>
                  </w:pPr>
                  <w:r>
                    <w:rPr>
                      <w:rFonts w:ascii="仿宋_GB2312" w:hAnsi="仿宋_GB2312" w:cs="仿宋_GB2312" w:eastAsia="仿宋_GB2312"/>
                    </w:rPr>
                    <w:t>总规模187m³/h。</w:t>
                  </w:r>
                </w:p>
              </w:tc>
              <w:tc>
                <w:tcPr>
                  <w:tcW w:type="dxa" w:w="638"/>
                </w:tcPr>
                <w:p>
                  <w:pPr>
                    <w:pStyle w:val="null3"/>
                  </w:pPr>
                  <w:r>
                    <w:rPr>
                      <w:rFonts w:ascii="仿宋_GB2312" w:hAnsi="仿宋_GB2312" w:cs="仿宋_GB2312" w:eastAsia="仿宋_GB2312"/>
                    </w:rPr>
                    <w:t>6座</w:t>
                  </w:r>
                </w:p>
              </w:tc>
            </w:tr>
          </w:tbl>
          <w:p>
            <w:pPr>
              <w:pStyle w:val="null3"/>
            </w:pPr>
            <w:r>
              <w:rPr>
                <w:rFonts w:ascii="仿宋_GB2312" w:hAnsi="仿宋_GB2312" w:cs="仿宋_GB2312" w:eastAsia="仿宋_GB2312"/>
              </w:rPr>
              <w:t>2.2污水收集管网运维要求。负责重力流污水收水管网日常巡查和维护维修，主要包括污水收集管网日常巡检、疏通、管道破损维修、其他安全设施检查等，保证污水收集管网畅通，无堵塞、漏水现象。</w:t>
            </w:r>
          </w:p>
          <w:p>
            <w:pPr>
              <w:pStyle w:val="null3"/>
            </w:pPr>
            <w:r>
              <w:rPr>
                <w:rFonts w:ascii="仿宋_GB2312" w:hAnsi="仿宋_GB2312" w:cs="仿宋_GB2312" w:eastAsia="仿宋_GB2312"/>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pPr>
              <w:pStyle w:val="null3"/>
            </w:pPr>
            <w:r>
              <w:rPr>
                <w:rFonts w:ascii="仿宋_GB2312" w:hAnsi="仿宋_GB2312" w:cs="仿宋_GB2312" w:eastAsia="仿宋_GB2312"/>
              </w:rPr>
              <w:t>表2.2 收水管网及其他附属设施统计表</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设计规模</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收水管网</w:t>
                  </w:r>
                </w:p>
              </w:tc>
              <w:tc>
                <w:tcPr>
                  <w:tcW w:type="dxa" w:w="638"/>
                </w:tcPr>
                <w:p>
                  <w:pPr>
                    <w:pStyle w:val="null3"/>
                  </w:pPr>
                  <w:r>
                    <w:rPr>
                      <w:rFonts w:ascii="仿宋_GB2312" w:hAnsi="仿宋_GB2312" w:cs="仿宋_GB2312" w:eastAsia="仿宋_GB2312"/>
                    </w:rPr>
                    <w:t>管径DN1000、DN500、DN300、DN200</w:t>
                  </w:r>
                </w:p>
              </w:tc>
              <w:tc>
                <w:tcPr>
                  <w:tcW w:type="dxa" w:w="638"/>
                </w:tcPr>
                <w:p>
                  <w:pPr>
                    <w:pStyle w:val="null3"/>
                  </w:pPr>
                  <w:r>
                    <w:rPr>
                      <w:rFonts w:ascii="仿宋_GB2312" w:hAnsi="仿宋_GB2312" w:cs="仿宋_GB2312" w:eastAsia="仿宋_GB2312"/>
                    </w:rPr>
                    <w:t>76.497公里</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其他附属设施</w:t>
                  </w:r>
                </w:p>
              </w:tc>
              <w:tc>
                <w:tcPr>
                  <w:tcW w:type="dxa" w:w="638"/>
                </w:tcPr>
                <w:p>
                  <w:pPr>
                    <w:pStyle w:val="null3"/>
                  </w:pPr>
                  <w:r>
                    <w:rPr>
                      <w:rFonts w:ascii="仿宋_GB2312" w:hAnsi="仿宋_GB2312" w:cs="仿宋_GB2312" w:eastAsia="仿宋_GB2312"/>
                    </w:rPr>
                    <w:t>检查井、隔油井等</w:t>
                  </w:r>
                </w:p>
              </w:tc>
              <w:tc>
                <w:tcPr>
                  <w:tcW w:type="dxa" w:w="638"/>
                </w:tcPr>
                <w:p>
                  <w:pPr>
                    <w:pStyle w:val="null3"/>
                  </w:pPr>
                  <w:r>
                    <w:rPr>
                      <w:rFonts w:ascii="仿宋_GB2312" w:hAnsi="仿宋_GB2312" w:cs="仿宋_GB2312" w:eastAsia="仿宋_GB2312"/>
                    </w:rPr>
                    <w:t>3824个</w:t>
                  </w:r>
                </w:p>
              </w:tc>
            </w:tr>
          </w:tbl>
          <w:p>
            <w:pPr>
              <w:pStyle w:val="null3"/>
            </w:pPr>
            <w:r>
              <w:rPr>
                <w:rFonts w:ascii="仿宋_GB2312" w:hAnsi="仿宋_GB2312" w:cs="仿宋_GB2312" w:eastAsia="仿宋_GB2312"/>
              </w:rPr>
              <w:t>（二）管理要求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至少配备10名专职运维人员。提供年度培训计划，包括安全操作、应急处理等内容。</w:t>
            </w:r>
          </w:p>
          <w:p>
            <w:pPr>
              <w:pStyle w:val="null3"/>
            </w:pPr>
            <w:r>
              <w:rPr>
                <w:rFonts w:ascii="仿宋_GB2312" w:hAnsi="仿宋_GB2312" w:cs="仿宋_GB2312" w:eastAsia="仿宋_GB2312"/>
              </w:rPr>
              <w:t>2.安全管理</w:t>
            </w:r>
          </w:p>
          <w:p>
            <w:pPr>
              <w:pStyle w:val="null3"/>
            </w:pPr>
            <w:r>
              <w:rPr>
                <w:rFonts w:ascii="仿宋_GB2312" w:hAnsi="仿宋_GB2312" w:cs="仿宋_GB2312" w:eastAsia="仿宋_GB2312"/>
              </w:rPr>
              <w:t>制定有限空间作业、防硫化氢中毒、防爆等安全规程。配备安全防护装备（气体检测仪、正压式呼吸器等）。</w:t>
            </w:r>
          </w:p>
          <w:p>
            <w:pPr>
              <w:pStyle w:val="null3"/>
            </w:pPr>
            <w:r>
              <w:rPr>
                <w:rFonts w:ascii="仿宋_GB2312" w:hAnsi="仿宋_GB2312" w:cs="仿宋_GB2312" w:eastAsia="仿宋_GB2312"/>
              </w:rPr>
              <w:t>3.档案管理</w:t>
            </w:r>
          </w:p>
          <w:p>
            <w:pPr>
              <w:pStyle w:val="null3"/>
            </w:pPr>
            <w:r>
              <w:rPr>
                <w:rFonts w:ascii="仿宋_GB2312" w:hAnsi="仿宋_GB2312" w:cs="仿宋_GB2312" w:eastAsia="仿宋_GB2312"/>
              </w:rPr>
              <w:t>建立电子化运维台账，包括巡检记录、维修记录、水质报告等，保存期不少于3年。</w:t>
            </w:r>
          </w:p>
          <w:p>
            <w:pPr>
              <w:pStyle w:val="null3"/>
            </w:pPr>
            <w:r>
              <w:rPr>
                <w:rFonts w:ascii="仿宋_GB2312" w:hAnsi="仿宋_GB2312" w:cs="仿宋_GB2312" w:eastAsia="仿宋_GB2312"/>
              </w:rPr>
              <w:t>4.应急管理</w:t>
            </w:r>
          </w:p>
          <w:p>
            <w:pPr>
              <w:pStyle w:val="null3"/>
            </w:pPr>
            <w:r>
              <w:rPr>
                <w:rFonts w:ascii="仿宋_GB2312" w:hAnsi="仿宋_GB2312" w:cs="仿宋_GB2312" w:eastAsia="仿宋_GB2312"/>
              </w:rPr>
              <w:t>编制防汛、停电、设备故障等应急预案，每年至少组织1次演练。</w:t>
            </w:r>
          </w:p>
          <w:p>
            <w:pPr>
              <w:pStyle w:val="null3"/>
            </w:pPr>
            <w:r>
              <w:rPr>
                <w:rFonts w:ascii="仿宋_GB2312" w:hAnsi="仿宋_GB2312" w:cs="仿宋_GB2312" w:eastAsia="仿宋_GB2312"/>
              </w:rPr>
              <w:t>四、服务期限</w:t>
            </w:r>
          </w:p>
          <w:p>
            <w:pPr>
              <w:pStyle w:val="null3"/>
            </w:pPr>
            <w:r>
              <w:rPr>
                <w:rFonts w:ascii="仿宋_GB2312" w:hAnsi="仿宋_GB2312" w:cs="仿宋_GB2312" w:eastAsia="仿宋_GB2312"/>
              </w:rPr>
              <w:t>服务期为合同签订之日起365日。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至少配备10名专职运维人员。提供年度培训计划，包括安全操作、应急处理等内容。</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初次验收：合同签订后，供应商按批次逐步接收运维，供应商运维人员和必要设备全部进场，出水水质达标后，向采购人提出验收申请，采购人接到供应商验收申请后2日内组织初次验收，验收合格后，开始起算服务期。 （二）考核:服务期内，由采购商每半年组织进行一次考核，出具阶段性考核表，可采取且不仅限于以下方式。 1.定期检查污水处理系统运行情况，检查中污水站出水应无异味、颜色无异常、污泥堆放处置规范，提升泵站内应无大量垃圾、提升泵正常运行，污水收集管网应畅通,无堵塞现象； 2.每季度对污水处理站出水开展1次监督性监测，水质应达到服务要求约定的标准。 （三）综合验收:项目履行完毕，供应商向采购商提出验收申请，采购商接到供应商验收申请后组织综合验收，验收合格后，出具验收表。验收结果作为付款依据。供应商向采购人提交实施过程中的所有资料，以便采购人日后管理和维护。 （四）服务期计算方法:初次验收合格后起算服务期，表1和表2中污水处理设施服务期大于等于180日时视为“服务期满180日”；表1、表2和表3中所有设施运维服务期满365日视为“项目履行完毕”。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服务期满180日且考核合格后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考核合格且通过综合验收后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供应商需在项目电子化交易系统中按要求填写《投标函》完成承诺并进行电子签章且供应商需在《基本资格条件承诺函》并进行电子签章。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供应商需在项目电子化交易系统中按要求填写《投标函》完成承诺并进行电子签章且供应商需在《基本资格条件承诺函》并进行电子签章。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供应商需在项目电子化交易系统中按要求填写《投标函》完成承诺并进行电子签章且供应商需在《基本资格条件承诺函》并进行电子签章。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p>
        </w:tc>
        <w:tc>
          <w:tcPr>
            <w:tcW w:type="dxa" w:w="1661"/>
          </w:tcPr>
          <w:p>
            <w:pPr>
              <w:pStyle w:val="null3"/>
            </w:pPr>
            <w:r>
              <w:rPr>
                <w:rFonts w:ascii="仿宋_GB2312" w:hAnsi="仿宋_GB2312" w:cs="仿宋_GB2312" w:eastAsia="仿宋_GB2312"/>
              </w:rPr>
              <w:t>附件：基本资格条件承诺函.docx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投标文件按照招标要求签署、盖章</w:t>
            </w:r>
          </w:p>
        </w:tc>
        <w:tc>
          <w:tcPr>
            <w:tcW w:type="dxa" w:w="1661"/>
          </w:tcPr>
          <w:p>
            <w:pPr>
              <w:pStyle w:val="null3"/>
            </w:pPr>
            <w:r>
              <w:rPr>
                <w:rFonts w:ascii="仿宋_GB2312" w:hAnsi="仿宋_GB2312" w:cs="仿宋_GB2312" w:eastAsia="仿宋_GB2312"/>
              </w:rPr>
              <w:t>开标一览表 附件：基本资格条件承诺函.docx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针对本项目提供的运维服务方案科学性、合理性、完善程度进行赋分，包括1.设备设施巡检措施；2.设备设施维保措施；3.药剂配置投放措施；4.水质检测措施；5.异常情况排查及协调措施；6.绿化及环境清洁措施；7.污泥处理措施；8.档案管理措施；9.安全管理措施；10应急处置措施；11.管网和其他附属设施维护措施；12智能化管理措施等方面。 每项措施内容全面、具体、可行、科学合理，可操作性强得3分； 每项措施内容相对全面、可操作性一般得2分； 每项措施内容简单、空泛，不具有可操作性得1分； 未提供相关内容不得分。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管理制度，根据管理制度的详细程度、针对性程度进行赋分，包括1.药剂使用制度；2.检测制度；3.巡检制度；4.废物处置管理制度；5.维保制度；6.档案管理制度；7.人员管理制度；8有限空间作业制度；9.HSE制度等。 每项制度均有详细且针对性说明的得3分; 每项制度仅有描述但不够完善的得2分; 每项制度简单、空泛，不具有可操作性得1分； 未提供相关资料不得分。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根据本项目的特点，制定合理可行的服务质量保证措施，保证污水处理站及配套设施和管网正常运行。 措施详细完整、可行性、针对性强，能高质量的确保项目服务质量，得7分； 措施相对完整，有一定的可行性及针对性，以保证项目质量，得4分； 措施简略、可行性存在不足，得1分；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须提供针对本项目的详细人员配备情况，拟配置人员必须为现单位正式职工，提供社保和劳动合同证明，不同单位任职的同类工作经验可累加计算（不同单位工作经验均需提供社保证明）。 1、项目负责人：拟投入本项目的项目负责人有5年以上同类工作经验得5分；项目负责人3-5年同类工作经验得3分；项目负责人3年以下同类工作经验得1分。 2、其他人员：除项目负责人外，其他人员应配置不少于9人。其他人员配置齐全并有相关工作经验得4分； 其他人员配置齐全且部分人员有工作经验得3分； 其他人员配置齐全，无相关工作经验得2分； 没有提供不得分。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供应商（2023年1月1日至今）类似项目业绩，每个有效业绩得3分，满6分。(以合同为准，业绩有效时间以合同签订时间为准，复印件加盖公章。)未提供相关内容不得分。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满足招标文件要求且投标价格最低的报价为评标基准价，其价格分为满分。其他供应商的价格分统一按照下列公式计算：价格分=(评标基准价／投标报价)×15注：计算分数时四舍五入取小数点后两位。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详见附件：附件：基本资格条件承诺函.docx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