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版本号：YHZHZB【2026】-80120260804001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礼泉县污水处理厂排污口下游水质净化及资源化利用项目设计服务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YHZHZB【2026】-801</w:t>
      </w:r>
      <w:r>
        <w:br/>
      </w:r>
      <w:r>
        <w:br/>
      </w:r>
      <w:r>
        <w:br/>
      </w:r>
    </w:p>
    <w:p>
      <w:pPr>
        <w:pStyle w:val="null3"/>
        <w:jc w:val="center"/>
        <w:outlineLvl w:val="2"/>
      </w:pPr>
      <w:r>
        <w:rPr>
          <w:rFonts w:ascii="仿宋_GB2312" w:hAnsi="仿宋_GB2312" w:cs="仿宋_GB2312" w:eastAsia="仿宋_GB2312"/>
          <w:sz w:val="28"/>
          <w:b/>
        </w:rPr>
        <w:t>咸阳市生态环境局礼泉分局</w:t>
      </w:r>
    </w:p>
    <w:p>
      <w:pPr>
        <w:pStyle w:val="null3"/>
        <w:jc w:val="center"/>
        <w:outlineLvl w:val="2"/>
      </w:pPr>
      <w:r>
        <w:rPr>
          <w:rFonts w:ascii="仿宋_GB2312" w:hAnsi="仿宋_GB2312" w:cs="仿宋_GB2312" w:eastAsia="仿宋_GB2312"/>
          <w:sz w:val="28"/>
          <w:b/>
        </w:rPr>
        <w:t>陕西一禾智慧项目管理有限公司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陕西一禾智慧项目管理有限公司</w:t>
      </w:r>
      <w:r>
        <w:rPr>
          <w:rFonts w:ascii="仿宋_GB2312" w:hAnsi="仿宋_GB2312" w:cs="仿宋_GB2312" w:eastAsia="仿宋_GB2312"/>
        </w:rPr>
        <w:t>（以下简称“代理机构”）受</w:t>
      </w:r>
      <w:r>
        <w:rPr>
          <w:rFonts w:ascii="仿宋_GB2312" w:hAnsi="仿宋_GB2312" w:cs="仿宋_GB2312" w:eastAsia="仿宋_GB2312"/>
        </w:rPr>
        <w:t>咸阳市生态环境局礼泉分局</w:t>
      </w:r>
      <w:r>
        <w:rPr>
          <w:rFonts w:ascii="仿宋_GB2312" w:hAnsi="仿宋_GB2312" w:cs="仿宋_GB2312" w:eastAsia="仿宋_GB2312"/>
        </w:rPr>
        <w:t>委托，拟对</w:t>
      </w:r>
      <w:r>
        <w:rPr>
          <w:rFonts w:ascii="仿宋_GB2312" w:hAnsi="仿宋_GB2312" w:cs="仿宋_GB2312" w:eastAsia="仿宋_GB2312"/>
        </w:rPr>
        <w:t>礼泉县污水处理厂排污口下游水质净化及资源化利用项目设计服务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YHZHZB【2026】-801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礼泉县污水处理厂排污口下游水质净化及资源化利用项目设计服务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礼泉县污水处理厂排污口下游水质净化及资源化利用项目设计服务，1项，具体内容详⻅招标⽂件第三部分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采购包1（礼泉县污水处理厂排污口下游水质净化及资源化利用项目设计服务）：属于专门面向中小企业采购。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1、营业执照等主体资格证明文件：供应商应具有独立承担民事责任能力的法人或其他组织或自然人（法人或其他组织提供营业执照或事业单位法人证书等国家规定的相关证明，自然人提供身份证件）;</w:t>
      </w:r>
    </w:p>
    <w:p>
      <w:pPr>
        <w:pStyle w:val="null3"/>
      </w:pPr>
      <w:r>
        <w:rPr>
          <w:rFonts w:ascii="仿宋_GB2312" w:hAnsi="仿宋_GB2312" w:cs="仿宋_GB2312" w:eastAsia="仿宋_GB2312"/>
        </w:rPr>
        <w:t>2、法定代表人身份证明书或授权委托书：法定代表人直接参加投标的，须出具法定代表人身份证明书（含法人身份证复印件）；法定代表人授权代表参加投标的，须出具法定代表人授权书（附法定代表人身份证复印件及被授权人身份证复印件）。自然人只需提供身份证；</w:t>
      </w:r>
    </w:p>
    <w:p>
      <w:pPr>
        <w:pStyle w:val="null3"/>
      </w:pPr>
      <w:r>
        <w:rPr>
          <w:rFonts w:ascii="仿宋_GB2312" w:hAnsi="仿宋_GB2312" w:cs="仿宋_GB2312" w:eastAsia="仿宋_GB2312"/>
        </w:rPr>
        <w:t>3、资质：供应商须具备建设行政主管部门颁发的工程设计综合甲级或水利行业河道整治工程丙级或环境工程水污染防治工程乙级及以上资质;</w:t>
      </w:r>
    </w:p>
    <w:p>
      <w:pPr>
        <w:pStyle w:val="null3"/>
      </w:pPr>
      <w:r>
        <w:rPr>
          <w:rFonts w:ascii="仿宋_GB2312" w:hAnsi="仿宋_GB2312" w:cs="仿宋_GB2312" w:eastAsia="仿宋_GB2312"/>
        </w:rPr>
        <w:t>4、项目负责人：拟派项目负责人需具备水利工程相关专业中级及以上技术职称或环境工程相关专业中级及以上技术职称；</w:t>
      </w:r>
    </w:p>
    <w:p>
      <w:pPr>
        <w:pStyle w:val="null3"/>
      </w:pPr>
      <w:r>
        <w:rPr>
          <w:rFonts w:ascii="仿宋_GB2312" w:hAnsi="仿宋_GB2312" w:cs="仿宋_GB2312" w:eastAsia="仿宋_GB2312"/>
        </w:rPr>
        <w:t>5、没有重大违法记录的书面声明：出具参加本次采购活动前三年内在经营活动中没有重大违法记录的书面声明;</w:t>
      </w:r>
    </w:p>
    <w:p>
      <w:pPr>
        <w:pStyle w:val="null3"/>
      </w:pPr>
      <w:r>
        <w:rPr>
          <w:rFonts w:ascii="仿宋_GB2312" w:hAnsi="仿宋_GB2312" w:cs="仿宋_GB2312" w:eastAsia="仿宋_GB2312"/>
        </w:rPr>
        <w:t>6、所必需的设备和专业技术能力声明：供应商须提供具有履行合同所必需的设备和专业技术能力的承诺；</w:t>
      </w:r>
    </w:p>
    <w:p>
      <w:pPr>
        <w:pStyle w:val="null3"/>
      </w:pPr>
      <w:r>
        <w:rPr>
          <w:rFonts w:ascii="仿宋_GB2312" w:hAnsi="仿宋_GB2312" w:cs="仿宋_GB2312" w:eastAsia="仿宋_GB2312"/>
        </w:rPr>
        <w:t>7、投标供应商须具有健全的财务会计制度：提供经审计的2025年度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w:t>
      </w:r>
    </w:p>
    <w:p>
      <w:pPr>
        <w:pStyle w:val="null3"/>
      </w:pPr>
      <w:r>
        <w:rPr>
          <w:rFonts w:ascii="仿宋_GB2312" w:hAnsi="仿宋_GB2312" w:cs="仿宋_GB2312" w:eastAsia="仿宋_GB2312"/>
        </w:rPr>
        <w:t>8、具有依法缴纳税收的良好记录：提供已缴纳的2025年08月至今任意一个月的纳税证明或完税证明，纳税证明或完税证明上应有代收机构或税务机关的公章或业务专用章。依法免税的供应商应提供相关文件证明；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9、具有依法缴纳社会保障资金的良好记录：提供已缴存的2025年08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10、信誉：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11、控股关系：单位负责人为同一人或者存在直接控股、管理关系的不同供应商，不得同时参加同一采购活动；</w:t>
      </w:r>
    </w:p>
    <w:p>
      <w:pPr>
        <w:pStyle w:val="null3"/>
      </w:pPr>
      <w:r>
        <w:rPr>
          <w:rFonts w:ascii="仿宋_GB2312" w:hAnsi="仿宋_GB2312" w:cs="仿宋_GB2312" w:eastAsia="仿宋_GB2312"/>
        </w:rPr>
        <w:t>12、中小型企业：本项目为专门面向中小企业采购</w:t>
      </w:r>
    </w:p>
    <w:p>
      <w:pPr>
        <w:pStyle w:val="null3"/>
      </w:pPr>
      <w:r>
        <w:rPr>
          <w:rFonts w:ascii="仿宋_GB2312" w:hAnsi="仿宋_GB2312" w:cs="仿宋_GB2312" w:eastAsia="仿宋_GB2312"/>
        </w:rPr>
        <w:t>13、非联合体投标声明：本项目不接受联合体投标。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咸阳市生态环境局礼泉分局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陕西省咸阳市礼泉县长庆路 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029-38920500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陕西一禾智慧项目管理有限公司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陕西省咸阳市秦都区陕西省咸阳市秦都区沈平路农业局北门正对面48号院内1楼101室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19929177307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招标代理服务收费管理暂行办法》及国家发展改革委办公厅《关于招标代理服务收费有关问题的通知》（发改办价格〔2003〕857号）有关规定下浮5%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咸阳市生态环境局礼泉分局</w:t>
      </w:r>
      <w:r>
        <w:rPr>
          <w:rFonts w:ascii="仿宋_GB2312" w:hAnsi="仿宋_GB2312" w:cs="仿宋_GB2312" w:eastAsia="仿宋_GB2312"/>
        </w:rPr>
        <w:t>和</w:t>
      </w:r>
      <w:r>
        <w:rPr>
          <w:rFonts w:ascii="仿宋_GB2312" w:hAnsi="仿宋_GB2312" w:cs="仿宋_GB2312" w:eastAsia="仿宋_GB2312"/>
        </w:rPr>
        <w:t>陕西一禾智慧项目管理有限公司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咸阳市生态环境局礼泉分局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陕西一禾智慧项目管理有限公司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咸阳市生态环境局礼泉分局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陕西一禾智慧项目管理有限公司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符合现行国家、行业“合格”标准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陕西一禾智慧项目管理有限公司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陕西一禾智慧项目管理有限公司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陕西一禾智慧项目管理有限公司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联系人：张博</w:t>
      </w:r>
    </w:p>
    <w:p>
      <w:pPr>
        <w:pStyle w:val="null3"/>
      </w:pPr>
      <w:r>
        <w:rPr>
          <w:rFonts w:ascii="仿宋_GB2312" w:hAnsi="仿宋_GB2312" w:cs="仿宋_GB2312" w:eastAsia="仿宋_GB2312"/>
        </w:rPr>
        <w:t>联系电话：17719667078</w:t>
      </w:r>
    </w:p>
    <w:p>
      <w:pPr>
        <w:pStyle w:val="null3"/>
      </w:pPr>
      <w:r>
        <w:rPr>
          <w:rFonts w:ascii="仿宋_GB2312" w:hAnsi="仿宋_GB2312" w:cs="仿宋_GB2312" w:eastAsia="仿宋_GB2312"/>
        </w:rPr>
        <w:t>地址：陕西省咸阳市秦都区沈平路农业局北门正对面 48 号院内 1 楼 101</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color w:val="000000"/>
        </w:rPr>
        <w:t>本项目位于礼泉县污水处理厂下游泥河河道两侧，总用地约</w:t>
      </w:r>
      <w:r>
        <w:rPr>
          <w:rFonts w:ascii="仿宋_GB2312" w:hAnsi="仿宋_GB2312" w:cs="仿宋_GB2312" w:eastAsia="仿宋_GB2312"/>
          <w:sz w:val="24"/>
          <w:b/>
          <w:color w:val="000000"/>
        </w:rPr>
        <w:t>67.4 亩</w:t>
      </w:r>
      <w:r>
        <w:rPr>
          <w:rFonts w:ascii="仿宋_GB2312" w:hAnsi="仿宋_GB2312" w:cs="仿宋_GB2312" w:eastAsia="仿宋_GB2312"/>
          <w:sz w:val="24"/>
          <w:color w:val="000000"/>
        </w:rPr>
        <w:t>，污水处理设计规模</w:t>
      </w:r>
      <w:r>
        <w:rPr>
          <w:rFonts w:ascii="仿宋_GB2312" w:hAnsi="仿宋_GB2312" w:cs="仿宋_GB2312" w:eastAsia="仿宋_GB2312"/>
          <w:sz w:val="24"/>
          <w:b/>
          <w:color w:val="000000"/>
        </w:rPr>
        <w:t>1.3</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万</w:t>
      </w:r>
      <w:r>
        <w:rPr>
          <w:rFonts w:ascii="仿宋_GB2312" w:hAnsi="仿宋_GB2312" w:cs="仿宋_GB2312" w:eastAsia="仿宋_GB2312"/>
          <w:sz w:val="24"/>
          <w:b/>
          <w:color w:val="000000"/>
        </w:rPr>
        <w:t xml:space="preserve"> m³/d</w:t>
      </w:r>
      <w:r>
        <w:rPr>
          <w:rFonts w:ascii="仿宋_GB2312" w:hAnsi="仿宋_GB2312" w:cs="仿宋_GB2312" w:eastAsia="仿宋_GB2312"/>
          <w:sz w:val="24"/>
          <w:color w:val="000000"/>
        </w:rPr>
        <w:t>，出水执行《地表水环境质量标准》（</w:t>
      </w:r>
      <w:r>
        <w:rPr>
          <w:rFonts w:ascii="仿宋_GB2312" w:hAnsi="仿宋_GB2312" w:cs="仿宋_GB2312" w:eastAsia="仿宋_GB2312"/>
          <w:sz w:val="24"/>
          <w:color w:val="000000"/>
        </w:rPr>
        <w:t>GB3838-2002）Ⅲ 类标准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TN</w:t>
      </w:r>
      <w:r>
        <w:rPr>
          <w:rFonts w:ascii="仿宋_GB2312" w:hAnsi="仿宋_GB2312" w:cs="仿宋_GB2312" w:eastAsia="仿宋_GB2312"/>
          <w:sz w:val="24"/>
          <w:color w:val="000000"/>
        </w:rPr>
        <w:t>除外</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工程包含</w:t>
      </w:r>
      <w:r>
        <w:rPr>
          <w:rFonts w:ascii="仿宋_GB2312" w:hAnsi="仿宋_GB2312" w:cs="仿宋_GB2312" w:eastAsia="仿宋_GB2312"/>
          <w:sz w:val="24"/>
          <w:color w:val="000000"/>
        </w:rPr>
        <w:t>2.02万㎡垂直潜流湿地、1.52万㎡缓冲带生态修复</w:t>
      </w:r>
      <w:r>
        <w:rPr>
          <w:rFonts w:ascii="仿宋_GB2312" w:hAnsi="仿宋_GB2312" w:cs="仿宋_GB2312" w:eastAsia="仿宋_GB2312"/>
          <w:sz w:val="24"/>
          <w:color w:val="000000"/>
        </w:rPr>
        <w:t>，配套环保宣教、水质在线监测、再生水回用管网、防洪护坡等附属设施。</w:t>
      </w:r>
      <w:r>
        <w:rPr>
          <w:rFonts w:ascii="仿宋_GB2312" w:hAnsi="仿宋_GB2312" w:cs="仿宋_GB2312" w:eastAsia="仿宋_GB2312"/>
          <w:sz w:val="24"/>
          <w:color w:val="000000"/>
        </w:rPr>
        <w:t>服务范围涵盖潜流湿地深度净化系统、再生水回用、水生态修复及配套土建、电气自控、管网等全部工程的初步设计、施工图设计、施工阶段技术咨询与协调服务。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礼泉县污水处理厂排污口下游水质净化及资源化利用项目设计服务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标的名称：礼泉县污水处理厂排污口下游水质净化及资源化利用项目设计服务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32"/>
                <w:b/>
                <w:color w:val="000000"/>
              </w:rPr>
              <w:t>采购内容及要求</w:t>
            </w:r>
          </w:p>
          <w:p>
            <w:pPr>
              <w:pStyle w:val="null3"/>
              <w:jc w:val="left"/>
              <w:outlineLvl w:val="1"/>
            </w:pPr>
            <w:r>
              <w:rPr>
                <w:rFonts w:ascii="仿宋_GB2312" w:hAnsi="仿宋_GB2312" w:cs="仿宋_GB2312" w:eastAsia="仿宋_GB2312"/>
                <w:sz w:val="24"/>
                <w:b/>
                <w:color w:val="000000"/>
              </w:rPr>
              <w:t>一、项目基本内容</w:t>
            </w:r>
          </w:p>
          <w:p>
            <w:pPr>
              <w:pStyle w:val="null3"/>
              <w:ind w:firstLine="480"/>
              <w:jc w:val="left"/>
            </w:pPr>
            <w:r>
              <w:rPr>
                <w:rFonts w:ascii="仿宋_GB2312" w:hAnsi="仿宋_GB2312" w:cs="仿宋_GB2312" w:eastAsia="仿宋_GB2312"/>
                <w:sz w:val="24"/>
                <w:color w:val="000000"/>
              </w:rPr>
              <w:t>礼泉县污水处理厂排污口下游水质净化及资源化利用项目设计服务，项目坐落于礼泉县污水处理厂下游泥河河道两侧，总用地约</w:t>
            </w:r>
            <w:r>
              <w:rPr>
                <w:rFonts w:ascii="仿宋_GB2312" w:hAnsi="仿宋_GB2312" w:cs="仿宋_GB2312" w:eastAsia="仿宋_GB2312"/>
                <w:sz w:val="24"/>
                <w:b/>
                <w:color w:val="000000"/>
              </w:rPr>
              <w:t>67.4 亩</w:t>
            </w:r>
            <w:r>
              <w:rPr>
                <w:rFonts w:ascii="仿宋_GB2312" w:hAnsi="仿宋_GB2312" w:cs="仿宋_GB2312" w:eastAsia="仿宋_GB2312"/>
                <w:sz w:val="24"/>
                <w:color w:val="000000"/>
              </w:rPr>
              <w:t>，污水处理设计规模</w:t>
            </w:r>
            <w:r>
              <w:rPr>
                <w:rFonts w:ascii="仿宋_GB2312" w:hAnsi="仿宋_GB2312" w:cs="仿宋_GB2312" w:eastAsia="仿宋_GB2312"/>
                <w:sz w:val="24"/>
                <w:b/>
                <w:color w:val="000000"/>
              </w:rPr>
              <w:t>1.3</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万</w:t>
            </w:r>
            <w:r>
              <w:rPr>
                <w:rFonts w:ascii="仿宋_GB2312" w:hAnsi="仿宋_GB2312" w:cs="仿宋_GB2312" w:eastAsia="仿宋_GB2312"/>
                <w:sz w:val="24"/>
                <w:b/>
                <w:color w:val="000000"/>
              </w:rPr>
              <w:t xml:space="preserve"> m³/d</w:t>
            </w:r>
            <w:r>
              <w:rPr>
                <w:rFonts w:ascii="仿宋_GB2312" w:hAnsi="仿宋_GB2312" w:cs="仿宋_GB2312" w:eastAsia="仿宋_GB2312"/>
                <w:sz w:val="24"/>
                <w:color w:val="000000"/>
              </w:rPr>
              <w:t>，出水执行《地表水环境质量标准》（</w:t>
            </w:r>
            <w:r>
              <w:rPr>
                <w:rFonts w:ascii="仿宋_GB2312" w:hAnsi="仿宋_GB2312" w:cs="仿宋_GB2312" w:eastAsia="仿宋_GB2312"/>
                <w:sz w:val="24"/>
                <w:color w:val="000000"/>
              </w:rPr>
              <w:t>GB3838-2002）Ⅲ 类标准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TN</w:t>
            </w:r>
            <w:r>
              <w:rPr>
                <w:rFonts w:ascii="仿宋_GB2312" w:hAnsi="仿宋_GB2312" w:cs="仿宋_GB2312" w:eastAsia="仿宋_GB2312"/>
                <w:sz w:val="24"/>
                <w:color w:val="000000"/>
              </w:rPr>
              <w:t>除外</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工程包含</w:t>
            </w:r>
            <w:r>
              <w:rPr>
                <w:rFonts w:ascii="仿宋_GB2312" w:hAnsi="仿宋_GB2312" w:cs="仿宋_GB2312" w:eastAsia="仿宋_GB2312"/>
                <w:sz w:val="24"/>
                <w:color w:val="000000"/>
              </w:rPr>
              <w:t>2.02万㎡垂直潜流湿地、1.52万㎡缓冲带生态修复</w:t>
            </w:r>
            <w:r>
              <w:rPr>
                <w:rFonts w:ascii="仿宋_GB2312" w:hAnsi="仿宋_GB2312" w:cs="仿宋_GB2312" w:eastAsia="仿宋_GB2312"/>
                <w:sz w:val="24"/>
                <w:color w:val="000000"/>
              </w:rPr>
              <w:t>，配套环保宣教、水质在线监测、再生水回用管网、防洪护坡等附属设施。</w:t>
            </w:r>
            <w:r>
              <w:rPr>
                <w:rFonts w:ascii="仿宋_GB2312" w:hAnsi="仿宋_GB2312" w:cs="仿宋_GB2312" w:eastAsia="仿宋_GB2312"/>
                <w:sz w:val="24"/>
                <w:color w:val="000000"/>
              </w:rPr>
              <w:t>服务范围涵盖潜流湿地深度净化系统、再生水回用、水生态修复及配套土建、电气自控、管网等全部工程的初步设计、施工图设计、施工阶段技术咨询与协调服务，项目设计服务预算总价</w:t>
            </w:r>
            <w:r>
              <w:rPr>
                <w:rFonts w:ascii="仿宋_GB2312" w:hAnsi="仿宋_GB2312" w:cs="仿宋_GB2312" w:eastAsia="仿宋_GB2312"/>
                <w:sz w:val="24"/>
                <w:b/>
                <w:color w:val="000000"/>
              </w:rPr>
              <w:t>1450000.00 元</w:t>
            </w:r>
            <w:r>
              <w:rPr>
                <w:rFonts w:ascii="仿宋_GB2312" w:hAnsi="仿宋_GB2312" w:cs="仿宋_GB2312" w:eastAsia="仿宋_GB2312"/>
                <w:sz w:val="24"/>
                <w:color w:val="000000"/>
              </w:rPr>
              <w:t>，服务总周期为合同签订后</w:t>
            </w:r>
            <w:r>
              <w:rPr>
                <w:rFonts w:ascii="仿宋_GB2312" w:hAnsi="仿宋_GB2312" w:cs="仿宋_GB2312" w:eastAsia="仿宋_GB2312"/>
                <w:sz w:val="24"/>
                <w:b/>
                <w:color w:val="000000"/>
              </w:rPr>
              <w:t>60 个日历天</w:t>
            </w:r>
            <w:r>
              <w:rPr>
                <w:rFonts w:ascii="仿宋_GB2312" w:hAnsi="仿宋_GB2312" w:cs="仿宋_GB2312" w:eastAsia="仿宋_GB2312"/>
                <w:sz w:val="24"/>
                <w:color w:val="000000"/>
              </w:rPr>
              <w:t>。</w:t>
            </w:r>
          </w:p>
          <w:p>
            <w:pPr>
              <w:pStyle w:val="null3"/>
              <w:jc w:val="left"/>
              <w:outlineLvl w:val="1"/>
            </w:pPr>
            <w:r>
              <w:rPr>
                <w:rFonts w:ascii="仿宋_GB2312" w:hAnsi="仿宋_GB2312" w:cs="仿宋_GB2312" w:eastAsia="仿宋_GB2312"/>
                <w:sz w:val="24"/>
                <w:b/>
                <w:color w:val="000000"/>
              </w:rPr>
              <w:t>二、服务内容及要求</w:t>
            </w:r>
          </w:p>
          <w:p>
            <w:pPr>
              <w:pStyle w:val="null3"/>
              <w:ind w:firstLine="480"/>
              <w:jc w:val="left"/>
            </w:pPr>
            <w:r>
              <w:rPr>
                <w:rFonts w:ascii="仿宋_GB2312" w:hAnsi="仿宋_GB2312" w:cs="仿宋_GB2312" w:eastAsia="仿宋_GB2312"/>
                <w:sz w:val="24"/>
                <w:color w:val="000000"/>
              </w:rPr>
              <w:t>本次工作费用包含现场踏勘、工程初步设计、工程施工图设计全阶段工作，且包含全过程产生的会议费、评审费、图纸打印费、测绘辅助费、全部税金等所有配套费用，采购人无需额外付费。具体采购需求如下：</w:t>
            </w:r>
          </w:p>
          <w:p>
            <w:pPr>
              <w:pStyle w:val="null3"/>
              <w:jc w:val="left"/>
              <w:outlineLvl w:val="2"/>
            </w:pPr>
            <w:r>
              <w:rPr>
                <w:rFonts w:ascii="仿宋_GB2312" w:hAnsi="仿宋_GB2312" w:cs="仿宋_GB2312" w:eastAsia="仿宋_GB2312"/>
                <w:sz w:val="24"/>
                <w:b/>
                <w:color w:val="000000"/>
              </w:rPr>
              <w:t>1、现场踏勘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全域实地现场勘测，完成场地地形、河道水文、排污口点位、地质条件、防洪标高、现状管网、周边用地权属、村镇现状测绘记录；收集污水厂历年运行数据、水质监测报告、流域考核文件、国土空间、水利防洪、水土保持规划等全套基础资料，形成标准化踏勘专题报告； （2）精准划定项目实施红线范围，核算湿地、缓冲带、河道改造、土方等全部工程量，确定项目初步实施范围及建设内容； （3）编制完整总体设计方案，包含设计思路、总平面布局、湿地水力 / 填料 / 植被专项方案、缓冲带生态修复方案、再生水回用系统、防洪安全方案、工程初步投资测算； （4）对接属地镇政府、自然资源、水利、农业农村等相关职能部门，听取各方管控要求，结合场地实际优化、调整项目建设内容与平面布局。</w:t>
            </w:r>
          </w:p>
          <w:p>
            <w:pPr>
              <w:pStyle w:val="null3"/>
              <w:jc w:val="left"/>
              <w:outlineLvl w:val="2"/>
            </w:pPr>
            <w:r>
              <w:rPr>
                <w:rFonts w:ascii="仿宋_GB2312" w:hAnsi="仿宋_GB2312" w:cs="仿宋_GB2312" w:eastAsia="仿宋_GB2312"/>
                <w:sz w:val="24"/>
                <w:b/>
                <w:color w:val="000000"/>
              </w:rPr>
              <w:t>2、工程初步设计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依据批复可行性研究报告，完成全专业初步设计，覆盖工艺、结构、水利防洪、生态景观、给排水、电气自控、水土保持、工程概算八大专业，交付完整初步设计说明书、全套专业图纸、工程量清单、符合财政评审规范的工程概算书； （2）全程配合专家评审会议，负责方案汇报、答疑，根据评审意见、环保及财政主管部门修改要求，无偿完成全部图纸、文本、概算调整修改，直至初步设计通过审核； （3）配套编制上级专项资金申报所需全套技术附件。</w:t>
            </w:r>
          </w:p>
          <w:p>
            <w:pPr>
              <w:pStyle w:val="null3"/>
              <w:jc w:val="left"/>
              <w:outlineLvl w:val="2"/>
            </w:pPr>
            <w:r>
              <w:rPr>
                <w:rFonts w:ascii="仿宋_GB2312" w:hAnsi="仿宋_GB2312" w:cs="仿宋_GB2312" w:eastAsia="仿宋_GB2312"/>
                <w:sz w:val="24"/>
                <w:b/>
                <w:color w:val="000000"/>
              </w:rPr>
              <w:t>3、工程施工图设计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依据批复初步设计，深化工艺、结构、水利、景观、排水、电气、自控全套施工图纸，细化湿地防渗、护坡、种植、在线监测、环保宣教设施施工详图；配套出具施工图总说明、设备材料清单、专项施工技术要求； （2）配合图纸合规审查，根据审查意见无偿修改完善施工图，满足工程招标、现场施工全部使用要求； （3）施工全过程提供技术交底、现场答疑、设计变更、工程洽商编制服务；同步调整配套造价资料，配合财政造价核对；全程参与隐蔽工程、分部分项验收、项目整体竣工验收，提供竣工图编制标准指引，配合环保督查、财政绩效核查； （4）成果交付后提供为期 1 年免费运维技术咨询，指导湿地水质调控、水生植被养护、系统稳定运行。</w:t>
            </w:r>
          </w:p>
          <w:p>
            <w:pPr>
              <w:pStyle w:val="null3"/>
              <w:jc w:val="left"/>
              <w:outlineLvl w:val="2"/>
            </w:pPr>
            <w:r>
              <w:rPr>
                <w:rFonts w:ascii="仿宋_GB2312" w:hAnsi="仿宋_GB2312" w:cs="仿宋_GB2312" w:eastAsia="仿宋_GB2312"/>
                <w:sz w:val="24"/>
                <w:b/>
                <w:color w:val="000000"/>
              </w:rPr>
              <w:t>4、服务要求</w:t>
            </w:r>
          </w:p>
          <w:p>
            <w:pPr>
              <w:pStyle w:val="null3"/>
              <w:ind w:firstLine="480"/>
              <w:jc w:val="left"/>
            </w:pPr>
            <w:r>
              <w:rPr>
                <w:rFonts w:ascii="仿宋_GB2312" w:hAnsi="仿宋_GB2312" w:cs="仿宋_GB2312" w:eastAsia="仿宋_GB2312"/>
                <w:sz w:val="24"/>
                <w:color w:val="000000"/>
              </w:rPr>
              <w:t>成交供应商对全部设计成果、踏勘数据的真实性、准确性、合规性负全责；项目所有图纸、概算、监测数据、现场资料属于采购人涉密资料，不得随意向其他单位提供、转让、商用，服务结束后删除全部本地存储电子资料；本项目不允许转包、分包，全部设计工作由中标单位自有专业团队独立完成。</w:t>
            </w:r>
          </w:p>
          <w:p>
            <w:pPr>
              <w:pStyle w:val="null3"/>
              <w:jc w:val="left"/>
              <w:outlineLvl w:val="2"/>
            </w:pPr>
            <w:r>
              <w:rPr>
                <w:rFonts w:ascii="仿宋_GB2312" w:hAnsi="仿宋_GB2312" w:cs="仿宋_GB2312" w:eastAsia="仿宋_GB2312"/>
                <w:sz w:val="24"/>
                <w:b/>
                <w:color w:val="000000"/>
              </w:rPr>
              <w:t>5、质量标准</w:t>
            </w:r>
          </w:p>
          <w:p>
            <w:pPr>
              <w:pStyle w:val="null3"/>
              <w:ind w:firstLine="480"/>
              <w:jc w:val="left"/>
            </w:pPr>
            <w:r>
              <w:rPr>
                <w:rFonts w:ascii="仿宋_GB2312" w:hAnsi="仿宋_GB2312" w:cs="仿宋_GB2312" w:eastAsia="仿宋_GB2312"/>
                <w:sz w:val="24"/>
                <w:color w:val="000000"/>
              </w:rPr>
              <w:t>供应商交付的全部方案、图纸、概算成果，须严格符合《人工湿地污水处理工程技术规范》《地表水环境质量标准》（</w:t>
            </w:r>
            <w:r>
              <w:rPr>
                <w:rFonts w:ascii="仿宋_GB2312" w:hAnsi="仿宋_GB2312" w:cs="仿宋_GB2312" w:eastAsia="仿宋_GB2312"/>
                <w:sz w:val="24"/>
                <w:color w:val="000000"/>
              </w:rPr>
              <w:t>GB3838-2002）、《防洪标准》《水土保持综合治理技术规范》、市政给排水、建筑结构、生态修复现行国家、行业及陕西省地方规范标准，水力、防洪、造价计算无错项漏算，可顺利通过财政评审、环保专项核查。</w:t>
            </w:r>
          </w:p>
          <w:p>
            <w:pPr>
              <w:pStyle w:val="null3"/>
              <w:jc w:val="left"/>
              <w:outlineLvl w:val="1"/>
            </w:pPr>
            <w:r>
              <w:rPr>
                <w:rFonts w:ascii="仿宋_GB2312" w:hAnsi="仿宋_GB2312" w:cs="仿宋_GB2312" w:eastAsia="仿宋_GB2312"/>
                <w:sz w:val="24"/>
                <w:b/>
                <w:color w:val="000000"/>
              </w:rPr>
              <w:t>三、成果文件要求</w:t>
            </w:r>
          </w:p>
          <w:p>
            <w:pPr>
              <w:pStyle w:val="null3"/>
              <w:jc w:val="left"/>
              <w:outlineLvl w:val="1"/>
            </w:pPr>
            <w:r>
              <w:rPr>
                <w:rFonts w:ascii="仿宋_GB2312" w:hAnsi="仿宋_GB2312" w:cs="仿宋_GB2312" w:eastAsia="仿宋_GB2312"/>
                <w:sz w:val="24"/>
                <w:b/>
                <w:color w:val="000000"/>
              </w:rPr>
              <w:t xml:space="preserve"> 1、初步设计成果：纸质版一式肆份（彩色装订、蓝图加盖出图章）；电子版贰套（</w:t>
            </w:r>
            <w:r>
              <w:rPr>
                <w:rFonts w:ascii="仿宋_GB2312" w:hAnsi="仿宋_GB2312" w:cs="仿宋_GB2312" w:eastAsia="仿宋_GB2312"/>
                <w:sz w:val="24"/>
                <w:b/>
                <w:color w:val="000000"/>
              </w:rPr>
              <w:t xml:space="preserve">CAD </w:t>
            </w:r>
            <w:r>
              <w:rPr>
                <w:rFonts w:ascii="仿宋_GB2312" w:hAnsi="仿宋_GB2312" w:cs="仿宋_GB2312" w:eastAsia="仿宋_GB2312"/>
                <w:sz w:val="24"/>
                <w:b/>
                <w:color w:val="000000"/>
              </w:rPr>
              <w:t>可编辑源文件、</w:t>
            </w:r>
            <w:r>
              <w:rPr>
                <w:rFonts w:ascii="仿宋_GB2312" w:hAnsi="仿宋_GB2312" w:cs="仿宋_GB2312" w:eastAsia="仿宋_GB2312"/>
                <w:sz w:val="24"/>
                <w:b/>
                <w:color w:val="000000"/>
              </w:rPr>
              <w:t xml:space="preserve">PDF </w:t>
            </w:r>
            <w:r>
              <w:rPr>
                <w:rFonts w:ascii="仿宋_GB2312" w:hAnsi="仿宋_GB2312" w:cs="仿宋_GB2312" w:eastAsia="仿宋_GB2312"/>
                <w:sz w:val="24"/>
                <w:b/>
                <w:color w:val="000000"/>
              </w:rPr>
              <w:t xml:space="preserve">高清图集各一套，附带概算计价软件源文件、工程量 </w:t>
            </w:r>
            <w:r>
              <w:rPr>
                <w:rFonts w:ascii="仿宋_GB2312" w:hAnsi="仿宋_GB2312" w:cs="仿宋_GB2312" w:eastAsia="仿宋_GB2312"/>
                <w:sz w:val="24"/>
                <w:b/>
                <w:color w:val="000000"/>
              </w:rPr>
              <w:t xml:space="preserve">Excel </w:t>
            </w:r>
            <w:r>
              <w:rPr>
                <w:rFonts w:ascii="仿宋_GB2312" w:hAnsi="仿宋_GB2312" w:cs="仿宋_GB2312" w:eastAsia="仿宋_GB2312"/>
                <w:sz w:val="24"/>
                <w:b/>
                <w:color w:val="000000"/>
              </w:rPr>
              <w:t>清单）。</w:t>
            </w:r>
          </w:p>
          <w:p>
            <w:pPr>
              <w:pStyle w:val="null3"/>
              <w:jc w:val="left"/>
              <w:outlineLvl w:val="1"/>
            </w:pPr>
            <w:r>
              <w:rPr>
                <w:rFonts w:ascii="仿宋_GB2312" w:hAnsi="仿宋_GB2312" w:cs="仿宋_GB2312" w:eastAsia="仿宋_GB2312"/>
                <w:sz w:val="24"/>
                <w:b/>
                <w:color w:val="000000"/>
              </w:rPr>
              <w:t xml:space="preserve"> 2、施工图设计成果：纸质版一式陆份（蓝图盖章成册，附带图纸总目录、设备材料清单）；电子版贰套（</w:t>
            </w:r>
            <w:r>
              <w:rPr>
                <w:rFonts w:ascii="仿宋_GB2312" w:hAnsi="仿宋_GB2312" w:cs="仿宋_GB2312" w:eastAsia="仿宋_GB2312"/>
                <w:sz w:val="24"/>
                <w:b/>
                <w:color w:val="000000"/>
              </w:rPr>
              <w:t xml:space="preserve">CAD </w:t>
            </w:r>
            <w:r>
              <w:rPr>
                <w:rFonts w:ascii="仿宋_GB2312" w:hAnsi="仿宋_GB2312" w:cs="仿宋_GB2312" w:eastAsia="仿宋_GB2312"/>
                <w:sz w:val="24"/>
                <w:b/>
                <w:color w:val="000000"/>
              </w:rPr>
              <w:t xml:space="preserve">施工图源文件、完整 </w:t>
            </w:r>
            <w:r>
              <w:rPr>
                <w:rFonts w:ascii="仿宋_GB2312" w:hAnsi="仿宋_GB2312" w:cs="仿宋_GB2312" w:eastAsia="仿宋_GB2312"/>
                <w:sz w:val="24"/>
                <w:b/>
                <w:color w:val="000000"/>
              </w:rPr>
              <w:t xml:space="preserve">PDF </w:t>
            </w:r>
            <w:r>
              <w:rPr>
                <w:rFonts w:ascii="仿宋_GB2312" w:hAnsi="仿宋_GB2312" w:cs="仿宋_GB2312" w:eastAsia="仿宋_GB2312"/>
                <w:sz w:val="24"/>
                <w:b/>
                <w:color w:val="000000"/>
              </w:rPr>
              <w:t>图集、配套造价文件）。</w:t>
            </w:r>
          </w:p>
          <w:p>
            <w:pPr>
              <w:pStyle w:val="null3"/>
              <w:jc w:val="left"/>
              <w:outlineLvl w:val="1"/>
            </w:pPr>
            <w:r>
              <w:rPr>
                <w:rFonts w:ascii="仿宋_GB2312" w:hAnsi="仿宋_GB2312" w:cs="仿宋_GB2312" w:eastAsia="仿宋_GB2312"/>
                <w:sz w:val="24"/>
                <w:b/>
                <w:color w:val="000000"/>
              </w:rPr>
              <w:t xml:space="preserve"> 3、交付时限：合同签订起</w:t>
            </w:r>
            <w:r>
              <w:rPr>
                <w:rFonts w:ascii="仿宋_GB2312" w:hAnsi="仿宋_GB2312" w:cs="仿宋_GB2312" w:eastAsia="仿宋_GB2312"/>
                <w:sz w:val="24"/>
                <w:b/>
                <w:color w:val="000000"/>
              </w:rPr>
              <w:t xml:space="preserve"> 60 </w:t>
            </w:r>
            <w:r>
              <w:rPr>
                <w:rFonts w:ascii="仿宋_GB2312" w:hAnsi="仿宋_GB2312" w:cs="仿宋_GB2312" w:eastAsia="仿宋_GB2312"/>
                <w:sz w:val="24"/>
                <w:b/>
                <w:color w:val="000000"/>
              </w:rPr>
              <w:t xml:space="preserve">个日历天内，总体方案、初步设计、施工图、概算全套成果并通过采购人内部初审；评审、图纸审查产生的修改不计入 </w:t>
            </w:r>
            <w:r>
              <w:rPr>
                <w:rFonts w:ascii="仿宋_GB2312" w:hAnsi="仿宋_GB2312" w:cs="仿宋_GB2312" w:eastAsia="仿宋_GB2312"/>
                <w:sz w:val="24"/>
                <w:b/>
                <w:color w:val="000000"/>
              </w:rPr>
              <w:t xml:space="preserve">60 </w:t>
            </w:r>
            <w:r>
              <w:rPr>
                <w:rFonts w:ascii="仿宋_GB2312" w:hAnsi="仿宋_GB2312" w:cs="仿宋_GB2312" w:eastAsia="仿宋_GB2312"/>
                <w:sz w:val="24"/>
                <w:b/>
                <w:color w:val="000000"/>
              </w:rPr>
              <w:t>天服务周期，所有修改不产生额外费用。</w:t>
            </w:r>
          </w:p>
          <w:p>
            <w:pPr>
              <w:pStyle w:val="null3"/>
              <w:ind w:firstLine="48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符合本项目采购需求的专业人员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自合同签订后60个日历天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本项目由甲方进行验收，验收依据为合同文本、合同附件、招标文件、投标文件和国家相应的标准、规范。若因质量问题导致验收不合格，乙方应及时予以处理，直至验收合格。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进度款，待乙方全部设计工作完成、成果交付并经甲方验收通过后，达到付款条件起5个工作日内，支付合同总金额的60.0%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由甲、乙双方当事人协商解决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供应商应具有独立承担民事责任能力的法人或其他组织或自然人（法人或其他组织提供营业执照或事业单位法人证书等国家规定的相关证明，自然人提供身份证件）;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投标的，须出具法定代表人授权书（附法定代表人身份证复印件及被授权人身份证复印件）。自然人只需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供应商须具备建设行政主管部门颁发的工程设计综合甲级或水利行业河道整治工程丙级或环境工程水污染防治工程乙级及以上资质;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拟派项目负责人需具备水利工程相关专业中级及以上技术职称或环境工程相关专业中级及以上技术职称；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所必需的设备和专业技术能力声明</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投标供应商须具有健全的财务会计制度</w:t>
            </w:r>
          </w:p>
        </w:tc>
        <w:tc>
          <w:tcPr>
            <w:tcW w:type="dxa" w:w="3322"/>
          </w:tcPr>
          <w:p>
            <w:pPr>
              <w:pStyle w:val="null3"/>
            </w:pPr>
            <w:r>
              <w:rPr>
                <w:rFonts w:ascii="仿宋_GB2312" w:hAnsi="仿宋_GB2312" w:cs="仿宋_GB2312" w:eastAsia="仿宋_GB2312"/>
              </w:rPr>
              <w:t>提供经审计的2025年度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提供已缴纳的2025年08月至今任意一个月的纳税证明或完税证明，纳税证明或完税证明上应有代收机构或税务机关的公章或业务专用章。依法免税的供应商应提供相关文件证明；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已缴存的2025年08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单位负责人为同一人或者存在直接控股、管理关系的不同供应商，不得同时参加同一采购活动；</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中小型企业</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供应商认为有必要补充说明的事宜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招标过程中，评标委员会认为供应商的报价明显低于其他实质性响应的供应商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 3.根据《财政部关于推动解决政府采购异常低价问题的通知》(财库(2026)2号)相关规定，政府采购评审中出现下列情形之一的，评审委员会应当启动异常低价投标(响应)审查程序：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对本项目设计服务内容及要求的理解</w:t>
            </w:r>
          </w:p>
        </w:tc>
        <w:tc>
          <w:tcPr>
            <w:tcW w:type="dxa" w:w="2492"/>
          </w:tcPr>
          <w:p>
            <w:pPr>
              <w:pStyle w:val="null3"/>
            </w:pPr>
            <w:r>
              <w:rPr>
                <w:rFonts w:ascii="仿宋_GB2312" w:hAnsi="仿宋_GB2312" w:cs="仿宋_GB2312" w:eastAsia="仿宋_GB2312"/>
              </w:rPr>
              <w:t>一.评审内容：根据供应商响应文件中的对本项目服务内容及要求的理解进行综合评价，包含但不限于①设计内容的理解；②服务要求的理解。 二.评审标准：（1）完整性：内容全面详尽，对各方面有详细的描述和说明。（2）合理性：对工作理解准确、全面、思路清晰。（3）针对性：方案编制紧扣项目特点和采购需求，针对性强，整体性高。 三.赋分标准（满分6分）①设计内容的理解，此评审满分3分，每完全满足一项评审标准得1分，针对每条评审标准，如存在不合理的方面扣0.3分，针对每条评审标准，内容与本项目无关或未提供得0分；②服务要求的理解，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一、评审内容：根据供应商响应文件中的技术实施方案进行综合评价，包含但不限于①设计理念、思路；②设计方案的具体规划和步骤；③设计成果及预期目标。 二.评审标准：（1）完整性：内容全面详尽，对各方面有详细的描述和说明。（2）合理性：方案切合实际，思路清晰，科学合理。（3）针对性：方案编制紧扣项目特点和采购需求，针对性强，整体性高。三.赋分标准（满分9分） ①设计理念、思路部分，此评审满分3分，每完全满足一项评审标准得1分，针对每条评审标准，如存在不合理的方面扣0.3分，针对每条评审标准，内容与本项目无关或未提供得0分； ②设计方案的具体规划和步骤部分，此评审满分3分，每完全满足一项评审标准得1分，针对每条评审标准，如存在不合理的方面扣0.3分，针对每条评审标准，内容与本项目无关或未提供得0分； ③设计成果及预期目标部分，此评审满分3分，每完全满足一项评审标准得1分，针对每条评审标准，如存在不合理的方面扣0.3分，针对每条评审标准，内容与本项目无关或未提供得0分。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重点、难点分析及解决对策</w:t>
            </w:r>
          </w:p>
        </w:tc>
        <w:tc>
          <w:tcPr>
            <w:tcW w:type="dxa" w:w="2492"/>
          </w:tcPr>
          <w:p>
            <w:pPr>
              <w:pStyle w:val="null3"/>
            </w:pPr>
            <w:r>
              <w:rPr>
                <w:rFonts w:ascii="仿宋_GB2312" w:hAnsi="仿宋_GB2312" w:cs="仿宋_GB2312" w:eastAsia="仿宋_GB2312"/>
              </w:rPr>
              <w:t>一、评审内容：供应商应充分结合项目特点对本项目的重点、难点进行分析，并且能够提出解决对策，保证本项目顺利进行。包含但不限于①重点、难点分析；②重点、难点解决对策。 二.评审标准： （1）合理性：分析内容全面合理，对各方面有详细的描述和说明。（2）可实施性：切合本项目实际情况，分析清晰、可实施。（3）针对性：分析紧扣项目特点和采购需求，针对性强，整体性高。三.赋分标准（满分6分） ①重点、难点分析。 此评审满分3分，每完全满足一项评审标准得1分，针对每条评审标准，如存在不合理的方面扣0.3分，针对每条评审标准，内容与本项目无关或未提供得0分； ②重点、难点解决对策。此评审满分3分，每完全满足一项评审标准得1分，针对每条评审标准，如存在不合理的方面扣0.3分，针对每条评审标准，内容与本项目无关或未提供得0分。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一.评审内容：根据供应商响应文件中的针对本项目工作任务划分及时间把控，进度计划及进度保证措施进行综合评价，包含但不限于①工作进度计划；②进度保证措施。 二.评审标准：（1）合理性：项目切合实际，进度控制合理、思路清晰，科学合理。（2）可实施性：切合本项目实际情况，计划及措施清晰、可实施。（3）针对性：方案编制紧扣项目特点和采购需求，针对性强，整体性高。 三.赋分标准（满分6分） ①工作进度计划，此评审满分3分，每完全满足一项评审标准得1分，针对每条评审标准，如存在不合理的方面扣0.3分，针对每条评审标准，内容与本项目无关或未提供得0分；②进度保证措施，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一.评审内容：供应商根据本项目服务内容及要求编制质量及安全保障措施：有规范的、合理的服务流程及管理制度，每个流程环节有质量控制办法，对项目执行过程中的服务质量、技术保证、沟通途径有明确说明。供应商切合实际，能充分利用自身资源及相关技术手段保证成果质量，包含但不限于①质量保证体系；②质量保证措施。 二.评审标准： （1）完整性：内容全面，对评审内容中的各项要求有详细描述。（2）可实施性：切合本项目实际情况，实施步骤清晰、合理，可实施。（3）针对性：方案能够紧扣项目实际情况，内容科学合理。 三.赋分标准：（满分6分） ①质量保证体系，此评审项满分3分，每完全满足一条评审标准得1分；针对每条评审标准，如存在不合理的方面，扣0.3分；针对每条评审标准，方案内容与本项目无关或未提供的，得0分。 ②质量保证措施，此评审项满分3分，每完全满足一条评审标准得1分；针对每条评审标准，如存在不合理的方面，扣0.3分；针对每条评审标准，方案内容与本项目无关或未提供的，得0分。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工程投资匡算及投资控制措施</w:t>
            </w:r>
          </w:p>
        </w:tc>
        <w:tc>
          <w:tcPr>
            <w:tcW w:type="dxa" w:w="2492"/>
          </w:tcPr>
          <w:p>
            <w:pPr>
              <w:pStyle w:val="null3"/>
            </w:pPr>
            <w:r>
              <w:rPr>
                <w:rFonts w:ascii="仿宋_GB2312" w:hAnsi="仿宋_GB2312" w:cs="仿宋_GB2312" w:eastAsia="仿宋_GB2312"/>
              </w:rPr>
              <w:t>一.评审内容：根据供应商响应文件中的针对本项目工程投资匡算及投资控制措施进行综合评价，包含但不限于①工程投资匡算；②投资控制措施。二.评审标准：（1）完整性：内容全面，对评审内容中的各项要求有详细描述。（2）可实施性：切合本项目实际情况，实施步骤清晰、合理，可实施。 （3）针对性：方案能够紧扣项目实际情况，内容科学合理。 三.赋分标准（满分6分） ①工程投资匡算，此评审满分3分，每完全满足一项评审标准得1分，针对每条评审标准，如存在不合理的方面扣0.3分，针对每条评审标准，内容与本项目无关或未提供得0分； ②投资控制措施，此评审满分3分，每完全满足一项评审标准得1分，针对每条评审标准，如存在不合理的方面扣0.3分，针对每条评审标准，内容与本项目无关或未提供得0分。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项目负责人能力水平</w:t>
            </w:r>
          </w:p>
        </w:tc>
        <w:tc>
          <w:tcPr>
            <w:tcW w:type="dxa" w:w="2492"/>
          </w:tcPr>
          <w:p>
            <w:pPr>
              <w:pStyle w:val="null3"/>
            </w:pPr>
            <w:r>
              <w:rPr>
                <w:rFonts w:ascii="仿宋_GB2312" w:hAnsi="仿宋_GB2312" w:cs="仿宋_GB2312" w:eastAsia="仿宋_GB2312"/>
              </w:rPr>
              <w:t>一.项目负责人专业实力雄厚、行业工作经验丰富，具有水利工程相关专业或环境工程相关专业高级职称证书的，得4分。 二.项目负责人业绩：近3年（2023年1月至今）每完成一项类似设计业绩，得2分，最高得4分。三.项目负责人具备本科及以上学历的，得3分。 注：提供①人员证书复印件或扫描件②人员业绩证明资料（或相关支撑证明资料）③企业业绩和人员业绩可重复计分④项目负责人必须为供应商本公司的在职人员，否则本项不得分。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项目团队成员（项目负责人除外）每有一个中级及以上职称得3分，最高得 15分。 提供①人员证书复印件或扫描件②项目团队人员必须为供应商本公司的在职人员，否则本项不得分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提供近三年（2023年1月至今）类似项目业绩，每提供一项得4分（需要提供合同复印件，合同复印件包括合同首页、签字盖章页以及合同内容关键页，要求合同复印件资料齐全，否则不得分），满分20分。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报价最低的供应商的价格为评标基准价，其价格分为满分。其他供应商的价格分统一按照下列公式计算：投标报价得分=（评标基准价/投标报价）×15。价格分计算四舍五入，保留两位小数；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