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版本号：SZT2026-SN-SC-ZC-FW-022920260424001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核磁机整机维保服务采购项目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SZT2026-SN-SC-ZC-FW-0229</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核磁机整机维保服务采购项目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SZT2026-SN-SC-ZC-FW-0229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核磁机整机维保服务采购项目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为了保证设备的良好性能及图像效果，确保机器正常运行，需采购整机全保服务。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毛冠奇、肖娇娇、王馨、李文俊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029-88364979-861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开户名称：陕西中技招标有限公司（转账备注项目编号后四位数字）</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招标代理服务费的收取参见国家计委颁布的《招标代理服务收费管理暂行办法》（计价格[2002]1980号）和（发改办价格[2003]857号）收费标准，按照中标金额差额定率累进法计算收取。此代理服务费应计入报价中，但不需要单独开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核磁机整机维保服务采购项目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4,500,000.00</w:t>
      </w:r>
    </w:p>
    <w:p>
      <w:pPr>
        <w:pStyle w:val="null3"/>
      </w:pPr>
      <w:r>
        <w:rPr>
          <w:rFonts w:ascii="仿宋_GB2312" w:hAnsi="仿宋_GB2312" w:cs="仿宋_GB2312" w:eastAsia="仿宋_GB2312"/>
        </w:rPr>
        <w:t>采购包最高限价（元）: 4,500,000.00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核磁机整机维保项目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标的名称：核磁机整机维保项目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left"/>
            </w:pPr>
            <w:r>
              <w:rPr>
                <w:rFonts w:ascii="仿宋_GB2312" w:hAnsi="仿宋_GB2312" w:cs="仿宋_GB2312" w:eastAsia="仿宋_GB2312"/>
                <w:sz w:val="20"/>
              </w:rPr>
              <w:t>1.</w:t>
            </w:r>
            <w:r>
              <w:rPr>
                <w:rFonts w:ascii="仿宋_GB2312" w:hAnsi="仿宋_GB2312" w:cs="仿宋_GB2312" w:eastAsia="仿宋_GB2312"/>
                <w:sz w:val="20"/>
              </w:rPr>
              <w:t>★服务内容：整机全保（白金保），包含全部配件更换及人工费，液氦、冷头、外部水冷、精密空调等软硬件维保及升级服务（磁体及移机除外），旧件退回。（提供承诺函）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维护保养：提供磁共振设备全面维护保养服务每年</w:t>
            </w:r>
            <w:r>
              <w:rPr>
                <w:rFonts w:ascii="仿宋_GB2312" w:hAnsi="仿宋_GB2312" w:cs="仿宋_GB2312" w:eastAsia="仿宋_GB2312"/>
                <w:sz w:val="20"/>
              </w:rPr>
              <w:t>≥4次，并提供保养计划及保养报告（单次报告及年度汇总报告）。</w:t>
            </w:r>
          </w:p>
          <w:p>
            <w:pPr>
              <w:pStyle w:val="null3"/>
              <w:ind w:firstLine="400"/>
              <w:jc w:val="left"/>
            </w:pPr>
            <w:r>
              <w:rPr>
                <w:rFonts w:ascii="仿宋_GB2312" w:hAnsi="仿宋_GB2312" w:cs="仿宋_GB2312" w:eastAsia="仿宋_GB2312"/>
                <w:sz w:val="20"/>
              </w:rPr>
              <w:t>2.1提供磁共振设备磁体制冷部分保修服务，包括自发失超（人为原因失超除外）的液氦免费及时供应（补充液氦纯度达99.999%，且磁体内液氦百分比不得低于70%）。冷头、氦压机、水冷机、吸附器、氦管等制冷系统配件的维修和原厂全新配件更换,包含机房的精密空调的保修。</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提供磁共振设备所有线圈保修及更新服务。同一线圈故障连续出现</w:t>
            </w:r>
            <w:r>
              <w:rPr>
                <w:rFonts w:ascii="仿宋_GB2312" w:hAnsi="仿宋_GB2312" w:cs="仿宋_GB2312" w:eastAsia="仿宋_GB2312"/>
                <w:sz w:val="20"/>
              </w:rPr>
              <w:t>2次须无条件更换原厂全新线圈。</w:t>
            </w:r>
          </w:p>
          <w:p>
            <w:pPr>
              <w:pStyle w:val="null3"/>
              <w:ind w:firstLine="400"/>
              <w:jc w:val="left"/>
            </w:pPr>
            <w:r>
              <w:rPr>
                <w:rFonts w:ascii="仿宋_GB2312" w:hAnsi="仿宋_GB2312" w:cs="仿宋_GB2312" w:eastAsia="仿宋_GB2312"/>
                <w:sz w:val="20"/>
              </w:rPr>
              <w:t>3.</w:t>
            </w:r>
            <w:r>
              <w:rPr>
                <w:rFonts w:ascii="仿宋_GB2312" w:hAnsi="仿宋_GB2312" w:cs="仿宋_GB2312" w:eastAsia="仿宋_GB2312"/>
                <w:sz w:val="20"/>
              </w:rPr>
              <w:t>所有更换的零配件必须为原厂全新，并提供承诺函。</w:t>
            </w:r>
          </w:p>
          <w:p>
            <w:pPr>
              <w:pStyle w:val="null3"/>
              <w:ind w:firstLine="400"/>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服务能力：</w:t>
            </w:r>
          </w:p>
          <w:p>
            <w:pPr>
              <w:pStyle w:val="null3"/>
              <w:ind w:firstLine="400"/>
              <w:jc w:val="left"/>
            </w:pPr>
            <w:r>
              <w:rPr>
                <w:rFonts w:ascii="仿宋_GB2312" w:hAnsi="仿宋_GB2312" w:cs="仿宋_GB2312" w:eastAsia="仿宋_GB2312"/>
                <w:sz w:val="20"/>
              </w:rPr>
              <w:t>4</w:t>
            </w:r>
            <w:r>
              <w:rPr>
                <w:rFonts w:ascii="仿宋_GB2312" w:hAnsi="仿宋_GB2312" w:cs="仿宋_GB2312" w:eastAsia="仿宋_GB2312"/>
                <w:sz w:val="20"/>
              </w:rPr>
              <w:t>.1.</w:t>
            </w:r>
            <w:r>
              <w:rPr>
                <w:rFonts w:ascii="仿宋_GB2312" w:hAnsi="仿宋_GB2312" w:cs="仿宋_GB2312" w:eastAsia="仿宋_GB2312"/>
                <w:sz w:val="20"/>
              </w:rPr>
              <w:t>提供超导匀场及涡流校准等保证图像质量服务。</w:t>
            </w:r>
          </w:p>
          <w:p>
            <w:pPr>
              <w:pStyle w:val="null3"/>
              <w:ind w:firstLine="400"/>
              <w:jc w:val="left"/>
            </w:pPr>
            <w:r>
              <w:rPr>
                <w:rFonts w:ascii="仿宋_GB2312" w:hAnsi="仿宋_GB2312" w:cs="仿宋_GB2312" w:eastAsia="仿宋_GB2312"/>
                <w:sz w:val="20"/>
              </w:rPr>
              <w:t>4</w:t>
            </w:r>
            <w:r>
              <w:rPr>
                <w:rFonts w:ascii="仿宋_GB2312" w:hAnsi="仿宋_GB2312" w:cs="仿宋_GB2312" w:eastAsia="仿宋_GB2312"/>
                <w:sz w:val="20"/>
              </w:rPr>
              <w:t>.2.</w:t>
            </w:r>
            <w:r>
              <w:rPr>
                <w:rFonts w:ascii="仿宋_GB2312" w:hAnsi="仿宋_GB2312" w:cs="仿宋_GB2312" w:eastAsia="仿宋_GB2312"/>
                <w:sz w:val="20"/>
              </w:rPr>
              <w:t>具备</w:t>
            </w:r>
            <w:r>
              <w:rPr>
                <w:rFonts w:ascii="仿宋_GB2312" w:hAnsi="仿宋_GB2312" w:cs="仿宋_GB2312" w:eastAsia="仿宋_GB2312"/>
                <w:sz w:val="20"/>
              </w:rPr>
              <w:t>400或800客户服务专线电话，提供24小时服务电话。</w:t>
            </w:r>
          </w:p>
          <w:p>
            <w:pPr>
              <w:pStyle w:val="null3"/>
              <w:ind w:firstLine="400"/>
              <w:jc w:val="left"/>
            </w:pPr>
            <w:r>
              <w:rPr>
                <w:rFonts w:ascii="仿宋_GB2312" w:hAnsi="仿宋_GB2312" w:cs="仿宋_GB2312" w:eastAsia="仿宋_GB2312"/>
                <w:sz w:val="20"/>
              </w:rPr>
              <w:t>4</w:t>
            </w:r>
            <w:r>
              <w:rPr>
                <w:rFonts w:ascii="仿宋_GB2312" w:hAnsi="仿宋_GB2312" w:cs="仿宋_GB2312" w:eastAsia="仿宋_GB2312"/>
                <w:sz w:val="20"/>
              </w:rPr>
              <w:t>.3.</w:t>
            </w:r>
            <w:r>
              <w:rPr>
                <w:rFonts w:ascii="仿宋_GB2312" w:hAnsi="仿宋_GB2312" w:cs="仿宋_GB2312" w:eastAsia="仿宋_GB2312"/>
                <w:sz w:val="20"/>
              </w:rPr>
              <w:t>具备应用培训人员，满足磁共振设备维修保障服务，并能以现场的或远程的形式，提供临床扫描、图像处理和相应业务拓展的专业支持。</w:t>
            </w:r>
          </w:p>
          <w:p>
            <w:pPr>
              <w:pStyle w:val="null3"/>
              <w:ind w:firstLine="400"/>
              <w:jc w:val="left"/>
            </w:pPr>
            <w:r>
              <w:rPr>
                <w:rFonts w:ascii="仿宋_GB2312" w:hAnsi="仿宋_GB2312" w:cs="仿宋_GB2312" w:eastAsia="仿宋_GB2312"/>
                <w:sz w:val="20"/>
              </w:rPr>
              <w:t>4</w:t>
            </w:r>
            <w:r>
              <w:rPr>
                <w:rFonts w:ascii="仿宋_GB2312" w:hAnsi="仿宋_GB2312" w:cs="仿宋_GB2312" w:eastAsia="仿宋_GB2312"/>
                <w:sz w:val="20"/>
              </w:rPr>
              <w:t>.4.</w:t>
            </w:r>
            <w:r>
              <w:rPr>
                <w:rFonts w:ascii="仿宋_GB2312" w:hAnsi="仿宋_GB2312" w:cs="仿宋_GB2312" w:eastAsia="仿宋_GB2312"/>
                <w:sz w:val="20"/>
              </w:rPr>
              <w:t>提供全套完整的系统软硬件升级服务。</w:t>
            </w:r>
          </w:p>
          <w:p>
            <w:pPr>
              <w:pStyle w:val="null3"/>
              <w:ind w:firstLine="400"/>
              <w:jc w:val="left"/>
            </w:pPr>
            <w:r>
              <w:rPr>
                <w:rFonts w:ascii="仿宋_GB2312" w:hAnsi="仿宋_GB2312" w:cs="仿宋_GB2312" w:eastAsia="仿宋_GB2312"/>
                <w:sz w:val="20"/>
              </w:rPr>
              <w:t>4</w:t>
            </w:r>
            <w:r>
              <w:rPr>
                <w:rFonts w:ascii="仿宋_GB2312" w:hAnsi="仿宋_GB2312" w:cs="仿宋_GB2312" w:eastAsia="仿宋_GB2312"/>
                <w:sz w:val="20"/>
              </w:rPr>
              <w:t>.5</w:t>
            </w:r>
            <w:r>
              <w:rPr>
                <w:rFonts w:ascii="仿宋_GB2312" w:hAnsi="仿宋_GB2312" w:cs="仿宋_GB2312" w:eastAsia="仿宋_GB2312"/>
                <w:sz w:val="20"/>
              </w:rPr>
              <w:t>.能合法获得、完整使用有效的故障诊断维修钥匙，以解决相应故障。</w:t>
            </w:r>
          </w:p>
          <w:p>
            <w:pPr>
              <w:pStyle w:val="null3"/>
              <w:ind w:firstLine="400"/>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其他服务要求：</w:t>
            </w:r>
          </w:p>
          <w:p>
            <w:pPr>
              <w:pStyle w:val="null3"/>
              <w:ind w:firstLine="400"/>
              <w:jc w:val="left"/>
            </w:pPr>
            <w:r>
              <w:rPr>
                <w:rFonts w:ascii="仿宋_GB2312" w:hAnsi="仿宋_GB2312" w:cs="仿宋_GB2312" w:eastAsia="仿宋_GB2312"/>
                <w:sz w:val="20"/>
              </w:rPr>
              <w:t>5.</w:t>
            </w:r>
            <w:r>
              <w:rPr>
                <w:rFonts w:ascii="仿宋_GB2312" w:hAnsi="仿宋_GB2312" w:cs="仿宋_GB2312" w:eastAsia="仿宋_GB2312"/>
                <w:sz w:val="20"/>
              </w:rPr>
              <w:t>1.</w:t>
            </w:r>
            <w:r>
              <w:rPr>
                <w:rFonts w:ascii="仿宋_GB2312" w:hAnsi="仿宋_GB2312" w:cs="仿宋_GB2312" w:eastAsia="仿宋_GB2312"/>
                <w:sz w:val="20"/>
              </w:rPr>
              <w:t>服务期内无限次维保服务。包括设备维修和其他设备相关协助服务。</w:t>
            </w:r>
          </w:p>
          <w:p>
            <w:pPr>
              <w:pStyle w:val="null3"/>
              <w:ind w:firstLine="400"/>
              <w:jc w:val="left"/>
            </w:pPr>
            <w:r>
              <w:rPr>
                <w:rFonts w:ascii="仿宋_GB2312" w:hAnsi="仿宋_GB2312" w:cs="仿宋_GB2312" w:eastAsia="仿宋_GB2312"/>
                <w:sz w:val="20"/>
              </w:rPr>
              <w:t>5</w:t>
            </w:r>
            <w:r>
              <w:rPr>
                <w:rFonts w:ascii="仿宋_GB2312" w:hAnsi="仿宋_GB2312" w:cs="仿宋_GB2312" w:eastAsia="仿宋_GB2312"/>
                <w:sz w:val="20"/>
              </w:rPr>
              <w:t>.2.</w:t>
            </w:r>
            <w:r>
              <w:rPr>
                <w:rFonts w:ascii="仿宋_GB2312" w:hAnsi="仿宋_GB2312" w:cs="仿宋_GB2312" w:eastAsia="仿宋_GB2312"/>
                <w:sz w:val="20"/>
              </w:rPr>
              <w:t>开机率</w:t>
            </w:r>
            <w:r>
              <w:rPr>
                <w:rFonts w:ascii="仿宋_GB2312" w:hAnsi="仿宋_GB2312" w:cs="仿宋_GB2312" w:eastAsia="仿宋_GB2312"/>
                <w:sz w:val="20"/>
              </w:rPr>
              <w:t>≥95%（按每年365天计算），若所保设备未达到以上开机率，停机每超过一天则延长十天保修时间。一年内单次故障维修连续停机超过5天累计达3次及以上的或单次故障维修连续停机超过10天的，采购人有权无条件解约，解约后按实际服务时长付款。</w:t>
            </w:r>
          </w:p>
          <w:p>
            <w:pPr>
              <w:pStyle w:val="null3"/>
              <w:ind w:firstLine="400"/>
              <w:jc w:val="left"/>
            </w:pPr>
            <w:r>
              <w:rPr>
                <w:rFonts w:ascii="仿宋_GB2312" w:hAnsi="仿宋_GB2312" w:cs="仿宋_GB2312" w:eastAsia="仿宋_GB2312"/>
                <w:sz w:val="20"/>
              </w:rPr>
              <w:t>5.</w:t>
            </w:r>
            <w:r>
              <w:rPr>
                <w:rFonts w:ascii="仿宋_GB2312" w:hAnsi="仿宋_GB2312" w:cs="仿宋_GB2312" w:eastAsia="仿宋_GB2312"/>
                <w:sz w:val="20"/>
              </w:rPr>
              <w:t>3.</w:t>
            </w:r>
            <w:r>
              <w:rPr>
                <w:rFonts w:ascii="仿宋_GB2312" w:hAnsi="仿宋_GB2312" w:cs="仿宋_GB2312" w:eastAsia="仿宋_GB2312"/>
                <w:sz w:val="20"/>
              </w:rPr>
              <w:t>响应时间要求：，</w:t>
            </w:r>
            <w:r>
              <w:rPr>
                <w:rFonts w:ascii="仿宋_GB2312" w:hAnsi="仿宋_GB2312" w:cs="仿宋_GB2312" w:eastAsia="仿宋_GB2312"/>
                <w:sz w:val="20"/>
              </w:rPr>
              <w:t>1小时内响应，工程师12小时内到达现场。</w:t>
            </w:r>
          </w:p>
          <w:p>
            <w:pPr>
              <w:pStyle w:val="null3"/>
              <w:ind w:firstLine="400"/>
              <w:jc w:val="left"/>
            </w:pPr>
            <w:r>
              <w:rPr>
                <w:rFonts w:ascii="仿宋_GB2312" w:hAnsi="仿宋_GB2312" w:cs="仿宋_GB2312" w:eastAsia="仿宋_GB2312"/>
                <w:sz w:val="20"/>
              </w:rPr>
              <w:t>5</w:t>
            </w:r>
            <w:r>
              <w:rPr>
                <w:rFonts w:ascii="仿宋_GB2312" w:hAnsi="仿宋_GB2312" w:cs="仿宋_GB2312" w:eastAsia="仿宋_GB2312"/>
                <w:sz w:val="20"/>
              </w:rPr>
              <w:t>.4.</w:t>
            </w:r>
            <w:r>
              <w:rPr>
                <w:rFonts w:ascii="仿宋_GB2312" w:hAnsi="仿宋_GB2312" w:cs="仿宋_GB2312" w:eastAsia="仿宋_GB2312"/>
                <w:sz w:val="20"/>
              </w:rPr>
              <w:t>具备相关</w:t>
            </w:r>
            <w:r>
              <w:rPr>
                <w:rFonts w:ascii="仿宋_GB2312" w:hAnsi="仿宋_GB2312" w:cs="仿宋_GB2312" w:eastAsia="仿宋_GB2312"/>
                <w:sz w:val="20"/>
              </w:rPr>
              <w:t>3.0T磁共振维修保养专用工具和设备。并能提供序列号和需校正的工具仪器的校正记录文件。</w:t>
            </w:r>
          </w:p>
          <w:p>
            <w:pPr>
              <w:pStyle w:val="null3"/>
              <w:ind w:firstLine="400"/>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提供设备定期保养计划，包含但不限于如下项目：设备清洁、系统性能测试及校准、必要的电气环境检测等，经采购人审核后予以实施。</w:t>
            </w:r>
          </w:p>
          <w:p>
            <w:pPr>
              <w:pStyle w:val="null3"/>
            </w:pPr>
            <w:r>
              <w:rPr>
                <w:rFonts w:ascii="仿宋_GB2312" w:hAnsi="仿宋_GB2312" w:cs="仿宋_GB2312" w:eastAsia="仿宋_GB2312"/>
                <w:sz w:val="20"/>
              </w:rPr>
              <w:t xml:space="preserve">       5.6</w:t>
            </w:r>
            <w:r>
              <w:rPr>
                <w:rFonts w:ascii="仿宋_GB2312" w:hAnsi="仿宋_GB2312" w:cs="仿宋_GB2312" w:eastAsia="仿宋_GB2312"/>
                <w:sz w:val="20"/>
              </w:rPr>
              <w:t>.</w:t>
            </w:r>
            <w:r>
              <w:rPr>
                <w:rFonts w:ascii="仿宋_GB2312" w:hAnsi="仿宋_GB2312" w:cs="仿宋_GB2312" w:eastAsia="仿宋_GB2312"/>
                <w:sz w:val="20"/>
              </w:rPr>
              <w:t>具有</w:t>
            </w:r>
            <w:r>
              <w:rPr>
                <w:rFonts w:ascii="仿宋_GB2312" w:hAnsi="仿宋_GB2312" w:cs="仿宋_GB2312" w:eastAsia="仿宋_GB2312"/>
                <w:sz w:val="20"/>
              </w:rPr>
              <w:t>≥5名核磁维保工程师，随时响应。</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维保期限3年。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西安医学院第一附属医院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、交付的服务必须等同或优于本项目招标文件“服务内容及要求”所述的标准。若乙方在其响应文件中承诺的技术标准优于本项目招标文件“服务内容及要求”所述标准的，按投标的承诺执行。 2 、中标供应商完成并交付的工作成果需经采购人验收合格，则视为接受。如果在验收时采购人表明不接受中标供应商提交的工作成果并明示不接受的原因，中标供应商应当采取合理之措施进行修改，以达到合同规定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合同签订后，每满半年设备运行无问题后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合同签订后，每满半年设备运行无问题后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合同签订后，每满半年设备运行无问题后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合同签订后，每满半年设备运行无问题后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合同签订后，每满半年设备运行无问题后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16.00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合同签订后，每满半年设备运行无问题后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18.00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详见合同条款和招标文件。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1、根据采购人档案管理要求，供应商需要在线提交所有通过电子化交易平台实施的政府采购项目的投标文件，同时，线下提交投标文件正本 壹 份、副本 贰 份（投标文件双面打印）（纸质文件需在开标当日递交投标文件截止时间前送达，不接受邮寄。）。若系统电子投标文件与纸质投标文件不一致的，以系统电子投标文件为准。 2、定标环节采购人有权对投标文件承诺响应的内容进行复核，如有虚假响应，一经发现，取消中标资格并上报财政主管部门，列入政府采购黑名单。3、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关于符合本国产品标准的声明函.docx 标的清单 商务及技术偏离表.docx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维保期限</w:t>
            </w:r>
          </w:p>
        </w:tc>
        <w:tc>
          <w:tcPr>
            <w:tcW w:type="dxa" w:w="3322"/>
          </w:tcPr>
          <w:p>
            <w:pPr>
              <w:pStyle w:val="null3"/>
            </w:pPr>
            <w:r>
              <w:rPr>
                <w:rFonts w:ascii="仿宋_GB2312" w:hAnsi="仿宋_GB2312" w:cs="仿宋_GB2312" w:eastAsia="仿宋_GB2312"/>
              </w:rPr>
              <w:t>维保期限3年。</w:t>
            </w:r>
          </w:p>
        </w:tc>
        <w:tc>
          <w:tcPr>
            <w:tcW w:type="dxa" w:w="1661"/>
          </w:tcPr>
          <w:p>
            <w:pPr>
              <w:pStyle w:val="null3"/>
            </w:pPr>
            <w:r>
              <w:rPr>
                <w:rFonts w:ascii="仿宋_GB2312" w:hAnsi="仿宋_GB2312" w:cs="仿宋_GB2312" w:eastAsia="仿宋_GB2312"/>
              </w:rPr>
              <w:t>投标文件封面 商务及技术偏离表.docx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合同签订后，每满半年设备运行无问题后按比例支付总合同金额。</w:t>
            </w:r>
          </w:p>
        </w:tc>
        <w:tc>
          <w:tcPr>
            <w:tcW w:type="dxa" w:w="1661"/>
          </w:tcPr>
          <w:p>
            <w:pPr>
              <w:pStyle w:val="null3"/>
            </w:pPr>
            <w:r>
              <w:rPr>
                <w:rFonts w:ascii="仿宋_GB2312" w:hAnsi="仿宋_GB2312" w:cs="仿宋_GB2312" w:eastAsia="仿宋_GB2312"/>
              </w:rPr>
              <w:t>投标文件封面 商务及技术偏离表.docx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对技术要求所有条款实质性响应</w:t>
            </w:r>
          </w:p>
        </w:tc>
        <w:tc>
          <w:tcPr>
            <w:tcW w:type="dxa" w:w="1661"/>
          </w:tcPr>
          <w:p>
            <w:pPr>
              <w:pStyle w:val="null3"/>
            </w:pPr>
            <w:r>
              <w:rPr>
                <w:rFonts w:ascii="仿宋_GB2312" w:hAnsi="仿宋_GB2312" w:cs="仿宋_GB2312" w:eastAsia="仿宋_GB2312"/>
              </w:rPr>
              <w:t>投标文件封面 商务及技术偏离表.docx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服务需求带“★”的内容为实质性要求，供应商响应并满足服务需求</w:t>
            </w:r>
          </w:p>
        </w:tc>
        <w:tc>
          <w:tcPr>
            <w:tcW w:type="dxa" w:w="1661"/>
          </w:tcPr>
          <w:p>
            <w:pPr>
              <w:pStyle w:val="null3"/>
            </w:pPr>
            <w:r>
              <w:rPr>
                <w:rFonts w:ascii="仿宋_GB2312" w:hAnsi="仿宋_GB2312" w:cs="仿宋_GB2312" w:eastAsia="仿宋_GB2312"/>
              </w:rPr>
              <w:t>★承诺书.docx 投标文件封面 商务及技术偏离表.docx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 投标文件封面 商务及技术偏离表.docx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开标一览表 服务方案、人员表及供应商认为有必要提供的其他内容.docx 标的清单 资格响应表.docx 投标文件封面 商务及技术偏离表.docx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整体维保方案</w:t>
            </w:r>
          </w:p>
        </w:tc>
        <w:tc>
          <w:tcPr>
            <w:tcW w:type="dxa" w:w="2492"/>
          </w:tcPr>
          <w:p>
            <w:pPr>
              <w:pStyle w:val="null3"/>
            </w:pPr>
            <w:r>
              <w:rPr>
                <w:rFonts w:ascii="仿宋_GB2312" w:hAnsi="仿宋_GB2312" w:cs="仿宋_GB2312" w:eastAsia="仿宋_GB2312"/>
              </w:rPr>
              <w:t>供应商根据项目特点提供整体维保方案。方案包括：1、全年保养分析；2、维护重点环节分析；3、机器清洁措施及安全检查措施；4、性能测试及校准运行监控措施等。每有一项缺项扣3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提供质量保证方案。方案包括：1、服务质量标准及服务质量承诺；2、确保服务质量的措施；3、未达到质量标准的处罚措施等。每有一项缺项扣3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安全保证方案</w:t>
            </w:r>
          </w:p>
        </w:tc>
        <w:tc>
          <w:tcPr>
            <w:tcW w:type="dxa" w:w="2492"/>
          </w:tcPr>
          <w:p>
            <w:pPr>
              <w:pStyle w:val="null3"/>
            </w:pPr>
            <w:r>
              <w:rPr>
                <w:rFonts w:ascii="仿宋_GB2312" w:hAnsi="仿宋_GB2312" w:cs="仿宋_GB2312" w:eastAsia="仿宋_GB2312"/>
              </w:rPr>
              <w:t>供应商提供安全保证方案。包括：1、安全保证体系；2、合理可行的安全保障措施；3、安全事故处罚措施等。每有一项缺项扣3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进度保证方案</w:t>
            </w:r>
          </w:p>
        </w:tc>
        <w:tc>
          <w:tcPr>
            <w:tcW w:type="dxa" w:w="2492"/>
          </w:tcPr>
          <w:p>
            <w:pPr>
              <w:pStyle w:val="null3"/>
            </w:pPr>
            <w:r>
              <w:rPr>
                <w:rFonts w:ascii="仿宋_GB2312" w:hAnsi="仿宋_GB2312" w:cs="仿宋_GB2312" w:eastAsia="仿宋_GB2312"/>
              </w:rPr>
              <w:t>供应商提供进度保证方案。包括：1、资源配置与协调（包括人力部署，物力调配等）；2、服务按时完成保障措施。每有一项缺项扣3分，每有一处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突发情况应急方案。包括：1、应急预案；2、突发情况分析；3、突发事件处理措施；4、突发事件处理专班和责任人。每有一项缺项扣2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来源渠道合法证明文件</w:t>
            </w:r>
          </w:p>
        </w:tc>
        <w:tc>
          <w:tcPr>
            <w:tcW w:type="dxa" w:w="2492"/>
          </w:tcPr>
          <w:p>
            <w:pPr>
              <w:pStyle w:val="null3"/>
            </w:pPr>
            <w:r>
              <w:rPr>
                <w:rFonts w:ascii="仿宋_GB2312" w:hAnsi="仿宋_GB2312" w:cs="仿宋_GB2312" w:eastAsia="仿宋_GB2312"/>
              </w:rPr>
              <w:t>产品进货渠道正规，提供证明材料不限于销售协议或代理协议、厂家授权等相关资料。质量保证，确保生产供应的产品无假货、水货、翻新货且无产权纠纷，供应商提供质量控制措施及产品来源渠道证明材料。 1、质量控制方法和措施、流程，控制重点思路清晰明确，产品合法来源渠道证明文件详细完整得5分； 2、质量控制方法和措施内容简单、流程繁琐，产品合法来源渠道证明文件完整得3分； 3、质量控制方法和措施无针对性、有缺陷，部分产品合法来源渠道证明文件完整得1分；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需配备5名及以上核磁工程师，要求（提供在职证明），并提供培训证等相关证件。以上要求全部满足得5分，每少提供一人扣1分，未提供不得分。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人员组织安排</w:t>
            </w:r>
          </w:p>
        </w:tc>
        <w:tc>
          <w:tcPr>
            <w:tcW w:type="dxa" w:w="2492"/>
          </w:tcPr>
          <w:p>
            <w:pPr>
              <w:pStyle w:val="null3"/>
            </w:pPr>
            <w:r>
              <w:rPr>
                <w:rFonts w:ascii="仿宋_GB2312" w:hAnsi="仿宋_GB2312" w:cs="仿宋_GB2312" w:eastAsia="仿宋_GB2312"/>
              </w:rPr>
              <w:t>供应商提供针对本项目人员组织安排。方案包括：1、工作组成员管理组织架构；2、工作职责划分；3、业务管理流程等内容。 每有一项缺项扣3分，每有一处内容存在缺陷，扣0.5分。备注：缺陷是指内容不合理、虽有内容但不完善、内容表述前后不一致、套用其他项目方案或与项目需求不匹配及其他不利于项目实施的等任意一种情形。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技术保障</w:t>
            </w:r>
          </w:p>
        </w:tc>
        <w:tc>
          <w:tcPr>
            <w:tcW w:type="dxa" w:w="2492"/>
          </w:tcPr>
          <w:p>
            <w:pPr>
              <w:pStyle w:val="null3"/>
            </w:pPr>
            <w:r>
              <w:rPr>
                <w:rFonts w:ascii="仿宋_GB2312" w:hAnsi="仿宋_GB2312" w:cs="仿宋_GB2312" w:eastAsia="仿宋_GB2312"/>
              </w:rPr>
              <w:t>根据供应商提供专业的技术保障，方案包括：1、技术响应时效保障；2、常用易损备件包种类；3、远程服务能力；4、临床培训与技术支持。每有一项缺项扣2.5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根据供应商提供专业的技术培训方案，包括：1、培训方式及课题内容；2、培训时间计划安排；3、培训场次安排；4、培训目标等。每有一项缺项扣2分，每有一处内容存在缺陷，扣0.5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针对设备日常保养维护方法，能够提出有价值的合理化建议，且具体切实可行，有利于延长设备使用寿命得4分；2、设备日常保养维护方法完整，提供了合理化建议但缺乏针对性得3分；3、设备日常保养维护方法有缺陷，合理化建议内容简单得1分；4、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提供供应商2023年1月至今核磁类维保服务业绩合同（以合同签订日期为准）及对应发票进行评审，每个业绩得1分，满分5分。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满足投标文件商务及技术要求且投标价格最低为评标基准价，其价格分为满分。投标报价得分=（评审基准价/投标报价）*10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详见附件：服务方案、人员表及供应商认为有必要提供的其他内容.docx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详见附件：合同格式（参考）.docx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