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版本号：ZDGC-ZC-260112720260707001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《陕西省重大水利工程建设运行管理条例》立法研究项目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ZDGC-ZC-2601127</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《陕西省重大水利工程建设运行管理条例》立法研究项目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ZDGC-ZC-2601127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《陕西省重大水利工程建设运行管理条例》立法研究项目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陕西省重大水利工程建设运行管理条例立法研究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三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李莉贞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61835120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王凯、张志翰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采购人享有本项目在实施过程中产生的知识成果及知识产权。 供应商应保证在本项目使用的任何产品和服务（包括部分使用）时，不会产生因第三方提出侵犯其专利权、商标权或其它知识产权而引起的法律和经济纠纷，如因专利权、商标权或其它知识产权而引起法律纠纷和经济纠纷，由供应商承担所有相关责任。供应商如需在项目实施过程中采用自有知识成果，需在投标文件中声明，并提供相关知识产权证明文件。使用该知识成果后，供应商须提供开发接口和开发手册等技术文档，并承诺提供无限期技术支持，采购人享有永久使用权。如供应商所不拥有的知识产权，则在报价中必须包括合法获取该知识产权的相关费用。双方均应保护对方的知识产权，未经对方同意，任何一方均不得将对方的资料及文件擅自修改、复制、向第三人转让或用于本合同项目外的其他项目。如发生以上情况，泄密方应承担由此引起的后果的所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联系人：张志翰</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陕西省重大水利工程建设运行管理条例立法研究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陕西省重大水利工程建设运行管理条例立法研究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标的名称：陕西省重大水利工程建设运行管理条例立法研究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（一）采购项目概况</w:t>
            </w:r>
          </w:p>
          <w:p>
            <w:pPr>
              <w:pStyle w:val="null3"/>
              <w:ind w:firstLine="400"/>
            </w:pPr>
            <w:r>
              <w:rPr>
                <w:rFonts w:ascii="仿宋_GB2312" w:hAnsi="仿宋_GB2312" w:cs="仿宋_GB2312" w:eastAsia="仿宋_GB2312"/>
              </w:rPr>
              <w:t>重大水利工程是陕西水网的主骨架、大动脉和调蓄枢纽，是推动全省经济社会高质量发展的重要基础设施，在保障防洪安全、供水安全、粮食安全、生态安全等方面具有重要支撑作用。近年来，随着引汉济渭、东庄水库、陕北引黄等一批国省重大水利工程加快建成投运，全省现代化水网格局加速形成。现行法规与管理体制已难以适配工程建设、调度、运行、保护、监管全链条需求。为系统破解工程建设运行管理方面问题堵点，健全重大水利工程全生命周期管理制度，保障工程加快建设、安全运行、长效惠民，更好地服务全省现代化建设和国家</w:t>
            </w:r>
            <w:r>
              <w:rPr>
                <w:rFonts w:ascii="仿宋_GB2312" w:hAnsi="仿宋_GB2312" w:cs="仿宋_GB2312" w:eastAsia="仿宋_GB2312"/>
              </w:rPr>
              <w:t>“江河战略”战略实施，亟需开展立法研究，通过专项立法予以规范和保障。</w:t>
            </w:r>
          </w:p>
          <w:p>
            <w:pPr>
              <w:pStyle w:val="null3"/>
            </w:pPr>
            <w:r>
              <w:rPr>
                <w:rFonts w:ascii="仿宋_GB2312" w:hAnsi="仿宋_GB2312" w:cs="仿宋_GB2312" w:eastAsia="仿宋_GB2312"/>
              </w:rPr>
              <w:t>（二）采购项目实施依据</w:t>
            </w:r>
          </w:p>
          <w:p>
            <w:pPr>
              <w:pStyle w:val="null3"/>
              <w:ind w:firstLine="400"/>
            </w:pPr>
            <w:r>
              <w:rPr>
                <w:rFonts w:ascii="仿宋_GB2312" w:hAnsi="仿宋_GB2312" w:cs="仿宋_GB2312" w:eastAsia="仿宋_GB2312"/>
              </w:rPr>
              <w:t>党的二十届三中全会通过的《中共中央关于进一步全面深化改革</w:t>
            </w:r>
            <w:r>
              <w:rPr>
                <w:rFonts w:ascii="仿宋_GB2312" w:hAnsi="仿宋_GB2312" w:cs="仿宋_GB2312" w:eastAsia="仿宋_GB2312"/>
              </w:rPr>
              <w:t>推进中国式现代化的决定》明确作出健全重大水利工程建设、运行、管理机制的重要改革部署。</w:t>
            </w:r>
          </w:p>
          <w:p>
            <w:pPr>
              <w:pStyle w:val="null3"/>
              <w:ind w:firstLine="400"/>
            </w:pPr>
            <w:r>
              <w:rPr>
                <w:rFonts w:ascii="仿宋_GB2312" w:hAnsi="仿宋_GB2312" w:cs="仿宋_GB2312" w:eastAsia="仿宋_GB2312"/>
              </w:rPr>
              <w:t>2026年1月，全国水利工作会议进一步作出系统安排，明确健全水利工程建设运行管理机制，探索投建运营一体化建设管理模式，推动健全重大水利工程建设运行管理机制改革举措落地见效。</w:t>
            </w:r>
          </w:p>
          <w:p>
            <w:pPr>
              <w:pStyle w:val="null3"/>
              <w:ind w:firstLine="400"/>
            </w:pPr>
            <w:r>
              <w:rPr>
                <w:rFonts w:ascii="仿宋_GB2312" w:hAnsi="仿宋_GB2312" w:cs="仿宋_GB2312" w:eastAsia="仿宋_GB2312"/>
              </w:rPr>
              <w:t>2026年2月，水利部和国家发改委印发《关于健全重大水利工程建设运行管理机制的实施意见》，重点聚焦“重大水利工程高质量建设、高水平运行和高效能管理”，为全省水利深化改革指明了方向。</w:t>
            </w:r>
          </w:p>
          <w:p>
            <w:pPr>
              <w:pStyle w:val="null3"/>
              <w:ind w:firstLine="400"/>
            </w:pPr>
            <w:r>
              <w:rPr>
                <w:rFonts w:ascii="仿宋_GB2312" w:hAnsi="仿宋_GB2312" w:cs="仿宋_GB2312" w:eastAsia="仿宋_GB2312"/>
              </w:rPr>
              <w:t>2026年2月，在全省水利工作会议上，省水利厅明确提出“突破性推进水利重点领域改革走在前、做示范，要加快《陕西省重大水利工程建设运行管理条例》制定”。</w:t>
            </w:r>
          </w:p>
          <w:p>
            <w:pPr>
              <w:pStyle w:val="null3"/>
            </w:pPr>
            <w:r>
              <w:rPr>
                <w:rFonts w:ascii="仿宋_GB2312" w:hAnsi="仿宋_GB2312" w:cs="仿宋_GB2312" w:eastAsia="仿宋_GB2312"/>
              </w:rPr>
              <w:t>（三）采购项目目标</w:t>
            </w:r>
          </w:p>
          <w:p>
            <w:pPr>
              <w:pStyle w:val="null3"/>
              <w:ind w:firstLine="400"/>
            </w:pPr>
            <w:r>
              <w:rPr>
                <w:rFonts w:ascii="仿宋_GB2312" w:hAnsi="仿宋_GB2312" w:cs="仿宋_GB2312" w:eastAsia="仿宋_GB2312"/>
              </w:rPr>
              <w:t>开展《陕西省重大水利工程建设运行管理条例》立法研究，旨在破解全省重大水利工程现实突出问题、补齐法规体系缺口、规范建设与运行管理秩序，为推进《陕西省重大水利工程建设运行管理条例》立法提供技术支撑。通过研究提出重大水利工程建设运行管理保护的立法建议，形成立法文稿建议，助推立法进程。</w:t>
            </w:r>
          </w:p>
          <w:p>
            <w:pPr>
              <w:pStyle w:val="null3"/>
            </w:pPr>
            <w:r>
              <w:rPr>
                <w:rFonts w:ascii="仿宋_GB2312" w:hAnsi="仿宋_GB2312" w:cs="仿宋_GB2312" w:eastAsia="仿宋_GB2312"/>
              </w:rPr>
              <w:t>（四）采购项目主要内容</w:t>
            </w:r>
          </w:p>
          <w:p>
            <w:pPr>
              <w:pStyle w:val="null3"/>
              <w:ind w:firstLine="400"/>
            </w:pPr>
            <w:r>
              <w:rPr>
                <w:rFonts w:ascii="仿宋_GB2312" w:hAnsi="仿宋_GB2312" w:cs="仿宋_GB2312" w:eastAsia="仿宋_GB2312"/>
              </w:rPr>
              <w:t>1.分析建设运行管理现状与主要问题</w:t>
            </w:r>
          </w:p>
          <w:p>
            <w:pPr>
              <w:pStyle w:val="null3"/>
              <w:ind w:firstLine="400"/>
            </w:pPr>
            <w:r>
              <w:rPr>
                <w:rFonts w:ascii="仿宋_GB2312" w:hAnsi="仿宋_GB2312" w:cs="仿宋_GB2312" w:eastAsia="仿宋_GB2312"/>
              </w:rPr>
              <w:t>梳理陕西省已建、在建、拟建重大水利工程清单，明确工程类型（如水库工程、引调水工程等）、建设规模、覆盖区域及功能定位。通过调研查勘，实地调研重大水利工程，分析工程建设与运行管理的衔接情况、投融资模式及各方权责的划分。调研省级各部门在重大水利工程管理中的职责分工与协作机制，梳理现有管理流程与制度规范。收集市县两级水利部门、工程建设单位、运行管护单位的管理实践案例，总结当前管理工作中的有效做法。梳理我省重大水利工程建设运行管理面临的实际困难与短板弱项。</w:t>
            </w:r>
          </w:p>
          <w:p>
            <w:pPr>
              <w:pStyle w:val="null3"/>
              <w:ind w:firstLine="400"/>
            </w:pPr>
            <w:r>
              <w:rPr>
                <w:rFonts w:ascii="仿宋_GB2312" w:hAnsi="仿宋_GB2312" w:cs="仿宋_GB2312" w:eastAsia="仿宋_GB2312"/>
              </w:rPr>
              <w:t>2.国内重大水利工程立法经验借鉴</w:t>
            </w:r>
          </w:p>
          <w:p>
            <w:pPr>
              <w:pStyle w:val="null3"/>
            </w:pPr>
            <w:r>
              <w:rPr>
                <w:rFonts w:ascii="仿宋_GB2312" w:hAnsi="仿宋_GB2312" w:cs="仿宋_GB2312" w:eastAsia="仿宋_GB2312"/>
              </w:rPr>
              <w:t>从国家层面立法、省外立法经验以及省内立法实践进行梳理，总结先进经验。</w:t>
            </w:r>
          </w:p>
          <w:p>
            <w:pPr>
              <w:pStyle w:val="null3"/>
              <w:ind w:firstLine="400"/>
            </w:pPr>
            <w:r>
              <w:rPr>
                <w:rFonts w:ascii="仿宋_GB2312" w:hAnsi="仿宋_GB2312" w:cs="仿宋_GB2312" w:eastAsia="仿宋_GB2312"/>
              </w:rPr>
              <w:t>3.《条例》核心制度与条款设计研究</w:t>
            </w:r>
          </w:p>
          <w:p>
            <w:pPr>
              <w:pStyle w:val="null3"/>
              <w:ind w:firstLine="400"/>
            </w:pPr>
            <w:r>
              <w:rPr>
                <w:rFonts w:ascii="仿宋_GB2312" w:hAnsi="仿宋_GB2312" w:cs="仿宋_GB2312" w:eastAsia="仿宋_GB2312"/>
              </w:rPr>
              <w:t>结合陕西省重大水利工程管理痛点难点与国内先进立法经验，开展《条例》核心制度架构与条款设计研究。科学搭建《条例》整体立法框架与章节体系，聚焦重大水利工程规划、前期、建设、安全、运行、管理、保护利用等方面，研究设计适配陕西省情的核心管理制度。</w:t>
            </w:r>
          </w:p>
          <w:p>
            <w:pPr>
              <w:pStyle w:val="null3"/>
              <w:ind w:firstLine="200"/>
            </w:pPr>
            <w:r>
              <w:rPr>
                <w:rFonts w:ascii="仿宋_GB2312" w:hAnsi="仿宋_GB2312" w:cs="仿宋_GB2312" w:eastAsia="仿宋_GB2312"/>
              </w:rPr>
              <w:t>4.研究方法与技术路线</w:t>
            </w:r>
          </w:p>
          <w:p>
            <w:pPr>
              <w:pStyle w:val="null3"/>
              <w:ind w:firstLine="400"/>
            </w:pPr>
            <w:r>
              <w:rPr>
                <w:rFonts w:ascii="仿宋_GB2312" w:hAnsi="仿宋_GB2312" w:cs="仿宋_GB2312" w:eastAsia="仿宋_GB2312"/>
              </w:rPr>
              <w:t>明确本项目整体研究方法与技术工作路线。结合项目研究内容，确定文献研究、实地调研、对比分析、案例研究、专家论证等科学研究方法。规划项目全流程技术实施路线，明确从资料收集、现状调研、经验借鉴、制度设计、成果论证到定稿完善的闭环研究流程，保障项目研究工作规范有序、科学严谨。</w:t>
            </w:r>
          </w:p>
          <w:p>
            <w:pPr>
              <w:pStyle w:val="null3"/>
              <w:ind w:firstLine="400"/>
            </w:pPr>
            <w:r>
              <w:rPr>
                <w:rFonts w:ascii="仿宋_GB2312" w:hAnsi="仿宋_GB2312" w:cs="仿宋_GB2312" w:eastAsia="仿宋_GB2312"/>
              </w:rPr>
              <w:t>5.立法实施保障措施</w:t>
            </w:r>
          </w:p>
          <w:p>
            <w:pPr>
              <w:pStyle w:val="null3"/>
              <w:ind w:firstLine="400"/>
            </w:pPr>
            <w:r>
              <w:rPr>
                <w:rFonts w:ascii="仿宋_GB2312" w:hAnsi="仿宋_GB2312" w:cs="仿宋_GB2312" w:eastAsia="仿宋_GB2312"/>
              </w:rPr>
              <w:t>研究制定《条例》落地实施的全方位保障措施。</w:t>
            </w:r>
          </w:p>
          <w:p>
            <w:pPr>
              <w:pStyle w:val="null3"/>
            </w:pPr>
            <w:r>
              <w:rPr>
                <w:rFonts w:ascii="仿宋_GB2312" w:hAnsi="仿宋_GB2312" w:cs="仿宋_GB2312" w:eastAsia="仿宋_GB2312"/>
              </w:rPr>
              <w:t>（五）采购项目成果</w:t>
            </w:r>
          </w:p>
          <w:p>
            <w:pPr>
              <w:pStyle w:val="null3"/>
              <w:ind w:firstLine="400"/>
            </w:pPr>
            <w:r>
              <w:rPr>
                <w:rFonts w:ascii="仿宋_GB2312" w:hAnsi="仿宋_GB2312" w:cs="仿宋_GB2312" w:eastAsia="仿宋_GB2312"/>
              </w:rPr>
              <w:t>（</w:t>
            </w:r>
            <w:r>
              <w:rPr>
                <w:rFonts w:ascii="仿宋_GB2312" w:hAnsi="仿宋_GB2312" w:cs="仿宋_GB2312" w:eastAsia="仿宋_GB2312"/>
              </w:rPr>
              <w:t>1）《陕西省重大水利工程建设运行管理条例》立法研究报告</w:t>
            </w:r>
          </w:p>
          <w:p>
            <w:pPr>
              <w:pStyle w:val="null3"/>
              <w:ind w:firstLine="400"/>
            </w:pPr>
            <w:r>
              <w:rPr>
                <w:rFonts w:ascii="仿宋_GB2312" w:hAnsi="仿宋_GB2312" w:cs="仿宋_GB2312" w:eastAsia="仿宋_GB2312"/>
              </w:rPr>
              <w:t>（</w:t>
            </w:r>
            <w:r>
              <w:rPr>
                <w:rFonts w:ascii="仿宋_GB2312" w:hAnsi="仿宋_GB2312" w:cs="仿宋_GB2312" w:eastAsia="仿宋_GB2312"/>
              </w:rPr>
              <w:t>2）《陕西省重大水利工程建设运行管理条例》（文稿建议）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合同签订后180日历天提交成果。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满足国家、行业相关规定、规范。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进度款，提交初步成果通过初验，达到付款条件起10个工作日内，支付合同总金额的50.0%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本项目所属行业：其他未列明行业。从业人员300人以下的为中小微型企业。其中，从业人员100人及以上的为中型企业；从业人员10人及以上的为小型企业；从业人员10人以下的为微型企业。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 2.本项目关于异常低价，落实执行《关于推动解决政府采购异常低价问题的通知》财库〔2026〕2号文件相关政策，根据采购项目评标情况，由评标委员会判定是否启动异常低价投标（响应）审查程序。若启动异常低价投标（响应）审查程序，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三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（1）磋商报价符合唯一性要求；（2）未超出采购预算或竞争性磋商文件规定的最高限价。</w:t>
            </w:r>
          </w:p>
        </w:tc>
        <w:tc>
          <w:tcPr>
            <w:tcW w:type="dxa" w:w="1661"/>
          </w:tcPr>
          <w:p>
            <w:pPr>
              <w:pStyle w:val="null3"/>
            </w:pPr>
            <w:r>
              <w:rPr>
                <w:rFonts w:ascii="仿宋_GB2312" w:hAnsi="仿宋_GB2312" w:cs="仿宋_GB2312" w:eastAsia="仿宋_GB2312"/>
              </w:rPr>
              <w:t>响应文件封面 分项报价表.docx 商务应答表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磋商文件其他规定的情形</w:t>
            </w:r>
          </w:p>
        </w:tc>
        <w:tc>
          <w:tcPr>
            <w:tcW w:type="dxa" w:w="3322"/>
          </w:tcPr>
          <w:p>
            <w:pPr>
              <w:pStyle w:val="null3"/>
            </w:pPr>
            <w:r>
              <w:rPr>
                <w:rFonts w:ascii="仿宋_GB2312" w:hAnsi="仿宋_GB2312" w:cs="仿宋_GB2312" w:eastAsia="仿宋_GB2312"/>
              </w:rPr>
              <w:t>磋商文件其他规定的情形</w:t>
            </w:r>
          </w:p>
        </w:tc>
        <w:tc>
          <w:tcPr>
            <w:tcW w:type="dxa" w:w="1661"/>
          </w:tcPr>
          <w:p>
            <w:pPr>
              <w:pStyle w:val="null3"/>
            </w:pPr>
            <w:r>
              <w:rPr>
                <w:rFonts w:ascii="仿宋_GB2312" w:hAnsi="仿宋_GB2312" w:cs="仿宋_GB2312" w:eastAsia="仿宋_GB2312"/>
              </w:rPr>
              <w:t>响应文件封面 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供应商根据采购需求编制对本项目的理解及认识方案，内容包含：①项目背景分析；②项目基本情况；③项目重难点分析及应对措施；④项目目标与提交成果。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供应商针对本项目工作方案及内容，内容包含： ①工作思路；②工作依据及原则；③工作范围；④工作方法；⑤主要工作内容；⑥报告编制结构框架及内容。以上内容专门针对本项目且符合本项目实际需求的得24分，每缺一项内容扣4分，若上述内容存在瑕疵，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方案，内容包括但不限于：①质量管理体系；②质量保障措施；③质量控制手段；④成果保障措施等。以上内容专门针对本项目且符合本项目实际需求的得4分，每缺一项内容扣1分，扣完为止。若上述内容存在瑕疵，每存在1处瑕疵扣0.5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供应商提供针对本项目的进度保障措施方案，内容包括但不限于：①项目实施进度计划及时间节点；②项目进度保障措施等。以上内容专门针对本项目且符合本项目实际需求的得2分，每缺一项内容扣1分，扣完为止。若上述内容存在瑕疵，每存在1处瑕疵扣0.5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供应商根据本项目采购需求编制针对性保密措施方案，有相应的保障细则，内容包含：①保密范围；②保密方式及措施。 以上内容专门针对本项目且符合本项目实际需求的得2分，每缺一项内容扣1分，扣完为止。若上述内容存在瑕疵，每存在1处瑕疵扣0.5分，扣完为止。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2分）：承诺1小时内专人对接响应，提供7×12小时联络热线、项目专属工作群，满足得2分；仅承诺2小时及以内响应得1分；承诺超过2小时不得分。2.一般咨询、资料修正需求（2分）：承诺2小时内出具修改思路/回复意见得满分2分；承诺4小时及以内得1分，超出4小时不得分。3.现场技术支撑服务（2分）：承诺市区4小时、县域12小时技术人员到场服务，满足2分；其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供应商拟投入项目负责人具备与本项目相关专业高级职称的得4分，中级职称得2分，其余不得分； 注：（1）响应文件中须提供项目负责人身份证、职称证、在职证明（证明人员与供应商具有劳动关系的证明材料，例如：劳动合同或社保缴纳证明复印件，并加盖单位公章。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 团队人员配备（8分）：团队服务人员（不含项目负责人）每配备一名相关专业人员得1分，最高得8分。2. 团队技术职称（8分）： 团队服务人员（不含项目负责人）具备与本项目相关专业中级及以上技术职称证书，每提供1份证书，得1分，最高得8分。 注：（1）响应文件中须提供团队服务人员身份证、职称证、在职证明（证明人员与供应商具有劳动关系的证明材料，例如：劳动合同或社保缴纳证明）复印件，并加盖单位公章。（2）团队服务人员专业证明材料包含但不限于学历证明、职称证明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供应商（2023年1月1日至今）近三年具有类似项目业绩，每提供1份合同得3分，最高得15分。（提供合同复印件加盖公章，业绩时间以合同签订时间为准。）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提供对有关本项目的一切内容具有保密责任的承诺，确保参与人员都能履行保密责任得4分，未提供不得分。 备注：以加盖投标人公章的承诺材料复印件为计分依据。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满足磋商文件要求且报价最低的投标报价为评标基准价，其价格分为满分15 分。报价得分=（评标基准价/最终投标报价）×价格分（15） 本项目为非专门面向中小企业采购项目，符合政策要求的供应商，给予10%价格扣除，用扣除后的价格参与评审。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