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版本号：SNJZ-2026-13020260629001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附属医院师生体检服务合作单位招标项目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SNJZ-2026-130</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附属医院师生体检服务合作单位招标项目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附属医院师生体检服务合作单位招标项目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年度师生健康体检服务（教职工年度健康体检、新生入学体检、毕业生离校体检等）。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1、营业执照/事业单位法人证书等：具有独立承担民事责任能力的法人、其他组织或自然人，提供营业执照/事业单位法人证书/非企业专业服务机构执业许可证/自然人身份证。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3、财务状况报告：提供经审计的2025年度的财务报告或银行出具的资信证明或财务报表或《政府采购投标担保函》。</w:t>
      </w:r>
    </w:p>
    <w:p>
      <w:pPr>
        <w:pStyle w:val="null3"/>
      </w:pPr>
      <w:r>
        <w:rPr>
          <w:rFonts w:ascii="仿宋_GB2312" w:hAnsi="仿宋_GB2312" w:cs="仿宋_GB2312" w:eastAsia="仿宋_GB2312"/>
        </w:rPr>
        <w:t>4、税收缴纳证明：提供磋商响应文件递交截止时间前近十二个月内至少一个月已缴纳的纳税凭据或完税证明；依法免税的供应商应提供相关文件证明。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8、供应商资质要求：供应商须为二级及以上医院并具备卫生行政部门颁发的《医疗机构执业许可证》及《放射诊疗许可证》。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渭南师范学院经办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0913-2133191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 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向陕西教育招标有限责任公司交纳招标代理服务费肆万柒仟伍佰贰拾元整（47520元）。（开户名称：陕西教育招标有限责任公司、开户银行：中国光大银行陕西自贸试验区西安唐延路支 行、账号：78580188000058925、银行行号：303 791000136，财务电话：029-88224928）。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 王力 程钰</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年度师生健康体检服务（教职工年度健康体检、新生入学体检、毕业生离校体检等）。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一</w:t>
            </w:r>
            <w:r>
              <w:rPr>
                <w:rFonts w:ascii="仿宋_GB2312" w:hAnsi="仿宋_GB2312" w:cs="仿宋_GB2312" w:eastAsia="仿宋_GB2312"/>
                <w:sz w:val="21"/>
                <w:b/>
                <w:color w:val="0000FF"/>
              </w:rPr>
              <w:t>）项目概述</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1.</w:t>
            </w:r>
            <w:r>
              <w:rPr>
                <w:rFonts w:ascii="仿宋_GB2312" w:hAnsi="仿宋_GB2312" w:cs="仿宋_GB2312" w:eastAsia="仿宋_GB2312"/>
                <w:sz w:val="21"/>
                <w:b/>
                <w:color w:val="0000FF"/>
              </w:rPr>
              <w:t>项目范围及内容</w:t>
            </w:r>
          </w:p>
          <w:p>
            <w:pPr>
              <w:pStyle w:val="null3"/>
              <w:ind w:firstLine="420"/>
              <w:jc w:val="left"/>
            </w:pPr>
            <w:r>
              <w:rPr>
                <w:rFonts w:ascii="仿宋_GB2312" w:hAnsi="仿宋_GB2312" w:cs="仿宋_GB2312" w:eastAsia="仿宋_GB2312"/>
                <w:sz w:val="21"/>
                <w:color w:val="0000FF"/>
              </w:rPr>
              <w:t>本项目为</w:t>
            </w:r>
            <w:r>
              <w:rPr>
                <w:rFonts w:ascii="仿宋_GB2312" w:hAnsi="仿宋_GB2312" w:cs="仿宋_GB2312" w:eastAsia="仿宋_GB2312"/>
                <w:sz w:val="21"/>
                <w:color w:val="0000FF"/>
              </w:rPr>
              <w:t>2026年度</w:t>
            </w:r>
            <w:r>
              <w:rPr>
                <w:rFonts w:ascii="仿宋_GB2312" w:hAnsi="仿宋_GB2312" w:cs="仿宋_GB2312" w:eastAsia="仿宋_GB2312"/>
                <w:sz w:val="21"/>
                <w:color w:val="0000FF"/>
              </w:rPr>
              <w:t>至</w:t>
            </w:r>
            <w:r>
              <w:rPr>
                <w:rFonts w:ascii="仿宋_GB2312" w:hAnsi="仿宋_GB2312" w:cs="仿宋_GB2312" w:eastAsia="仿宋_GB2312"/>
                <w:sz w:val="21"/>
                <w:color w:val="0000FF"/>
              </w:rPr>
              <w:t>2029年度</w:t>
            </w:r>
            <w:r>
              <w:rPr>
                <w:rFonts w:ascii="仿宋_GB2312" w:hAnsi="仿宋_GB2312" w:cs="仿宋_GB2312" w:eastAsia="仿宋_GB2312"/>
                <w:sz w:val="21"/>
                <w:color w:val="0000FF"/>
              </w:rPr>
              <w:t>师生健康体检服务，覆盖渭南师范学院全体在校师生，具体包括：</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）教职工健康体检（含在职、离退休）；</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）新生入学体检及结核病筛查；</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）毕业生离校体检；</w:t>
            </w:r>
          </w:p>
          <w:p>
            <w:pPr>
              <w:pStyle w:val="null3"/>
              <w:ind w:firstLine="630"/>
              <w:jc w:val="left"/>
            </w:pPr>
            <w:r>
              <w:rPr>
                <w:rFonts w:ascii="仿宋_GB2312" w:hAnsi="仿宋_GB2312" w:cs="仿宋_GB2312" w:eastAsia="仿宋_GB2312"/>
                <w:sz w:val="21"/>
                <w:color w:val="0000FF"/>
              </w:rPr>
              <w:t>预计</w:t>
            </w:r>
            <w:r>
              <w:rPr>
                <w:rFonts w:ascii="仿宋_GB2312" w:hAnsi="仿宋_GB2312" w:cs="仿宋_GB2312" w:eastAsia="仿宋_GB2312"/>
                <w:sz w:val="21"/>
                <w:color w:val="0000FF"/>
              </w:rPr>
              <w:t>年</w:t>
            </w:r>
            <w:r>
              <w:rPr>
                <w:rFonts w:ascii="仿宋_GB2312" w:hAnsi="仿宋_GB2312" w:cs="仿宋_GB2312" w:eastAsia="仿宋_GB2312"/>
                <w:sz w:val="21"/>
                <w:color w:val="0000FF"/>
              </w:rPr>
              <w:t>服务规模：教职工约</w:t>
            </w:r>
            <w:r>
              <w:rPr>
                <w:rFonts w:ascii="仿宋_GB2312" w:hAnsi="仿宋_GB2312" w:cs="仿宋_GB2312" w:eastAsia="仿宋_GB2312"/>
                <w:sz w:val="21"/>
                <w:color w:val="0000FF"/>
              </w:rPr>
              <w:t>1300人，学生约12000人，以实际参检人数为准。</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2.</w:t>
            </w:r>
            <w:r>
              <w:rPr>
                <w:rFonts w:ascii="仿宋_GB2312" w:hAnsi="仿宋_GB2312" w:cs="仿宋_GB2312" w:eastAsia="仿宋_GB2312"/>
                <w:sz w:val="21"/>
                <w:b/>
                <w:color w:val="0000FF"/>
              </w:rPr>
              <w:t>项目用途</w:t>
            </w:r>
            <w:r>
              <w:rPr>
                <w:rFonts w:ascii="仿宋_GB2312" w:hAnsi="仿宋_GB2312" w:cs="仿宋_GB2312" w:eastAsia="仿宋_GB2312"/>
                <w:sz w:val="21"/>
              </w:rPr>
              <w:t xml:space="preserve"> </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color w:val="0000FF"/>
              </w:rPr>
              <w:t>）建立完善师生健康档案，动态监测健康状况；</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w:t>
            </w:r>
            <w:r>
              <w:rPr>
                <w:rFonts w:ascii="仿宋_GB2312" w:hAnsi="仿宋_GB2312" w:cs="仿宋_GB2312" w:eastAsia="仿宋_GB2312"/>
                <w:sz w:val="21"/>
                <w:color w:val="0000FF"/>
              </w:rPr>
              <w:t>筛查传染病、慢性病及常见健康风险；</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w:t>
            </w:r>
            <w:r>
              <w:rPr>
                <w:rFonts w:ascii="仿宋_GB2312" w:hAnsi="仿宋_GB2312" w:cs="仿宋_GB2312" w:eastAsia="仿宋_GB2312"/>
                <w:sz w:val="21"/>
                <w:color w:val="0000FF"/>
              </w:rPr>
              <w:t>为学生入学、毕业、学籍管理提供健康依据；</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w:t>
            </w:r>
            <w:r>
              <w:rPr>
                <w:rFonts w:ascii="仿宋_GB2312" w:hAnsi="仿宋_GB2312" w:cs="仿宋_GB2312" w:eastAsia="仿宋_GB2312"/>
                <w:sz w:val="21"/>
                <w:color w:val="0000FF"/>
              </w:rPr>
              <w:t>为学校健康管理、健康教育、传染病防控提供数据支撑。</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3.</w:t>
            </w:r>
            <w:r>
              <w:rPr>
                <w:rFonts w:ascii="仿宋_GB2312" w:hAnsi="仿宋_GB2312" w:cs="仿宋_GB2312" w:eastAsia="仿宋_GB2312"/>
                <w:sz w:val="21"/>
                <w:b/>
                <w:color w:val="0000FF"/>
              </w:rPr>
              <w:t>实施计划及方案</w:t>
            </w:r>
          </w:p>
          <w:p>
            <w:pPr>
              <w:pStyle w:val="null3"/>
              <w:ind w:firstLine="420"/>
              <w:jc w:val="left"/>
            </w:pPr>
            <w:r>
              <w:rPr>
                <w:rFonts w:ascii="仿宋_GB2312" w:hAnsi="仿宋_GB2312" w:cs="仿宋_GB2312" w:eastAsia="仿宋_GB2312"/>
                <w:sz w:val="21"/>
                <w:color w:val="0000FF"/>
              </w:rPr>
              <w:t>实施地点：渭南师范学院朝阳校区（云帆体育馆、附属医院体检区等），无法在校内完成的项目由供应商提供接送及场地服务。</w:t>
            </w:r>
          </w:p>
          <w:p>
            <w:pPr>
              <w:pStyle w:val="null3"/>
              <w:ind w:firstLine="420"/>
              <w:jc w:val="left"/>
            </w:pPr>
            <w:r>
              <w:rPr>
                <w:rFonts w:ascii="仿宋_GB2312" w:hAnsi="仿宋_GB2312" w:cs="仿宋_GB2312" w:eastAsia="仿宋_GB2312"/>
                <w:sz w:val="21"/>
                <w:color w:val="0000FF"/>
              </w:rPr>
              <w:t>实施时间：</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1）每年4—5月：女教职工体检；</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2）每年5—6月：毕业生体检；</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3）每年9月：新生入学体检及结核筛查；</w:t>
            </w:r>
          </w:p>
          <w:p>
            <w:pPr>
              <w:pStyle w:val="null3"/>
              <w:ind w:firstLine="4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 xml:space="preserve">4）每年10—11月：男教职工体检。   </w:t>
            </w:r>
          </w:p>
          <w:p>
            <w:pPr>
              <w:pStyle w:val="null3"/>
              <w:ind w:firstLine="420"/>
              <w:jc w:val="left"/>
            </w:pPr>
            <w:r>
              <w:rPr>
                <w:rFonts w:ascii="仿宋_GB2312" w:hAnsi="仿宋_GB2312" w:cs="仿宋_GB2312" w:eastAsia="仿宋_GB2312"/>
                <w:sz w:val="21"/>
                <w:color w:val="0000FF"/>
              </w:rPr>
              <w:t>实施方式：服务供应商上门服务，配备合格医护团队与医疗设备，采用集中体检的模式，分时段、分学院、分批次组织体检，全程由附属医院监督质控。</w:t>
            </w:r>
          </w:p>
          <w:p>
            <w:pPr>
              <w:pStyle w:val="null3"/>
              <w:ind w:firstLine="422"/>
              <w:jc w:val="left"/>
            </w:pPr>
            <w:r>
              <w:rPr>
                <w:rFonts w:ascii="仿宋_GB2312" w:hAnsi="仿宋_GB2312" w:cs="仿宋_GB2312" w:eastAsia="仿宋_GB2312"/>
                <w:sz w:val="21"/>
                <w:b/>
              </w:rPr>
              <w:t xml:space="preserve"> </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二</w:t>
            </w:r>
            <w:r>
              <w:rPr>
                <w:rFonts w:ascii="仿宋_GB2312" w:hAnsi="仿宋_GB2312" w:cs="仿宋_GB2312" w:eastAsia="仿宋_GB2312"/>
                <w:sz w:val="21"/>
                <w:b/>
                <w:color w:val="0000FF"/>
              </w:rPr>
              <w:t>）服务内容和标准</w:t>
            </w:r>
            <w:r>
              <w:rPr>
                <w:rFonts w:ascii="仿宋_GB2312" w:hAnsi="仿宋_GB2312" w:cs="仿宋_GB2312" w:eastAsia="仿宋_GB2312"/>
                <w:sz w:val="21"/>
                <w:b/>
                <w:color w:val="0000FF"/>
              </w:rPr>
              <w:t>：</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1.总体要求</w:t>
            </w:r>
          </w:p>
          <w:p>
            <w:pPr>
              <w:pStyle w:val="null3"/>
              <w:ind w:firstLine="632"/>
              <w:jc w:val="left"/>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1）服务范围</w:t>
            </w:r>
          </w:p>
          <w:p>
            <w:pPr>
              <w:pStyle w:val="null3"/>
              <w:ind w:firstLine="630"/>
              <w:jc w:val="left"/>
            </w:pPr>
            <w:r>
              <w:rPr>
                <w:rFonts w:ascii="仿宋_GB2312" w:hAnsi="仿宋_GB2312" w:cs="仿宋_GB2312" w:eastAsia="仿宋_GB2312"/>
                <w:sz w:val="21"/>
                <w:color w:val="0000FF"/>
              </w:rPr>
              <w:t>全面覆盖教职工、新生、毕业生三类群体体检，包含基础检查、实验室检查、影像学检查、专科检查及健康评估。</w:t>
            </w:r>
          </w:p>
          <w:p>
            <w:pPr>
              <w:pStyle w:val="null3"/>
              <w:ind w:firstLine="632"/>
              <w:jc w:val="left"/>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2）现状条件</w:t>
            </w:r>
          </w:p>
          <w:p>
            <w:pPr>
              <w:pStyle w:val="null3"/>
              <w:ind w:firstLine="630"/>
              <w:jc w:val="left"/>
            </w:pPr>
            <w:r>
              <w:rPr>
                <w:rFonts w:ascii="仿宋_GB2312" w:hAnsi="仿宋_GB2312" w:cs="仿宋_GB2312" w:eastAsia="仿宋_GB2312"/>
                <w:sz w:val="21"/>
                <w:color w:val="0000FF"/>
              </w:rPr>
              <w:t>学校提供体检场地、基础办公物品；供应商须自备符合国家标准的体检设备、耗材、防护用品及专业人员。</w:t>
            </w:r>
          </w:p>
          <w:p>
            <w:pPr>
              <w:pStyle w:val="null3"/>
              <w:ind w:firstLine="632"/>
              <w:jc w:val="left"/>
            </w:pPr>
            <w:r>
              <w:rPr>
                <w:rFonts w:ascii="仿宋_GB2312" w:hAnsi="仿宋_GB2312" w:cs="仿宋_GB2312" w:eastAsia="仿宋_GB2312"/>
                <w:sz w:val="21"/>
                <w:b/>
                <w:color w:val="0000FF"/>
              </w:rPr>
              <w:t>（</w:t>
            </w:r>
            <w:r>
              <w:rPr>
                <w:rFonts w:ascii="仿宋_GB2312" w:hAnsi="仿宋_GB2312" w:cs="仿宋_GB2312" w:eastAsia="仿宋_GB2312"/>
                <w:sz w:val="21"/>
                <w:b/>
                <w:color w:val="0000FF"/>
              </w:rPr>
              <w:t>3）服务原则</w:t>
            </w:r>
          </w:p>
          <w:p>
            <w:pPr>
              <w:pStyle w:val="null3"/>
              <w:ind w:firstLine="630"/>
              <w:jc w:val="left"/>
            </w:pPr>
            <w:r>
              <w:rPr>
                <w:rFonts w:ascii="仿宋_GB2312" w:hAnsi="仿宋_GB2312" w:cs="仿宋_GB2312" w:eastAsia="仿宋_GB2312"/>
                <w:sz w:val="21"/>
                <w:color w:val="0000FF"/>
              </w:rPr>
              <w:t>1.依法依规、安全规范、隐私保护、高效便捷、固定单价、按实结算。</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2.</w:t>
            </w:r>
            <w:r>
              <w:rPr>
                <w:rFonts w:ascii="仿宋_GB2312" w:hAnsi="仿宋_GB2312" w:cs="仿宋_GB2312" w:eastAsia="仿宋_GB2312"/>
                <w:sz w:val="21"/>
                <w:color w:val="0000FF"/>
              </w:rPr>
              <w:t>服务</w:t>
            </w:r>
            <w:r>
              <w:rPr>
                <w:rFonts w:ascii="仿宋_GB2312" w:hAnsi="仿宋_GB2312" w:cs="仿宋_GB2312" w:eastAsia="仿宋_GB2312"/>
                <w:sz w:val="21"/>
                <w:color w:val="0000FF"/>
              </w:rPr>
              <w:t>标准</w:t>
            </w:r>
            <w:r>
              <w:rPr>
                <w:rFonts w:ascii="仿宋_GB2312" w:hAnsi="仿宋_GB2312" w:cs="仿宋_GB2312" w:eastAsia="仿宋_GB2312"/>
                <w:sz w:val="21"/>
                <w:color w:val="0000FF"/>
              </w:rPr>
              <w:t>：服务内容、工作量、</w:t>
            </w:r>
            <w:r>
              <w:rPr>
                <w:rFonts w:ascii="仿宋_GB2312" w:hAnsi="仿宋_GB2312" w:cs="仿宋_GB2312" w:eastAsia="仿宋_GB2312"/>
                <w:sz w:val="21"/>
                <w:color w:val="0000FF"/>
              </w:rPr>
              <w:t>具体</w:t>
            </w:r>
            <w:r>
              <w:rPr>
                <w:rFonts w:ascii="仿宋_GB2312" w:hAnsi="仿宋_GB2312" w:cs="仿宋_GB2312" w:eastAsia="仿宋_GB2312"/>
                <w:sz w:val="21"/>
                <w:color w:val="0000FF"/>
              </w:rPr>
              <w:t>要求</w:t>
            </w:r>
            <w:r>
              <w:rPr>
                <w:rFonts w:ascii="仿宋_GB2312" w:hAnsi="仿宋_GB2312" w:cs="仿宋_GB2312" w:eastAsia="仿宋_GB2312"/>
                <w:sz w:val="21"/>
                <w:color w:val="0000FF"/>
              </w:rPr>
              <w:t>(</w:t>
            </w:r>
            <w:r>
              <w:rPr>
                <w:rFonts w:ascii="仿宋_GB2312" w:hAnsi="仿宋_GB2312" w:cs="仿宋_GB2312" w:eastAsia="仿宋_GB2312"/>
                <w:sz w:val="21"/>
                <w:color w:val="0000FF"/>
              </w:rPr>
              <w:t>如人员安排、</w:t>
            </w:r>
            <w:r>
              <w:rPr>
                <w:rFonts w:ascii="仿宋_GB2312" w:hAnsi="仿宋_GB2312" w:cs="仿宋_GB2312" w:eastAsia="仿宋_GB2312"/>
                <w:sz w:val="21"/>
                <w:color w:val="0000FF"/>
              </w:rPr>
              <w:t>配套设备</w:t>
            </w:r>
            <w:r>
              <w:rPr>
                <w:rFonts w:ascii="仿宋_GB2312" w:hAnsi="仿宋_GB2312" w:cs="仿宋_GB2312" w:eastAsia="仿宋_GB2312"/>
                <w:sz w:val="21"/>
                <w:color w:val="0000FF"/>
              </w:rPr>
              <w:t>、</w:t>
            </w:r>
            <w:r>
              <w:rPr>
                <w:rFonts w:ascii="仿宋_GB2312" w:hAnsi="仿宋_GB2312" w:cs="仿宋_GB2312" w:eastAsia="仿宋_GB2312"/>
                <w:sz w:val="21"/>
                <w:color w:val="0000FF"/>
              </w:rPr>
              <w:t>工作内容</w:t>
            </w:r>
            <w:r>
              <w:rPr>
                <w:rFonts w:ascii="仿宋_GB2312" w:hAnsi="仿宋_GB2312" w:cs="仿宋_GB2312" w:eastAsia="仿宋_GB2312"/>
                <w:sz w:val="21"/>
                <w:color w:val="0000FF"/>
              </w:rPr>
              <w:t>、</w:t>
            </w:r>
            <w:r>
              <w:rPr>
                <w:rFonts w:ascii="仿宋_GB2312" w:hAnsi="仿宋_GB2312" w:cs="仿宋_GB2312" w:eastAsia="仿宋_GB2312"/>
                <w:sz w:val="21"/>
                <w:color w:val="0000FF"/>
              </w:rPr>
              <w:t>考核标准、奖惩措施</w:t>
            </w:r>
            <w:r>
              <w:rPr>
                <w:rFonts w:ascii="仿宋_GB2312" w:hAnsi="仿宋_GB2312" w:cs="仿宋_GB2312" w:eastAsia="仿宋_GB2312"/>
                <w:sz w:val="21"/>
                <w:color w:val="0000FF"/>
              </w:rPr>
              <w:t>等</w:t>
            </w:r>
            <w:r>
              <w:rPr>
                <w:rFonts w:ascii="仿宋_GB2312" w:hAnsi="仿宋_GB2312" w:cs="仿宋_GB2312" w:eastAsia="仿宋_GB2312"/>
                <w:sz w:val="21"/>
                <w:color w:val="0000FF"/>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b/>
                <w:color w:val="0000FF"/>
              </w:rPr>
              <w:t xml:space="preserve"> </w:t>
            </w:r>
            <w:r>
              <w:rPr>
                <w:rFonts w:ascii="仿宋_GB2312" w:hAnsi="仿宋_GB2312" w:cs="仿宋_GB2312" w:eastAsia="仿宋_GB2312"/>
                <w:sz w:val="21"/>
                <w:b/>
                <w:color w:val="0000FF"/>
              </w:rPr>
              <w:t>2.服务标准</w:t>
            </w:r>
          </w:p>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1）</w:t>
            </w:r>
            <w:r>
              <w:rPr>
                <w:rFonts w:ascii="仿宋_GB2312" w:hAnsi="仿宋_GB2312" w:cs="仿宋_GB2312" w:eastAsia="仿宋_GB2312"/>
                <w:sz w:val="21"/>
                <w:b/>
                <w:color w:val="0000FF"/>
              </w:rPr>
              <w:t>服务内容</w:t>
            </w:r>
          </w:p>
          <w:p>
            <w:pPr>
              <w:pStyle w:val="null3"/>
              <w:ind w:firstLine="630"/>
              <w:jc w:val="left"/>
            </w:pPr>
            <w:r>
              <w:rPr>
                <w:rFonts w:ascii="仿宋_GB2312" w:hAnsi="仿宋_GB2312" w:cs="仿宋_GB2312" w:eastAsia="仿宋_GB2312"/>
                <w:sz w:val="21"/>
                <w:color w:val="0000FF"/>
              </w:rPr>
              <w:t>严格执行师生体检服务合同约定套餐标准，供应商不得擅自减少项目：</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在职男教职工体检：一般检查、内科、外科、眼科、五官科、口腔科、</w:t>
            </w:r>
            <w:r>
              <w:rPr>
                <w:rFonts w:ascii="仿宋_GB2312" w:hAnsi="仿宋_GB2312" w:cs="仿宋_GB2312" w:eastAsia="仿宋_GB2312"/>
                <w:sz w:val="21"/>
                <w:color w:val="0000FF"/>
              </w:rPr>
              <w:t>12导联心电图、上腹部彩超、泌尿系彩超、前列腺彩超、甲状腺彩超、胸部正位片、血常规（26项）、尿常规（11项）、肝功十一项、肾功三项、血脂四项、空腹血糖、糖化血红蛋白、同型半胱氨酸、甲功五项、肿瘤两项（AFP、CEA）、糖类抗原199、总前列腺特异性抗原共24项；</w:t>
            </w:r>
          </w:p>
          <w:p>
            <w:pPr>
              <w:pStyle w:val="null3"/>
              <w:ind w:firstLine="630"/>
              <w:jc w:val="left"/>
            </w:pPr>
            <w:r>
              <w:rPr>
                <w:rFonts w:ascii="仿宋_GB2312" w:hAnsi="仿宋_GB2312" w:cs="仿宋_GB2312" w:eastAsia="仿宋_GB2312"/>
                <w:sz w:val="21"/>
                <w:color w:val="0000FF"/>
              </w:rPr>
              <w:t>②</w:t>
            </w:r>
            <w:r>
              <w:rPr>
                <w:rFonts w:ascii="仿宋_GB2312" w:hAnsi="仿宋_GB2312" w:cs="仿宋_GB2312" w:eastAsia="仿宋_GB2312"/>
                <w:sz w:val="21"/>
                <w:color w:val="0000FF"/>
              </w:rPr>
              <w:t>在职女教职工体检：一般检查、内科、外科、眼科、五官科、口腔科、</w:t>
            </w:r>
            <w:r>
              <w:rPr>
                <w:rFonts w:ascii="仿宋_GB2312" w:hAnsi="仿宋_GB2312" w:cs="仿宋_GB2312" w:eastAsia="仿宋_GB2312"/>
                <w:sz w:val="21"/>
                <w:color w:val="0000FF"/>
              </w:rPr>
              <w:t>12导联心电图、上腹部彩超、泌尿系彩超、盆腔彩超（子宫附件）、前列腺彩超、甲状腺彩超、胸部正位片、血常规（26项）、尿常规（11项）、肝功十一项、肾功三项、血脂四项、空腹血糖、糖化血红蛋白、同型半胱氨酸、甲功五项、肿瘤两项（AFP、CEA）、维生素D三项测定、妇科查体、妇科TCT+HPV、乳腺钼靶摄片检查（双侧）、CA125、CA153肿瘤标志物共29项；</w:t>
            </w:r>
          </w:p>
          <w:p>
            <w:pPr>
              <w:pStyle w:val="null3"/>
              <w:ind w:firstLine="630"/>
              <w:jc w:val="left"/>
            </w:pPr>
            <w:r>
              <w:rPr>
                <w:rFonts w:ascii="仿宋_GB2312" w:hAnsi="仿宋_GB2312" w:cs="仿宋_GB2312" w:eastAsia="仿宋_GB2312"/>
                <w:sz w:val="21"/>
                <w:color w:val="0000FF"/>
              </w:rPr>
              <w:t>③</w:t>
            </w:r>
            <w:r>
              <w:rPr>
                <w:rFonts w:ascii="仿宋_GB2312" w:hAnsi="仿宋_GB2312" w:cs="仿宋_GB2312" w:eastAsia="仿宋_GB2312"/>
                <w:sz w:val="21"/>
                <w:color w:val="0000FF"/>
              </w:rPr>
              <w:t>退休男女教职工体检：在同性别在职职工体检项目基础上，额外增加经颅多普勒（男</w:t>
            </w:r>
            <w:r>
              <w:rPr>
                <w:rFonts w:ascii="仿宋_GB2312" w:hAnsi="仿宋_GB2312" w:cs="仿宋_GB2312" w:eastAsia="仿宋_GB2312"/>
                <w:sz w:val="21"/>
                <w:color w:val="0000FF"/>
              </w:rPr>
              <w:t>25项，女30项）；</w:t>
            </w:r>
          </w:p>
          <w:p>
            <w:pPr>
              <w:pStyle w:val="null3"/>
              <w:ind w:firstLine="630"/>
              <w:jc w:val="left"/>
            </w:pPr>
            <w:r>
              <w:rPr>
                <w:rFonts w:ascii="仿宋_GB2312" w:hAnsi="仿宋_GB2312" w:cs="仿宋_GB2312" w:eastAsia="仿宋_GB2312"/>
                <w:sz w:val="21"/>
                <w:color w:val="0000FF"/>
              </w:rPr>
              <w:t>④</w:t>
            </w:r>
            <w:r>
              <w:rPr>
                <w:rFonts w:ascii="仿宋_GB2312" w:hAnsi="仿宋_GB2312" w:cs="仿宋_GB2312" w:eastAsia="仿宋_GB2312"/>
                <w:sz w:val="21"/>
                <w:color w:val="0000FF"/>
              </w:rPr>
              <w:t>新生入学体检：一般检查、内科、外科、眼科、五官科、口腔科、肝功十一项、肾功三项、血脂两项、空腹血糖、胸部正位片共</w:t>
            </w:r>
            <w:r>
              <w:rPr>
                <w:rFonts w:ascii="仿宋_GB2312" w:hAnsi="仿宋_GB2312" w:cs="仿宋_GB2312" w:eastAsia="仿宋_GB2312"/>
                <w:sz w:val="21"/>
                <w:color w:val="0000FF"/>
              </w:rPr>
              <w:t>11项；</w:t>
            </w:r>
          </w:p>
          <w:p>
            <w:pPr>
              <w:pStyle w:val="null3"/>
              <w:ind w:firstLine="630"/>
              <w:jc w:val="left"/>
            </w:pPr>
            <w:r>
              <w:rPr>
                <w:rFonts w:ascii="仿宋_GB2312" w:hAnsi="仿宋_GB2312" w:cs="仿宋_GB2312" w:eastAsia="仿宋_GB2312"/>
                <w:sz w:val="21"/>
                <w:color w:val="0000FF"/>
              </w:rPr>
              <w:t>⑤</w:t>
            </w:r>
            <w:r>
              <w:rPr>
                <w:rFonts w:ascii="仿宋_GB2312" w:hAnsi="仿宋_GB2312" w:cs="仿宋_GB2312" w:eastAsia="仿宋_GB2312"/>
                <w:sz w:val="21"/>
                <w:color w:val="0000FF"/>
              </w:rPr>
              <w:t>毕业生体检：一般检查、内科、外科、眼科、五官科、口腔科、肝功五项共</w:t>
            </w:r>
            <w:r>
              <w:rPr>
                <w:rFonts w:ascii="仿宋_GB2312" w:hAnsi="仿宋_GB2312" w:cs="仿宋_GB2312" w:eastAsia="仿宋_GB2312"/>
                <w:sz w:val="21"/>
                <w:color w:val="0000FF"/>
              </w:rPr>
              <w:t>7项。</w:t>
            </w:r>
          </w:p>
          <w:p>
            <w:pPr>
              <w:pStyle w:val="null3"/>
              <w:ind w:firstLine="630"/>
              <w:jc w:val="left"/>
            </w:pPr>
            <w:r>
              <w:rPr>
                <w:rFonts w:ascii="仿宋_GB2312" w:hAnsi="仿宋_GB2312" w:cs="仿宋_GB2312" w:eastAsia="仿宋_GB2312"/>
                <w:sz w:val="21"/>
                <w:color w:val="0000FF"/>
              </w:rPr>
              <w:t>⑥</w:t>
            </w:r>
            <w:r>
              <w:rPr>
                <w:rFonts w:ascii="仿宋_GB2312" w:hAnsi="仿宋_GB2312" w:cs="仿宋_GB2312" w:eastAsia="仿宋_GB2312"/>
                <w:sz w:val="21"/>
                <w:color w:val="0000FF"/>
              </w:rPr>
              <w:t>增值服务</w:t>
            </w:r>
            <w:r>
              <w:rPr>
                <w:rFonts w:ascii="仿宋_GB2312" w:hAnsi="仿宋_GB2312" w:cs="仿宋_GB2312" w:eastAsia="仿宋_GB2312"/>
                <w:sz w:val="21"/>
                <w:color w:val="0000FF"/>
              </w:rPr>
              <w:t>：</w:t>
            </w:r>
            <w:r>
              <w:rPr>
                <w:rFonts w:ascii="仿宋_GB2312" w:hAnsi="仿宋_GB2312" w:cs="仿宋_GB2312" w:eastAsia="仿宋_GB2312"/>
                <w:sz w:val="21"/>
                <w:color w:val="0000FF"/>
              </w:rPr>
              <w:t>危急值上报、可疑病例免费复查、年度群体健康分析报告、每年不少于</w:t>
            </w:r>
            <w:r>
              <w:rPr>
                <w:rFonts w:ascii="仿宋_GB2312" w:hAnsi="仿宋_GB2312" w:cs="仿宋_GB2312" w:eastAsia="仿宋_GB2312"/>
                <w:sz w:val="21"/>
                <w:color w:val="0000FF"/>
              </w:rPr>
              <w:t>2场健康教育讲座。</w:t>
            </w:r>
            <w:r>
              <w:rPr>
                <w:rFonts w:ascii="仿宋_GB2312" w:hAnsi="仿宋_GB2312" w:cs="仿宋_GB2312" w:eastAsia="仿宋_GB2312"/>
                <w:sz w:val="21"/>
                <w:color w:val="0000FF"/>
              </w:rPr>
              <w:t>可与甲方进行医联体业务合作共建，提升甲方医疗服务能力，促进优质医疗资源共享，促进双方联合开展学术交流、科研协作等。</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2</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工作量要求</w:t>
            </w:r>
          </w:p>
          <w:p>
            <w:pPr>
              <w:pStyle w:val="null3"/>
              <w:ind w:firstLine="630"/>
              <w:jc w:val="left"/>
            </w:pPr>
            <w:r>
              <w:rPr>
                <w:rFonts w:ascii="仿宋_GB2312" w:hAnsi="仿宋_GB2312" w:cs="仿宋_GB2312" w:eastAsia="仿宋_GB2312"/>
                <w:sz w:val="21"/>
                <w:color w:val="0000FF"/>
              </w:rPr>
              <w:t>严格</w:t>
            </w:r>
            <w:r>
              <w:rPr>
                <w:rFonts w:ascii="仿宋_GB2312" w:hAnsi="仿宋_GB2312" w:cs="仿宋_GB2312" w:eastAsia="仿宋_GB2312"/>
                <w:sz w:val="21"/>
                <w:color w:val="0000FF"/>
              </w:rPr>
              <w:t>按学校通知</w:t>
            </w:r>
            <w:r>
              <w:rPr>
                <w:rFonts w:ascii="仿宋_GB2312" w:hAnsi="仿宋_GB2312" w:cs="仿宋_GB2312" w:eastAsia="仿宋_GB2312"/>
                <w:sz w:val="21"/>
                <w:color w:val="0000FF"/>
              </w:rPr>
              <w:t>要求和时间</w:t>
            </w:r>
            <w:r>
              <w:rPr>
                <w:rFonts w:ascii="仿宋_GB2312" w:hAnsi="仿宋_GB2312" w:cs="仿宋_GB2312" w:eastAsia="仿宋_GB2312"/>
                <w:sz w:val="21"/>
                <w:color w:val="0000FF"/>
              </w:rPr>
              <w:t>分批次完成体检，每批次提前</w:t>
            </w:r>
            <w:r>
              <w:rPr>
                <w:rFonts w:ascii="仿宋_GB2312" w:hAnsi="仿宋_GB2312" w:cs="仿宋_GB2312" w:eastAsia="仿宋_GB2312"/>
                <w:sz w:val="21"/>
                <w:color w:val="0000FF"/>
              </w:rPr>
              <w:t>3天完成人员、设备、流程准备并预演</w:t>
            </w:r>
            <w:r>
              <w:rPr>
                <w:rFonts w:ascii="仿宋_GB2312" w:hAnsi="仿宋_GB2312" w:cs="仿宋_GB2312" w:eastAsia="仿宋_GB2312"/>
                <w:sz w:val="21"/>
                <w:color w:val="0000FF"/>
              </w:rPr>
              <w:t>；</w:t>
            </w:r>
            <w:r>
              <w:rPr>
                <w:rFonts w:ascii="仿宋_GB2312" w:hAnsi="仿宋_GB2312" w:cs="仿宋_GB2312" w:eastAsia="仿宋_GB2312"/>
                <w:sz w:val="21"/>
                <w:color w:val="0000FF"/>
              </w:rPr>
              <w:t>建立师生健康</w:t>
            </w:r>
            <w:r>
              <w:rPr>
                <w:rFonts w:ascii="仿宋_GB2312" w:hAnsi="仿宋_GB2312" w:cs="仿宋_GB2312" w:eastAsia="仿宋_GB2312"/>
                <w:sz w:val="21"/>
                <w:color w:val="0000FF"/>
              </w:rPr>
              <w:t>电子档案</w:t>
            </w:r>
            <w:r>
              <w:rPr>
                <w:rFonts w:ascii="仿宋_GB2312" w:hAnsi="仿宋_GB2312" w:cs="仿宋_GB2312" w:eastAsia="仿宋_GB2312"/>
                <w:sz w:val="21"/>
                <w:color w:val="0000FF"/>
              </w:rPr>
              <w:t>，</w:t>
            </w:r>
            <w:r>
              <w:rPr>
                <w:rFonts w:ascii="仿宋_GB2312" w:hAnsi="仿宋_GB2312" w:cs="仿宋_GB2312" w:eastAsia="仿宋_GB2312"/>
                <w:sz w:val="21"/>
                <w:color w:val="0000FF"/>
              </w:rPr>
              <w:t>每批体检结束后</w:t>
            </w:r>
            <w:r>
              <w:rPr>
                <w:rFonts w:ascii="仿宋_GB2312" w:hAnsi="仿宋_GB2312" w:cs="仿宋_GB2312" w:eastAsia="仿宋_GB2312"/>
                <w:sz w:val="21"/>
                <w:color w:val="0000FF"/>
              </w:rPr>
              <w:t>3个工作日内完成数据录入</w:t>
            </w:r>
            <w:r>
              <w:rPr>
                <w:rFonts w:ascii="仿宋_GB2312" w:hAnsi="仿宋_GB2312" w:cs="仿宋_GB2312" w:eastAsia="仿宋_GB2312"/>
                <w:sz w:val="21"/>
                <w:color w:val="0000FF"/>
              </w:rPr>
              <w:t>；</w:t>
            </w:r>
            <w:r>
              <w:rPr>
                <w:rFonts w:ascii="仿宋_GB2312" w:hAnsi="仿宋_GB2312" w:cs="仿宋_GB2312" w:eastAsia="仿宋_GB2312"/>
                <w:sz w:val="21"/>
                <w:color w:val="0000FF"/>
              </w:rPr>
              <w:t>教职工</w:t>
            </w:r>
            <w:r>
              <w:rPr>
                <w:rFonts w:ascii="仿宋_GB2312" w:hAnsi="仿宋_GB2312" w:cs="仿宋_GB2312" w:eastAsia="仿宋_GB2312"/>
                <w:sz w:val="21"/>
                <w:color w:val="0000FF"/>
              </w:rPr>
              <w:t>7个工作日内出具</w:t>
            </w:r>
            <w:r>
              <w:rPr>
                <w:rFonts w:ascii="仿宋_GB2312" w:hAnsi="仿宋_GB2312" w:cs="仿宋_GB2312" w:eastAsia="仿宋_GB2312"/>
                <w:sz w:val="21"/>
                <w:color w:val="0000FF"/>
              </w:rPr>
              <w:t>个人纸质报告</w:t>
            </w:r>
            <w:r>
              <w:rPr>
                <w:rFonts w:ascii="仿宋_GB2312" w:hAnsi="仿宋_GB2312" w:cs="仿宋_GB2312" w:eastAsia="仿宋_GB2312"/>
                <w:sz w:val="21"/>
                <w:color w:val="0000FF"/>
              </w:rPr>
              <w:t>，学生</w:t>
            </w:r>
            <w:r>
              <w:rPr>
                <w:rFonts w:ascii="仿宋_GB2312" w:hAnsi="仿宋_GB2312" w:cs="仿宋_GB2312" w:eastAsia="仿宋_GB2312"/>
                <w:sz w:val="21"/>
                <w:color w:val="0000FF"/>
              </w:rPr>
              <w:t>5个工作日内出具</w:t>
            </w:r>
            <w:r>
              <w:rPr>
                <w:rFonts w:ascii="仿宋_GB2312" w:hAnsi="仿宋_GB2312" w:cs="仿宋_GB2312" w:eastAsia="仿宋_GB2312"/>
                <w:sz w:val="21"/>
                <w:color w:val="0000FF"/>
              </w:rPr>
              <w:t>团检报告</w:t>
            </w:r>
            <w:r>
              <w:rPr>
                <w:rFonts w:ascii="仿宋_GB2312" w:hAnsi="仿宋_GB2312" w:cs="仿宋_GB2312" w:eastAsia="仿宋_GB2312"/>
                <w:sz w:val="21"/>
                <w:color w:val="0000FF"/>
              </w:rPr>
              <w:t>，由副主任及以上医师签署总评结论。</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3）具体要求</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①人员要求：</w:t>
            </w:r>
          </w:p>
          <w:p>
            <w:pPr>
              <w:pStyle w:val="null3"/>
              <w:ind w:firstLine="630"/>
              <w:jc w:val="left"/>
            </w:pPr>
            <w:r>
              <w:rPr>
                <w:rFonts w:ascii="仿宋_GB2312" w:hAnsi="仿宋_GB2312" w:cs="仿宋_GB2312" w:eastAsia="仿宋_GB2312"/>
                <w:sz w:val="21"/>
                <w:color w:val="0000FF"/>
              </w:rPr>
              <w:t>现场服务团队人员配置：现场服务团队总医护人员数量</w:t>
            </w:r>
            <w:r>
              <w:rPr>
                <w:rFonts w:ascii="仿宋_GB2312" w:hAnsi="仿宋_GB2312" w:cs="仿宋_GB2312" w:eastAsia="仿宋_GB2312"/>
                <w:sz w:val="21"/>
                <w:color w:val="0000FF"/>
              </w:rPr>
              <w:t>≥30名，所有人员须具备与岗位相匹配的合法执业资质（含医师执业证书、护士执业证书、职称证书等，且在有效期内），无违规执业、不良执业记录。服务团队中副主任医师及以上职称人员≥5名，中职及以上职称工作人员占比不低于30%，覆盖B超、内科、外科、妇科、眼科、五官科、心电图等主要检查科室。</w:t>
            </w:r>
          </w:p>
          <w:p>
            <w:pPr>
              <w:pStyle w:val="null3"/>
              <w:ind w:firstLine="630"/>
              <w:jc w:val="left"/>
            </w:pPr>
            <w:r>
              <w:rPr>
                <w:rFonts w:ascii="仿宋_GB2312" w:hAnsi="仿宋_GB2312" w:cs="仿宋_GB2312" w:eastAsia="仿宋_GB2312"/>
                <w:sz w:val="21"/>
                <w:color w:val="0000FF"/>
              </w:rPr>
              <w:t>②本项目现场医护服务团队人员劳务费实行按实际出勤人次结算，所有岗位劳务费均设置含税最高限价（上限控制价）：</w:t>
            </w:r>
          </w:p>
          <w:p>
            <w:pPr>
              <w:pStyle w:val="null3"/>
              <w:ind w:firstLine="630"/>
              <w:jc w:val="left"/>
            </w:pPr>
            <w:r>
              <w:rPr>
                <w:rFonts w:ascii="仿宋_GB2312" w:hAnsi="仿宋_GB2312" w:cs="仿宋_GB2312" w:eastAsia="仿宋_GB2312"/>
                <w:sz w:val="21"/>
                <w:color w:val="0000FF"/>
              </w:rPr>
              <w:t>B超科岗位：副主任医师或以上职称1000元/人/天，主治医师（中级职称）600元/人/天。</w:t>
            </w:r>
          </w:p>
          <w:p>
            <w:pPr>
              <w:pStyle w:val="null3"/>
              <w:ind w:firstLine="630"/>
              <w:jc w:val="left"/>
            </w:pPr>
            <w:r>
              <w:rPr>
                <w:rFonts w:ascii="仿宋_GB2312" w:hAnsi="仿宋_GB2312" w:cs="仿宋_GB2312" w:eastAsia="仿宋_GB2312"/>
                <w:sz w:val="21"/>
                <w:color w:val="0000FF"/>
              </w:rPr>
              <w:t>检查科室岗位（含内科、外科、眼科、五官科、妇科、心电图等）：副主任医师或以上职称</w:t>
            </w:r>
            <w:r>
              <w:rPr>
                <w:rFonts w:ascii="仿宋_GB2312" w:hAnsi="仿宋_GB2312" w:cs="仿宋_GB2312" w:eastAsia="仿宋_GB2312"/>
                <w:sz w:val="21"/>
                <w:color w:val="0000FF"/>
              </w:rPr>
              <w:t>500元/人/天，主治医师、主管护师（中级职称）300元/人/天。</w:t>
            </w:r>
          </w:p>
          <w:p>
            <w:pPr>
              <w:pStyle w:val="null3"/>
              <w:ind w:firstLine="630"/>
              <w:jc w:val="left"/>
            </w:pPr>
            <w:r>
              <w:rPr>
                <w:rFonts w:ascii="仿宋_GB2312" w:hAnsi="仿宋_GB2312" w:cs="仿宋_GB2312" w:eastAsia="仿宋_GB2312"/>
                <w:sz w:val="21"/>
                <w:color w:val="0000FF"/>
              </w:rPr>
              <w:t>其他辅助岗位：具备合法执业资质的其他岗位执业医师、护师</w:t>
            </w:r>
            <w:r>
              <w:rPr>
                <w:rFonts w:ascii="仿宋_GB2312" w:hAnsi="仿宋_GB2312" w:cs="仿宋_GB2312" w:eastAsia="仿宋_GB2312"/>
                <w:sz w:val="21"/>
                <w:color w:val="0000FF"/>
              </w:rPr>
              <w:t>200元/人/天。</w:t>
            </w:r>
          </w:p>
          <w:p>
            <w:pPr>
              <w:pStyle w:val="null3"/>
              <w:ind w:firstLine="630"/>
              <w:jc w:val="left"/>
            </w:pPr>
            <w:r>
              <w:rPr>
                <w:rFonts w:ascii="仿宋_GB2312" w:hAnsi="仿宋_GB2312" w:cs="仿宋_GB2312" w:eastAsia="仿宋_GB2312"/>
                <w:sz w:val="21"/>
                <w:color w:val="0000FF"/>
              </w:rPr>
              <w:t>③结算与管理补充说明（防歧义条款）</w:t>
            </w:r>
          </w:p>
          <w:p>
            <w:pPr>
              <w:pStyle w:val="null3"/>
              <w:ind w:firstLine="630"/>
              <w:jc w:val="left"/>
            </w:pPr>
            <w:r>
              <w:rPr>
                <w:rFonts w:ascii="仿宋_GB2312" w:hAnsi="仿宋_GB2312" w:cs="仿宋_GB2312" w:eastAsia="仿宋_GB2312"/>
                <w:sz w:val="21"/>
                <w:color w:val="0000FF"/>
              </w:rPr>
              <w:t>限价性质说明：上述单价为采购方设定的最高限价（含税，含劳务报酬、加班补贴、交通食宿补贴、社保公积金、税费等全部费用），为不可突破的上限控制价，实际结算单价均不得超过该标准。</w:t>
            </w:r>
          </w:p>
          <w:p>
            <w:pPr>
              <w:pStyle w:val="null3"/>
              <w:ind w:firstLine="630"/>
              <w:jc w:val="left"/>
            </w:pPr>
            <w:r>
              <w:rPr>
                <w:rFonts w:ascii="仿宋_GB2312" w:hAnsi="仿宋_GB2312" w:cs="仿宋_GB2312" w:eastAsia="仿宋_GB2312"/>
                <w:sz w:val="21"/>
                <w:color w:val="0000FF"/>
              </w:rPr>
              <w:t>费用包含范围说明：上述限价已涵盖人员服务期间的全部成本与费用，包括但不限于劳务报酬、法定节假日加班费用、差旅交通、食宿补贴、用人单位应承担的社保及公积金、法定税费、管理费等，采购方不再支付任何额外费用。</w:t>
            </w:r>
          </w:p>
          <w:p>
            <w:pPr>
              <w:pStyle w:val="null3"/>
              <w:ind w:firstLine="630"/>
              <w:jc w:val="left"/>
            </w:pPr>
            <w:r>
              <w:rPr>
                <w:rFonts w:ascii="仿宋_GB2312" w:hAnsi="仿宋_GB2312" w:cs="仿宋_GB2312" w:eastAsia="仿宋_GB2312"/>
                <w:sz w:val="21"/>
                <w:color w:val="0000FF"/>
              </w:rPr>
              <w:t>④设备要求：</w:t>
            </w:r>
          </w:p>
          <w:p>
            <w:pPr>
              <w:pStyle w:val="null3"/>
              <w:ind w:firstLine="630"/>
              <w:jc w:val="left"/>
            </w:pPr>
            <w:r>
              <w:rPr>
                <w:rFonts w:ascii="仿宋_GB2312" w:hAnsi="仿宋_GB2312" w:cs="仿宋_GB2312" w:eastAsia="仿宋_GB2312"/>
                <w:sz w:val="21"/>
                <w:color w:val="0000FF"/>
              </w:rPr>
              <w:t>投入体检设备不少于</w:t>
            </w:r>
            <w:r>
              <w:rPr>
                <w:rFonts w:ascii="仿宋_GB2312" w:hAnsi="仿宋_GB2312" w:cs="仿宋_GB2312" w:eastAsia="仿宋_GB2312"/>
                <w:sz w:val="21"/>
                <w:color w:val="0000FF"/>
              </w:rPr>
              <w:t xml:space="preserve">5台，DR 机等放射设备须具备《放射诊疗许可证》，所有设备年检合格。  </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4）考核标准</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师生满意度</w:t>
            </w:r>
            <w:r>
              <w:rPr>
                <w:rFonts w:ascii="仿宋_GB2312" w:hAnsi="仿宋_GB2312" w:cs="仿宋_GB2312" w:eastAsia="仿宋_GB2312"/>
                <w:sz w:val="21"/>
                <w:color w:val="0000FF"/>
              </w:rPr>
              <w:t>≥98%，有效投诉为零。</w:t>
            </w:r>
          </w:p>
          <w:p>
            <w:pPr>
              <w:pStyle w:val="null3"/>
              <w:ind w:firstLine="630"/>
              <w:jc w:val="left"/>
            </w:pPr>
            <w:r>
              <w:rPr>
                <w:rFonts w:ascii="仿宋_GB2312" w:hAnsi="仿宋_GB2312" w:cs="仿宋_GB2312" w:eastAsia="仿宋_GB2312"/>
                <w:sz w:val="21"/>
                <w:color w:val="0000FF"/>
              </w:rPr>
              <w:t>②</w:t>
            </w:r>
            <w:r>
              <w:rPr>
                <w:rFonts w:ascii="仿宋_GB2312" w:hAnsi="仿宋_GB2312" w:cs="仿宋_GB2312" w:eastAsia="仿宋_GB2312"/>
                <w:sz w:val="21"/>
                <w:color w:val="0000FF"/>
              </w:rPr>
              <w:t>合作医护人员满意度</w:t>
            </w:r>
            <w:r>
              <w:rPr>
                <w:rFonts w:ascii="仿宋_GB2312" w:hAnsi="仿宋_GB2312" w:cs="仿宋_GB2312" w:eastAsia="仿宋_GB2312"/>
                <w:sz w:val="21"/>
                <w:color w:val="0000FF"/>
              </w:rPr>
              <w:t>≥98%，有效投诉为零。</w:t>
            </w:r>
          </w:p>
          <w:p>
            <w:pPr>
              <w:pStyle w:val="null3"/>
              <w:ind w:firstLine="630"/>
              <w:jc w:val="left"/>
            </w:pPr>
            <w:r>
              <w:rPr>
                <w:rFonts w:ascii="仿宋_GB2312" w:hAnsi="仿宋_GB2312" w:cs="仿宋_GB2312" w:eastAsia="仿宋_GB2312"/>
                <w:sz w:val="21"/>
                <w:color w:val="0000FF"/>
              </w:rPr>
              <w:t>③</w:t>
            </w:r>
            <w:r>
              <w:rPr>
                <w:rFonts w:ascii="仿宋_GB2312" w:hAnsi="仿宋_GB2312" w:cs="仿宋_GB2312" w:eastAsia="仿宋_GB2312"/>
                <w:sz w:val="21"/>
                <w:color w:val="0000FF"/>
              </w:rPr>
              <w:t>报告合格率</w:t>
            </w:r>
            <w:r>
              <w:rPr>
                <w:rFonts w:ascii="仿宋_GB2312" w:hAnsi="仿宋_GB2312" w:cs="仿宋_GB2312" w:eastAsia="仿宋_GB2312"/>
                <w:sz w:val="21"/>
                <w:color w:val="0000FF"/>
              </w:rPr>
              <w:t>100%，无错检、漏检、迟报。</w:t>
            </w:r>
          </w:p>
          <w:p>
            <w:pPr>
              <w:pStyle w:val="null3"/>
              <w:ind w:firstLine="630"/>
              <w:jc w:val="left"/>
            </w:pPr>
            <w:r>
              <w:rPr>
                <w:rFonts w:ascii="仿宋_GB2312" w:hAnsi="仿宋_GB2312" w:cs="仿宋_GB2312" w:eastAsia="仿宋_GB2312"/>
                <w:sz w:val="21"/>
                <w:color w:val="0000FF"/>
              </w:rPr>
              <w:t>④</w:t>
            </w:r>
            <w:r>
              <w:rPr>
                <w:rFonts w:ascii="仿宋_GB2312" w:hAnsi="仿宋_GB2312" w:cs="仿宋_GB2312" w:eastAsia="仿宋_GB2312"/>
                <w:sz w:val="21"/>
                <w:color w:val="0000FF"/>
              </w:rPr>
              <w:t>危急值</w:t>
            </w:r>
            <w:r>
              <w:rPr>
                <w:rFonts w:ascii="仿宋_GB2312" w:hAnsi="仿宋_GB2312" w:cs="仿宋_GB2312" w:eastAsia="仿宋_GB2312"/>
                <w:sz w:val="21"/>
                <w:color w:val="0000FF"/>
              </w:rPr>
              <w:t>2小时内上报，传染病、恶性肿瘤等立即上报。</w:t>
            </w:r>
          </w:p>
          <w:p>
            <w:pPr>
              <w:pStyle w:val="null3"/>
              <w:ind w:firstLine="630"/>
              <w:jc w:val="left"/>
            </w:pPr>
            <w:r>
              <w:rPr>
                <w:rFonts w:ascii="仿宋_GB2312" w:hAnsi="仿宋_GB2312" w:cs="仿宋_GB2312" w:eastAsia="仿宋_GB2312"/>
                <w:sz w:val="21"/>
                <w:color w:val="0000FF"/>
              </w:rPr>
              <w:t>⑤</w:t>
            </w:r>
            <w:r>
              <w:rPr>
                <w:rFonts w:ascii="仿宋_GB2312" w:hAnsi="仿宋_GB2312" w:cs="仿宋_GB2312" w:eastAsia="仿宋_GB2312"/>
                <w:sz w:val="21"/>
                <w:color w:val="0000FF"/>
              </w:rPr>
              <w:t>现场组织有序，无拥挤、混乱、安全事故。</w:t>
            </w:r>
            <w:r>
              <w:rPr>
                <w:rFonts w:ascii="仿宋_GB2312" w:hAnsi="仿宋_GB2312" w:cs="仿宋_GB2312" w:eastAsia="仿宋_GB2312"/>
                <w:sz w:val="21"/>
                <w:color w:val="0000FF"/>
              </w:rPr>
              <w:t xml:space="preserve">  </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5）奖惩措施</w:t>
            </w:r>
          </w:p>
          <w:p>
            <w:pPr>
              <w:pStyle w:val="null3"/>
              <w:ind w:firstLine="630"/>
              <w:jc w:val="left"/>
            </w:pPr>
            <w:r>
              <w:rPr>
                <w:rFonts w:ascii="仿宋_GB2312" w:hAnsi="仿宋_GB2312" w:cs="仿宋_GB2312" w:eastAsia="仿宋_GB2312"/>
                <w:sz w:val="21"/>
                <w:color w:val="0000FF"/>
              </w:rPr>
              <w:t>奖励：年度考核达标、满意度高，续签下一年度合同。</w:t>
            </w:r>
          </w:p>
          <w:p>
            <w:pPr>
              <w:pStyle w:val="null3"/>
              <w:ind w:firstLine="630"/>
              <w:jc w:val="left"/>
            </w:pPr>
            <w:r>
              <w:rPr>
                <w:rFonts w:ascii="仿宋_GB2312" w:hAnsi="仿宋_GB2312" w:cs="仿宋_GB2312" w:eastAsia="仿宋_GB2312"/>
                <w:sz w:val="21"/>
                <w:color w:val="0000FF"/>
              </w:rPr>
              <w:t>惩处：服务不达标，甲方书面整改通知累计达</w:t>
            </w:r>
            <w:r>
              <w:rPr>
                <w:rFonts w:ascii="仿宋_GB2312" w:hAnsi="仿宋_GB2312" w:cs="仿宋_GB2312" w:eastAsia="仿宋_GB2312"/>
                <w:sz w:val="21"/>
                <w:color w:val="0000FF"/>
              </w:rPr>
              <w:t>3次，甲方有权终止合同，并扣除合同总价5%作为违约金；因供应商责任造成损失，由服务供应商全额赔偿。</w:t>
            </w:r>
          </w:p>
          <w:p>
            <w:pPr>
              <w:pStyle w:val="null3"/>
              <w:ind w:firstLine="422"/>
              <w:jc w:val="left"/>
            </w:pPr>
            <w:r>
              <w:rPr>
                <w:rFonts w:ascii="仿宋_GB2312" w:hAnsi="仿宋_GB2312" w:cs="仿宋_GB2312" w:eastAsia="仿宋_GB2312"/>
                <w:sz w:val="21"/>
                <w:b/>
                <w:color w:val="0000FF"/>
              </w:rPr>
              <w:t>3.</w:t>
            </w:r>
            <w:r>
              <w:rPr>
                <w:rFonts w:ascii="仿宋_GB2312" w:hAnsi="仿宋_GB2312" w:cs="仿宋_GB2312" w:eastAsia="仿宋_GB2312"/>
                <w:sz w:val="21"/>
                <w:b/>
                <w:color w:val="0000FF"/>
              </w:rPr>
              <w:t>组织实施、</w:t>
            </w:r>
            <w:r>
              <w:rPr>
                <w:rFonts w:ascii="仿宋_GB2312" w:hAnsi="仿宋_GB2312" w:cs="仿宋_GB2312" w:eastAsia="仿宋_GB2312"/>
                <w:sz w:val="21"/>
                <w:b/>
                <w:color w:val="0000FF"/>
              </w:rPr>
              <w:t>应急</w:t>
            </w:r>
            <w:r>
              <w:rPr>
                <w:rFonts w:ascii="仿宋_GB2312" w:hAnsi="仿宋_GB2312" w:cs="仿宋_GB2312" w:eastAsia="仿宋_GB2312"/>
                <w:sz w:val="21"/>
                <w:b/>
                <w:color w:val="0000FF"/>
              </w:rPr>
              <w:t>措施</w:t>
            </w:r>
            <w:r>
              <w:rPr>
                <w:rFonts w:ascii="仿宋_GB2312" w:hAnsi="仿宋_GB2312" w:cs="仿宋_GB2312" w:eastAsia="仿宋_GB2312"/>
                <w:sz w:val="21"/>
                <w:b/>
                <w:color w:val="0000FF"/>
              </w:rPr>
              <w:t>等要求</w:t>
            </w:r>
            <w:r>
              <w:rPr>
                <w:rFonts w:ascii="仿宋_GB2312" w:hAnsi="仿宋_GB2312" w:cs="仿宋_GB2312" w:eastAsia="仿宋_GB2312"/>
                <w:sz w:val="21"/>
                <w:b/>
                <w:color w:val="0000FF"/>
              </w:rPr>
              <w:t>；</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b/>
                <w:color w:val="0000FF"/>
              </w:rPr>
              <w:t>组织实施</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供应商制定详细现场方案、动线布局、分流措施。</w:t>
            </w:r>
          </w:p>
          <w:p>
            <w:pPr>
              <w:pStyle w:val="null3"/>
              <w:ind w:firstLine="630"/>
              <w:jc w:val="left"/>
            </w:pPr>
            <w:r>
              <w:rPr>
                <w:rFonts w:ascii="仿宋_GB2312" w:hAnsi="仿宋_GB2312" w:cs="仿宋_GB2312" w:eastAsia="仿宋_GB2312"/>
                <w:sz w:val="21"/>
                <w:color w:val="0000FF"/>
              </w:rPr>
              <w:t>②</w:t>
            </w:r>
            <w:r>
              <w:rPr>
                <w:rFonts w:ascii="仿宋_GB2312" w:hAnsi="仿宋_GB2312" w:cs="仿宋_GB2312" w:eastAsia="仿宋_GB2312"/>
                <w:sz w:val="21"/>
                <w:color w:val="0000FF"/>
              </w:rPr>
              <w:t>实行分时段预约体检，减少排队。</w:t>
            </w:r>
          </w:p>
          <w:p>
            <w:pPr>
              <w:pStyle w:val="null3"/>
              <w:ind w:firstLine="630"/>
              <w:jc w:val="left"/>
            </w:pPr>
            <w:r>
              <w:rPr>
                <w:rFonts w:ascii="仿宋_GB2312" w:hAnsi="仿宋_GB2312" w:cs="仿宋_GB2312" w:eastAsia="仿宋_GB2312"/>
                <w:sz w:val="21"/>
                <w:color w:val="0000FF"/>
              </w:rPr>
              <w:t>③</w:t>
            </w:r>
            <w:r>
              <w:rPr>
                <w:rFonts w:ascii="仿宋_GB2312" w:hAnsi="仿宋_GB2312" w:cs="仿宋_GB2312" w:eastAsia="仿宋_GB2312"/>
                <w:sz w:val="21"/>
                <w:color w:val="0000FF"/>
              </w:rPr>
              <w:t>严格保护个人隐私，体检资料专人管理、严禁泄露。</w:t>
            </w:r>
          </w:p>
          <w:p>
            <w:pPr>
              <w:pStyle w:val="null3"/>
              <w:ind w:firstLine="630"/>
              <w:jc w:val="left"/>
            </w:pPr>
            <w:r>
              <w:rPr>
                <w:rFonts w:ascii="仿宋_GB2312" w:hAnsi="仿宋_GB2312" w:cs="仿宋_GB2312" w:eastAsia="仿宋_GB2312"/>
                <w:sz w:val="21"/>
                <w:color w:val="0000FF"/>
              </w:rPr>
              <w:t>④</w:t>
            </w:r>
            <w:r>
              <w:rPr>
                <w:rFonts w:ascii="仿宋_GB2312" w:hAnsi="仿宋_GB2312" w:cs="仿宋_GB2312" w:eastAsia="仿宋_GB2312"/>
                <w:sz w:val="21"/>
                <w:color w:val="0000FF"/>
              </w:rPr>
              <w:t>体检结束后提供完整电子数据、纸质报告、群体健康统计分析报告。</w:t>
            </w:r>
            <w:r>
              <w:rPr>
                <w:rFonts w:ascii="仿宋_GB2312" w:hAnsi="仿宋_GB2312" w:cs="仿宋_GB2312" w:eastAsia="仿宋_GB2312"/>
                <w:sz w:val="21"/>
                <w:color w:val="0000FF"/>
              </w:rPr>
              <w:t xml:space="preserve">   </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2）应急措施</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制定晕针、过敏、外伤、突发心脑血管、踩踏事件等应急预案。</w:t>
            </w:r>
          </w:p>
          <w:p>
            <w:pPr>
              <w:pStyle w:val="null3"/>
              <w:ind w:firstLine="630"/>
              <w:jc w:val="left"/>
            </w:pPr>
            <w:r>
              <w:rPr>
                <w:rFonts w:ascii="仿宋_GB2312" w:hAnsi="仿宋_GB2312" w:cs="仿宋_GB2312" w:eastAsia="仿宋_GB2312"/>
                <w:sz w:val="21"/>
                <w:color w:val="0000FF"/>
              </w:rPr>
              <w:t>②</w:t>
            </w:r>
            <w:r>
              <w:rPr>
                <w:rFonts w:ascii="仿宋_GB2312" w:hAnsi="仿宋_GB2312" w:cs="仿宋_GB2312" w:eastAsia="仿宋_GB2312"/>
                <w:sz w:val="21"/>
                <w:color w:val="0000FF"/>
              </w:rPr>
              <w:t>现场配备急救药品、设备及急救人员。</w:t>
            </w:r>
          </w:p>
          <w:p>
            <w:pPr>
              <w:pStyle w:val="null3"/>
              <w:ind w:firstLine="630"/>
              <w:jc w:val="left"/>
            </w:pPr>
            <w:r>
              <w:rPr>
                <w:rFonts w:ascii="仿宋_GB2312" w:hAnsi="仿宋_GB2312" w:cs="仿宋_GB2312" w:eastAsia="仿宋_GB2312"/>
                <w:sz w:val="21"/>
                <w:color w:val="0000FF"/>
              </w:rPr>
              <w:t>③</w:t>
            </w:r>
            <w:r>
              <w:rPr>
                <w:rFonts w:ascii="仿宋_GB2312" w:hAnsi="仿宋_GB2312" w:cs="仿宋_GB2312" w:eastAsia="仿宋_GB2312"/>
                <w:sz w:val="21"/>
                <w:color w:val="0000FF"/>
              </w:rPr>
              <w:t>遇大规模体检拥堵、设备故障、恶劣天气等情况，立即启动备用方案。</w:t>
            </w:r>
          </w:p>
          <w:p>
            <w:pPr>
              <w:pStyle w:val="null3"/>
              <w:ind w:firstLine="422"/>
              <w:jc w:val="left"/>
            </w:pPr>
            <w:r>
              <w:rPr>
                <w:rFonts w:ascii="仿宋_GB2312" w:hAnsi="仿宋_GB2312" w:cs="仿宋_GB2312" w:eastAsia="仿宋_GB2312"/>
                <w:sz w:val="21"/>
                <w:b/>
                <w:color w:val="0000FF"/>
              </w:rPr>
              <w:t>4.</w:t>
            </w:r>
            <w:r>
              <w:rPr>
                <w:rFonts w:ascii="仿宋_GB2312" w:hAnsi="仿宋_GB2312" w:cs="仿宋_GB2312" w:eastAsia="仿宋_GB2312"/>
                <w:sz w:val="21"/>
                <w:b/>
                <w:color w:val="0000FF"/>
              </w:rPr>
              <w:t>报价要求以及其他要求等</w:t>
            </w:r>
            <w:r>
              <w:rPr>
                <w:rFonts w:ascii="仿宋_GB2312" w:hAnsi="仿宋_GB2312" w:cs="仿宋_GB2312" w:eastAsia="仿宋_GB2312"/>
                <w:sz w:val="21"/>
                <w:b/>
                <w:color w:val="0000FF"/>
              </w:rPr>
              <w:t>。</w:t>
            </w:r>
          </w:p>
          <w:p>
            <w:pPr>
              <w:pStyle w:val="null3"/>
              <w:ind w:firstLine="420"/>
              <w:jc w:val="left"/>
            </w:pPr>
            <w:r>
              <w:rPr>
                <w:rFonts w:ascii="仿宋_GB2312" w:hAnsi="仿宋_GB2312" w:cs="仿宋_GB2312" w:eastAsia="仿宋_GB2312"/>
                <w:sz w:val="21"/>
              </w:rPr>
              <w:t xml:space="preserve"> </w:t>
            </w:r>
            <w:r>
              <w:rPr>
                <w:rFonts w:ascii="仿宋_GB2312" w:hAnsi="仿宋_GB2312" w:cs="仿宋_GB2312" w:eastAsia="仿宋_GB2312"/>
                <w:sz w:val="24"/>
                <w:color w:val="0000FF"/>
              </w:rPr>
              <w:t>▲</w:t>
            </w:r>
            <w:r>
              <w:rPr>
                <w:rFonts w:ascii="仿宋_GB2312" w:hAnsi="仿宋_GB2312" w:cs="仿宋_GB2312" w:eastAsia="仿宋_GB2312"/>
                <w:sz w:val="21"/>
                <w:color w:val="0000FF"/>
              </w:rPr>
              <w:t>（</w:t>
            </w:r>
            <w:r>
              <w:rPr>
                <w:rFonts w:ascii="仿宋_GB2312" w:hAnsi="仿宋_GB2312" w:cs="仿宋_GB2312" w:eastAsia="仿宋_GB2312"/>
                <w:sz w:val="21"/>
                <w:color w:val="0000FF"/>
              </w:rPr>
              <w:t>1）</w:t>
            </w:r>
            <w:r>
              <w:rPr>
                <w:rFonts w:ascii="仿宋_GB2312" w:hAnsi="仿宋_GB2312" w:cs="仿宋_GB2312" w:eastAsia="仿宋_GB2312"/>
                <w:sz w:val="21"/>
                <w:b/>
                <w:color w:val="0000FF"/>
              </w:rPr>
              <w:t>报价要求</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采用体检套餐单项限价</w:t>
            </w:r>
            <w:r>
              <w:rPr>
                <w:rFonts w:ascii="仿宋_GB2312" w:hAnsi="仿宋_GB2312" w:cs="仿宋_GB2312" w:eastAsia="仿宋_GB2312"/>
                <w:sz w:val="21"/>
                <w:color w:val="0000FF"/>
              </w:rPr>
              <w:t>+优惠折扣率计价模式，计价计算公式：单类体检套餐固定中标单价=套餐所含全部单项体检项目最高限价金额之和×（1-优惠折扣率）。所有费用包含医护劳务、设备耗材、胶片、现场交通、报告制作、健康讲座、免费复查、急救物资、税费等全口径成本，无其他隐形加价。</w:t>
            </w:r>
          </w:p>
          <w:p>
            <w:pPr>
              <w:pStyle w:val="null3"/>
              <w:ind w:firstLine="630"/>
              <w:jc w:val="left"/>
            </w:pPr>
            <w:r>
              <w:rPr>
                <w:rFonts w:ascii="仿宋_GB2312" w:hAnsi="仿宋_GB2312" w:cs="仿宋_GB2312" w:eastAsia="仿宋_GB2312"/>
                <w:sz w:val="21"/>
                <w:color w:val="0000FF"/>
              </w:rPr>
              <w:t>本项目报价为</w:t>
            </w:r>
            <w:r>
              <w:rPr>
                <w:rFonts w:ascii="仿宋_GB2312" w:hAnsi="仿宋_GB2312" w:cs="仿宋_GB2312" w:eastAsia="仿宋_GB2312"/>
                <w:sz w:val="21"/>
                <w:color w:val="0000FF"/>
              </w:rPr>
              <w:t>“价格下浮”，只能报一个下浮率，任何有选择的报价不予接受。例如，某供应商报价下浮5%，即成交价格为：</w:t>
            </w:r>
            <w:r>
              <w:rPr>
                <w:rFonts w:ascii="仿宋_GB2312" w:hAnsi="仿宋_GB2312" w:cs="仿宋_GB2312" w:eastAsia="仿宋_GB2312"/>
                <w:sz w:val="21"/>
                <w:color w:val="0000FF"/>
              </w:rPr>
              <w:t>在职男教职工套餐价</w:t>
            </w:r>
            <w:r>
              <w:rPr>
                <w:rFonts w:ascii="仿宋_GB2312" w:hAnsi="仿宋_GB2312" w:cs="仿宋_GB2312" w:eastAsia="仿宋_GB2312"/>
                <w:sz w:val="21"/>
                <w:color w:val="0000FF"/>
              </w:rPr>
              <w:t>=490*（1-5%）元/人、在职女教职工800*（1-5%）元/人、退休男教职工525*（1-5%）元/人、退休女教职工835*（1-5%）元/人、新生100*（1-5%）元/人、毕业生26*（1-5%）元/人。</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color w:val="0000FF"/>
              </w:rPr>
              <w:t>②</w:t>
            </w:r>
            <w:r>
              <w:rPr>
                <w:rFonts w:ascii="仿宋_GB2312" w:hAnsi="仿宋_GB2312" w:cs="仿宋_GB2312" w:eastAsia="仿宋_GB2312"/>
                <w:sz w:val="21"/>
                <w:color w:val="0000FF"/>
              </w:rPr>
              <w:t>本项目采购套餐限价（在职男教职工</w:t>
            </w:r>
            <w:r>
              <w:rPr>
                <w:rFonts w:ascii="仿宋_GB2312" w:hAnsi="仿宋_GB2312" w:cs="仿宋_GB2312" w:eastAsia="仿宋_GB2312"/>
                <w:sz w:val="21"/>
                <w:color w:val="0000FF"/>
              </w:rPr>
              <w:t>490元/人、在职女教职工800元/人、退休男教职工525元/人、退休女教职工835元/人、新生100元/人、毕业生26元/人）为各套餐单项限价汇总控制上限，通过优惠率折算后套餐固定中标单价不得突破原有限价标准。</w:t>
            </w:r>
          </w:p>
          <w:p>
            <w:pPr>
              <w:pStyle w:val="null3"/>
              <w:ind w:firstLine="720"/>
              <w:jc w:val="left"/>
            </w:pPr>
            <w:r>
              <w:rPr>
                <w:rFonts w:ascii="仿宋_GB2312" w:hAnsi="仿宋_GB2312" w:cs="仿宋_GB2312" w:eastAsia="仿宋_GB2312"/>
                <w:sz w:val="24"/>
                <w:color w:val="0000FF"/>
              </w:rPr>
              <w:t>▲</w:t>
            </w:r>
            <w:r>
              <w:rPr>
                <w:rFonts w:ascii="仿宋_GB2312" w:hAnsi="仿宋_GB2312" w:cs="仿宋_GB2312" w:eastAsia="仿宋_GB2312"/>
                <w:sz w:val="21"/>
                <w:color w:val="0000FF"/>
              </w:rPr>
              <w:t>③</w:t>
            </w:r>
            <w:r>
              <w:rPr>
                <w:rFonts w:ascii="仿宋_GB2312" w:hAnsi="仿宋_GB2312" w:cs="仿宋_GB2312" w:eastAsia="仿宋_GB2312"/>
                <w:sz w:val="21"/>
                <w:color w:val="0000FF"/>
              </w:rPr>
              <w:t>体检单项项目最高限价明细表：</w:t>
            </w:r>
          </w:p>
          <w:tbl>
            <w:tblPr>
              <w:tblBorders>
                <w:top w:val="none" w:color="000000" w:sz="4"/>
                <w:left w:val="none" w:color="000000" w:sz="4"/>
                <w:bottom w:val="none" w:color="000000" w:sz="4"/>
                <w:right w:val="none" w:color="000000" w:sz="4"/>
                <w:insideH w:val="none"/>
                <w:insideV w:val="none"/>
              </w:tblBorders>
            </w:tblPr>
            <w:tblGrid>
              <w:gridCol w:w="245"/>
              <w:gridCol w:w="724"/>
              <w:gridCol w:w="306"/>
              <w:gridCol w:w="214"/>
              <w:gridCol w:w="214"/>
              <w:gridCol w:w="202"/>
              <w:gridCol w:w="208"/>
              <w:gridCol w:w="190"/>
              <w:gridCol w:w="190"/>
              <w:gridCol w:w="662"/>
            </w:tblGrid>
            <w:tr>
              <w:tc>
                <w:tcPr>
                  <w:tcW w:type="dxa" w:w="2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序号</w:t>
                  </w:r>
                </w:p>
              </w:tc>
              <w:tc>
                <w:tcPr>
                  <w:tcW w:type="dxa" w:w="7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项目</w:t>
                  </w:r>
                </w:p>
              </w:tc>
              <w:tc>
                <w:tcPr>
                  <w:tcW w:type="dxa" w:w="3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最高限价（单价：元）</w:t>
                  </w:r>
                </w:p>
              </w:tc>
              <w:tc>
                <w:tcPr>
                  <w:tcW w:type="dxa" w:w="42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在职职工体检</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退休职工体检</w:t>
                  </w:r>
                </w:p>
              </w:tc>
              <w:tc>
                <w:tcPr>
                  <w:tcW w:type="dxa" w:w="1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新生入学体检</w:t>
                  </w:r>
                </w:p>
              </w:tc>
              <w:tc>
                <w:tcPr>
                  <w:tcW w:type="dxa" w:w="1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毕业生体检</w:t>
                  </w:r>
                </w:p>
              </w:tc>
              <w:tc>
                <w:tcPr>
                  <w:tcW w:type="dxa" w:w="6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项目意义</w:t>
                  </w:r>
                </w:p>
              </w:tc>
            </w:tr>
            <w:tr>
              <w:tc>
                <w:tcPr>
                  <w:tcW w:type="dxa" w:w="245"/>
                  <w:vMerge/>
                  <w:tcBorders>
                    <w:top w:val="single" w:color="000000" w:sz="4"/>
                    <w:left w:val="single" w:color="000000" w:sz="4"/>
                    <w:bottom w:val="single" w:color="000000" w:sz="4"/>
                    <w:right w:val="single" w:color="000000" w:sz="4"/>
                  </w:tcBorders>
                </w:tcPr>
                <w:p/>
              </w:tc>
              <w:tc>
                <w:tcPr>
                  <w:tcW w:type="dxa" w:w="724"/>
                  <w:vMerge/>
                  <w:tcBorders>
                    <w:top w:val="single" w:color="000000" w:sz="4"/>
                    <w:left w:val="none" w:color="000000" w:sz="4"/>
                    <w:bottom w:val="single" w:color="000000" w:sz="4"/>
                    <w:right w:val="single" w:color="000000" w:sz="4"/>
                  </w:tcBorders>
                </w:tcPr>
                <w:p/>
              </w:tc>
              <w:tc>
                <w:tcPr>
                  <w:tcW w:type="dxa" w:w="306"/>
                  <w:vMerge/>
                  <w:tcBorders>
                    <w:top w:val="single" w:color="000000" w:sz="4"/>
                    <w:left w:val="none" w:color="000000" w:sz="4"/>
                    <w:bottom w:val="single" w:color="000000" w:sz="4"/>
                    <w:right w:val="single" w:color="000000" w:sz="4"/>
                  </w:tcBorders>
                </w:tcP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女</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男</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女</w:t>
                  </w:r>
                </w:p>
              </w:tc>
              <w:tc>
                <w:tcPr>
                  <w:tcW w:type="dxa" w:w="190"/>
                  <w:vMerge/>
                  <w:tcBorders>
                    <w:top w:val="single" w:color="000000" w:sz="4"/>
                    <w:left w:val="none" w:color="000000" w:sz="4"/>
                    <w:bottom w:val="single" w:color="000000" w:sz="4"/>
                    <w:right w:val="single" w:color="000000" w:sz="4"/>
                  </w:tcBorders>
                </w:tcPr>
                <w:p/>
              </w:tc>
              <w:tc>
                <w:tcPr>
                  <w:tcW w:type="dxa" w:w="190"/>
                  <w:vMerge/>
                  <w:tcBorders>
                    <w:top w:val="single" w:color="000000" w:sz="4"/>
                    <w:left w:val="none" w:color="000000" w:sz="4"/>
                    <w:bottom w:val="single" w:color="000000" w:sz="4"/>
                    <w:right w:val="single" w:color="000000" w:sz="4"/>
                  </w:tcBorders>
                </w:tcPr>
                <w:p/>
              </w:tc>
              <w:tc>
                <w:tcPr>
                  <w:tcW w:type="dxa" w:w="662"/>
                  <w:vMerge/>
                  <w:tcBorders>
                    <w:top w:val="single" w:color="000000" w:sz="4"/>
                    <w:left w:val="none" w:color="000000" w:sz="4"/>
                    <w:bottom w:val="single" w:color="000000" w:sz="4"/>
                    <w:right w:val="single" w:color="000000" w:sz="4"/>
                  </w:tcBorders>
                </w:tcP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一般检查（身高、体重、血压、脉搏、腰围）</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测量基础体征，计算</w:t>
                  </w:r>
                  <w:r>
                    <w:rPr>
                      <w:rFonts w:ascii="仿宋_GB2312" w:hAnsi="仿宋_GB2312" w:cs="仿宋_GB2312" w:eastAsia="仿宋_GB2312"/>
                      <w:sz w:val="21"/>
                      <w:color w:val="0000FF"/>
                    </w:rPr>
                    <w:t>BMI，初筛高血压、肥胖等基础健康风险</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内科（心肺听诊、腹部触诊、神经查体）</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排查心肺杂音、肝脾肿大、腹腔脏器异常、循环及消化系统基础疾病</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外科（甲状腺、淋巴结、四肢、脊柱、体表包块）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筛查甲状腺结节、体表肿物、骨关节畸形、浅表淋巴异常病变</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眼科（视力、辨色力）</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排查屈光异常、色觉障碍，满足学籍及从业健康建档需求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五官科（耳、鼻、咽喉常规检查）</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筛查耳道、鼻腔、咽喉部炎症、增生、器质性病变</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口腔科常规检查</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排查龋齿、牙周病、口腔黏膜相关病变</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血常规</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筛查贫血、细菌</w:t>
                  </w:r>
                  <w:r>
                    <w:rPr>
                      <w:rFonts w:ascii="仿宋_GB2312" w:hAnsi="仿宋_GB2312" w:cs="仿宋_GB2312" w:eastAsia="仿宋_GB2312"/>
                      <w:sz w:val="21"/>
                      <w:color w:val="0000FF"/>
                    </w:rPr>
                    <w:t>/ 病毒感染、血液基础异常指标</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尿常规</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初筛泌尿系感染、肾脏损伤、代谢异常</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肝功十一项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评估肝细胞损伤、肝脏代谢功能，筛查急慢性肝损伤</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肝功五项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毕业生专项肝功能筛查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肾功三项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评估肾脏滤过功能，筛查肾功能早期损伤</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血脂四项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筛查高血脂、动脉粥样硬化高危因素</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血脂两项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筛查高血脂、脂代谢异常</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空腹血糖</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筛查空腹血糖异常、糖尿病前期及糖尿病</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糖化血红蛋白</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近</w:t>
                  </w:r>
                  <w:r>
                    <w:rPr>
                      <w:rFonts w:ascii="仿宋_GB2312" w:hAnsi="仿宋_GB2312" w:cs="仿宋_GB2312" w:eastAsia="仿宋_GB2312"/>
                      <w:sz w:val="21"/>
                      <w:color w:val="0000FF"/>
                    </w:rPr>
                    <w:t>3个月平均血糖监测，排查糖代谢异常</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同型半胱氨酸</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心脑血管疾病独立危险因素筛查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甲功五项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42</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筛查甲亢、甲减、甲状腺功能异常</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肿瘤两项（</w:t>
                  </w:r>
                  <w:r>
                    <w:rPr>
                      <w:rFonts w:ascii="仿宋_GB2312" w:hAnsi="仿宋_GB2312" w:cs="仿宋_GB2312" w:eastAsia="仿宋_GB2312"/>
                      <w:sz w:val="21"/>
                      <w:color w:val="0000FF"/>
                    </w:rPr>
                    <w:t>AFP、CEA）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肝癌、消化道肿瘤基础初筛</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CA199</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男性胰腺、胆道、消化道肿瘤辅助筛查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前列腺特异性抗原</w:t>
                  </w:r>
                  <w:r>
                    <w:rPr>
                      <w:rFonts w:ascii="仿宋_GB2312" w:hAnsi="仿宋_GB2312" w:cs="仿宋_GB2312" w:eastAsia="仿宋_GB2312"/>
                      <w:sz w:val="21"/>
                      <w:color w:val="0000FF"/>
                    </w:rPr>
                    <w:t>PSA</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中老年男性前列腺增生、前列腺肿瘤筛查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CA125、CA153</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女性卵巢、乳腺相关肿瘤标志物筛查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维生素</w:t>
                  </w:r>
                  <w:r>
                    <w:rPr>
                      <w:rFonts w:ascii="仿宋_GB2312" w:hAnsi="仿宋_GB2312" w:cs="仿宋_GB2312" w:eastAsia="仿宋_GB2312"/>
                      <w:sz w:val="21"/>
                      <w:color w:val="0000FF"/>
                    </w:rPr>
                    <w:t>D 三项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女性钙吸收代谢、骨质疏松风险筛查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胸部</w:t>
                  </w:r>
                  <w:r>
                    <w:rPr>
                      <w:rFonts w:ascii="仿宋_GB2312" w:hAnsi="仿宋_GB2312" w:cs="仿宋_GB2312" w:eastAsia="仿宋_GB2312"/>
                      <w:sz w:val="21"/>
                      <w:color w:val="0000FF"/>
                    </w:rPr>
                    <w:t>DR 正位片（含纸质胶片）</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肺结核筛查、胸廓心肺器质性病变排查，落实校园结核防控要求</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12导联心电图</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筛查心律失常、心肌缺血等心脏基础病变，运动员必备检查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心脏彩超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学生查体，补充检查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上腹部彩超（肝胆胰脾）</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46</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筛查脂肪肝、肝胆结石、脏器占位、脾脏异常</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27</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泌尿系彩超（肾、输尿管、膀胱）</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排查泌尿系结石、积水、脏器增生病变</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前列腺彩超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男性前列腺增生、囊肿、占位筛查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29</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盆腔彩超（子宫附件）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女性妇科盆腔脏器器质性病变筛查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30</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甲状腺彩超</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甲状腺结节、甲亢、甲状腺肿大影像学筛查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31</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经颅多普勒</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离退休职工脑血管血流筛查，脑血管病变</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32</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妇科常规查体</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21</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女性外阴、阴道、宫颈基础妇科检查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33</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TCT 液基细胞学</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宫颈上皮病变、宫颈癌早期筛查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34</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HPV 人乳头瘤病毒检测</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高危</w:t>
                  </w:r>
                  <w:r>
                    <w:rPr>
                      <w:rFonts w:ascii="仿宋_GB2312" w:hAnsi="仿宋_GB2312" w:cs="仿宋_GB2312" w:eastAsia="仿宋_GB2312"/>
                      <w:sz w:val="21"/>
                      <w:color w:val="0000FF"/>
                    </w:rPr>
                    <w:t>HPV筛查，宫颈癌致病因素排查</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35</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电子阴道镜</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70</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TCT/HPV 异常后宫颈直观镜检</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36</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乳腺钼靶</w:t>
                  </w:r>
                  <w:r>
                    <w:rPr>
                      <w:rFonts w:ascii="仿宋_GB2312" w:hAnsi="仿宋_GB2312" w:cs="仿宋_GB2312" w:eastAsia="仿宋_GB2312"/>
                      <w:sz w:val="20"/>
                      <w:color w:val="0000FF"/>
                    </w:rPr>
                    <w:t>/乳腺B超   （二选一）</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28</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FF"/>
                    </w:rPr>
                    <w:t>×</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FF"/>
                    </w:rPr>
                    <w:t>女性乳腺结节、乳腺癌影像学筛查</w:t>
                  </w:r>
                </w:p>
              </w:tc>
            </w:tr>
          </w:tbl>
          <w:p>
            <w:pPr>
              <w:pStyle w:val="null3"/>
              <w:ind w:firstLine="480"/>
              <w:jc w:val="left"/>
            </w:pPr>
            <w:r>
              <w:rPr>
                <w:rFonts w:ascii="仿宋_GB2312" w:hAnsi="仿宋_GB2312" w:cs="仿宋_GB2312" w:eastAsia="仿宋_GB2312"/>
                <w:sz w:val="24"/>
                <w:color w:val="0000FF"/>
              </w:rPr>
              <w:t>▲</w:t>
            </w:r>
            <w:r>
              <w:rPr>
                <w:rFonts w:ascii="仿宋_GB2312" w:hAnsi="仿宋_GB2312" w:cs="仿宋_GB2312" w:eastAsia="仿宋_GB2312"/>
                <w:sz w:val="21"/>
                <w:b/>
                <w:color w:val="0000FF"/>
              </w:rPr>
              <w:t>（</w:t>
            </w:r>
            <w:r>
              <w:rPr>
                <w:rFonts w:ascii="仿宋_GB2312" w:hAnsi="仿宋_GB2312" w:cs="仿宋_GB2312" w:eastAsia="仿宋_GB2312"/>
                <w:sz w:val="21"/>
                <w:b/>
                <w:color w:val="0000FF"/>
              </w:rPr>
              <w:t>2）其他要求</w:t>
            </w:r>
            <w:r>
              <w:rPr>
                <w:rFonts w:ascii="仿宋_GB2312" w:hAnsi="仿宋_GB2312" w:cs="仿宋_GB2312" w:eastAsia="仿宋_GB2312"/>
                <w:sz w:val="21"/>
              </w:rPr>
              <w:t xml:space="preserve"> </w:t>
            </w:r>
          </w:p>
          <w:p>
            <w:pPr>
              <w:pStyle w:val="null3"/>
              <w:ind w:firstLine="630"/>
              <w:jc w:val="left"/>
            </w:pPr>
            <w:r>
              <w:rPr>
                <w:rFonts w:ascii="仿宋_GB2312" w:hAnsi="仿宋_GB2312" w:cs="仿宋_GB2312" w:eastAsia="仿宋_GB2312"/>
                <w:sz w:val="21"/>
                <w:color w:val="0000FF"/>
              </w:rPr>
              <w:t>①</w:t>
            </w:r>
            <w:r>
              <w:rPr>
                <w:rFonts w:ascii="仿宋_GB2312" w:hAnsi="仿宋_GB2312" w:cs="仿宋_GB2312" w:eastAsia="仿宋_GB2312"/>
                <w:sz w:val="21"/>
                <w:color w:val="0000FF"/>
              </w:rPr>
              <w:t>教职工及家属</w:t>
            </w:r>
            <w:r>
              <w:rPr>
                <w:rFonts w:ascii="仿宋_GB2312" w:hAnsi="仿宋_GB2312" w:cs="仿宋_GB2312" w:eastAsia="仿宋_GB2312"/>
                <w:sz w:val="21"/>
                <w:color w:val="0000FF"/>
              </w:rPr>
              <w:t>CT、核磁、内镜等大型检查享受5—7折优惠。</w:t>
            </w:r>
          </w:p>
          <w:p>
            <w:pPr>
              <w:pStyle w:val="null3"/>
              <w:ind w:firstLine="630"/>
              <w:jc w:val="left"/>
            </w:pPr>
            <w:r>
              <w:rPr>
                <w:rFonts w:ascii="仿宋_GB2312" w:hAnsi="仿宋_GB2312" w:cs="仿宋_GB2312" w:eastAsia="仿宋_GB2312"/>
                <w:sz w:val="21"/>
                <w:color w:val="0000FF"/>
              </w:rPr>
              <w:t>②</w:t>
            </w:r>
            <w:r>
              <w:rPr>
                <w:rFonts w:ascii="仿宋_GB2312" w:hAnsi="仿宋_GB2312" w:cs="仿宋_GB2312" w:eastAsia="仿宋_GB2312"/>
                <w:sz w:val="21"/>
                <w:color w:val="0000FF"/>
              </w:rPr>
              <w:t>无法在校内完成的项目，供应商负责安排车辆与时间。</w:t>
            </w:r>
          </w:p>
          <w:p>
            <w:pPr>
              <w:pStyle w:val="null3"/>
              <w:ind w:firstLine="630"/>
              <w:jc w:val="left"/>
            </w:pPr>
            <w:r>
              <w:rPr>
                <w:rFonts w:ascii="仿宋_GB2312" w:hAnsi="仿宋_GB2312" w:cs="仿宋_GB2312" w:eastAsia="仿宋_GB2312"/>
                <w:sz w:val="21"/>
                <w:color w:val="0000FF"/>
              </w:rPr>
              <w:t>③</w:t>
            </w:r>
            <w:r>
              <w:rPr>
                <w:rFonts w:ascii="仿宋_GB2312" w:hAnsi="仿宋_GB2312" w:cs="仿宋_GB2312" w:eastAsia="仿宋_GB2312"/>
                <w:sz w:val="21"/>
                <w:color w:val="0000FF"/>
              </w:rPr>
              <w:t>支持补检、补发报告，免费提供胸片胶片。</w:t>
            </w:r>
          </w:p>
          <w:p>
            <w:pPr>
              <w:pStyle w:val="null3"/>
              <w:ind w:firstLine="630"/>
              <w:jc w:val="left"/>
            </w:pPr>
            <w:r>
              <w:rPr>
                <w:rFonts w:ascii="仿宋_GB2312" w:hAnsi="仿宋_GB2312" w:cs="仿宋_GB2312" w:eastAsia="仿宋_GB2312"/>
                <w:sz w:val="21"/>
                <w:color w:val="0000FF"/>
              </w:rPr>
              <w:t>④</w:t>
            </w:r>
            <w:r>
              <w:rPr>
                <w:rFonts w:ascii="仿宋_GB2312" w:hAnsi="仿宋_GB2312" w:cs="仿宋_GB2312" w:eastAsia="仿宋_GB2312"/>
                <w:sz w:val="21"/>
                <w:color w:val="0000FF"/>
              </w:rPr>
              <w:t>严禁转包、分包，未经甲方同意不得变更核心人员。</w:t>
            </w:r>
          </w:p>
          <w:p>
            <w:pPr>
              <w:pStyle w:val="null3"/>
              <w:ind w:firstLine="630"/>
              <w:jc w:val="left"/>
            </w:pPr>
            <w:r>
              <w:rPr>
                <w:rFonts w:ascii="仿宋_GB2312" w:hAnsi="仿宋_GB2312" w:cs="仿宋_GB2312" w:eastAsia="仿宋_GB2312"/>
                <w:sz w:val="21"/>
                <w:color w:val="0000FF"/>
              </w:rPr>
              <w:t>⑤</w:t>
            </w:r>
            <w:r>
              <w:rPr>
                <w:rFonts w:ascii="仿宋_GB2312" w:hAnsi="仿宋_GB2312" w:cs="仿宋_GB2312" w:eastAsia="仿宋_GB2312"/>
                <w:sz w:val="21"/>
                <w:color w:val="0000FF"/>
              </w:rPr>
              <w:t>所有服务符合医疗规范与院感要求，杜绝医疗安全事故。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实际需求及特点，制提供服务方案（方案包括：①检前告知及受检者注意事项；②体检流程及各项体检操作规程。）、服务质量保障方案（方案包括：①完善的售后服务体系；②服务保障方案，包括管理制度及投诉处理措施、补救措施等。）、体检设备情况（包括①药剂、耗材质量保证措施；②医疗检测设备投入方案。）、设备配置、体检报告及隐私保护（方案包括：①体检报告内容的完整性;②体检报告是否具有针对性的指导意见;③对检测结果保密承诺。 ）、应急预案（方案包括：①针对本项目提供的体检过程中发生的特殊情况，如被体检人晕针、晕血低血糖、仪器伤害等情形；②体检中发现异常重大疾病情况，如即刻安排会诊、住院、治疗等。）、增值服务、大型检查折扣、人员配置（包括①人员配置情况表及核心成员具备的同类项目服务经验；②各流程节点岗位职责划分及岗位管理机制。）、人员证书（提供相应人员的执业证书+职称证书。）及类似业绩（以加盖公章的合同复印件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2026年度至2029年度师生健康体检。</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渭南师范学院朝阳校区（云帆体育馆、附属医院体检区等），无法在校内完成的项目由供应商提供接送及场地服务。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由渭南师院附属医院牵头，联合学校国有资产管理处、审计处等部门共同组成验收小组，按批次、按阶段开展履约验收工作： （1）过程验收：每批次体检结束后，对现场组织、人员资质、设备合规性、体检流程规范性进行即时验收。 （2）资料验收：对电子健康档案、纸质体检报告、危急值上报记录、健康分析报告、健康教育讲座资料等进行完整性验收。 （3）年度总体验收：每年服务期满，对全年服务质量、师生满意度、任务完成率、投诉处理、安全保障等进行综合验收。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其他，付款条件说明： 女教职工、毕业生、新生、男教职工等分批体检结束后 ，服务质量无争议，供应商向采购人提供已完成的体检人数结算表及整体体检情况报告等相关资料，待采购人审核确认后，供应商须提供等额的正式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（1）双方在合同期内，不得单方面无故终止合同，否则按违约处理。违约方须按体检服务费总价5 %支付违约金给对方。 （2）乙方每年在收到甲方体检通知之日起3个工作日内未做好体检准备工作并开始进行体检或乙方违反本合同规定，所提供的服务未达到合同要求的，甲方书面提出整改通知，累计提出达3次，甲方有权单方面终止合同，由此造成甲方经济损失的，乙方应给予体检服务费总价5%的赔偿。 （3）甲方应按合同规定的期限向乙方办理支付体检服务费手续，每逾期1天，乙方可向甲方加收体检服务费总价0.05%的违约金，违约金累计不得超过体检服务费总价5%。 （4）争议处理：由双方协商调解解决，协商或调解不成时向渭南师范学院所在地人民法院提起诉讼。在仲裁或诉讼期间，除有争议部分的事项外，合同其他部分仍应继续履行。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其他事项说明：项目预算160万元/年，服务期为3年，合同一年一签。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营业执照/事业单位法人证书等</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提供经审计的2025年度的财务报告或银行出具的资信证明或财务报表或《政府采购投标担保函》。</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供应商须为二级及以上医院并具备卫生行政部门颁发的《医疗机构执业许可证》及《放射诊疗许可证》。</w:t>
            </w:r>
          </w:p>
        </w:tc>
        <w:tc>
          <w:tcPr>
            <w:tcW w:type="dxa" w:w="1661"/>
          </w:tcPr>
          <w:p>
            <w:pPr>
              <w:pStyle w:val="null3"/>
            </w:pPr>
            <w:r>
              <w:rPr>
                <w:rFonts w:ascii="仿宋_GB2312" w:hAnsi="仿宋_GB2312" w:cs="仿宋_GB2312" w:eastAsia="仿宋_GB2312"/>
              </w:rPr>
              <w:t>本项目的特定资格要求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三、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商务要求响应偏离表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 响应文件作为无效处理。</w:t>
            </w:r>
          </w:p>
        </w:tc>
        <w:tc>
          <w:tcPr>
            <w:tcW w:type="dxa" w:w="1661"/>
          </w:tcPr>
          <w:p>
            <w:pPr>
              <w:pStyle w:val="null3"/>
            </w:pPr>
            <w:r>
              <w:rPr>
                <w:rFonts w:ascii="仿宋_GB2312" w:hAnsi="仿宋_GB2312" w:cs="仿宋_GB2312" w:eastAsia="仿宋_GB2312"/>
              </w:rPr>
              <w:t>响应文件封面 服务方案 商务要求响应偏离表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服务响应情况</w:t>
            </w:r>
          </w:p>
        </w:tc>
        <w:tc>
          <w:tcPr>
            <w:tcW w:type="dxa" w:w="2492"/>
          </w:tcPr>
          <w:p>
            <w:pPr>
              <w:pStyle w:val="null3"/>
            </w:pPr>
            <w:r>
              <w:rPr>
                <w:rFonts w:ascii="仿宋_GB2312" w:hAnsi="仿宋_GB2312" w:cs="仿宋_GB2312" w:eastAsia="仿宋_GB2312"/>
              </w:rPr>
              <w:t>根据供应商针对服务要求中带“▲”号条款响应情况进行评审，完全响应并满足服务要求的得15分，有一项未响应或不满足服务要求的扣1分。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根据本项目实际需求及特点，制定服务方案，方案包括：①检前告知及受检者注意事项；②体检流程及各项体检操作规程。 二、评审标准 1.完整性：方案必须全面，对评审内容有详细描述； 2.可实施性：切合本项目实际情况，提出步骤清晰、合理的方案； 3.针对性：方案能够紧扣项目实际情况，内容科学合理。 三、赋分标准（满分6分） ①检前告知及受检者注意事项：完全满足每个评审标准得1分，有瑕疵得0.5分，有缺陷得0分。满分3分。 ②体检流程及各项体检操作规程：完全满足每个评审标准得1分，有瑕疵得0.5分，有缺陷得0分。满分3分。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一、评审内容 根据本项目实际需求及特点，制定服务质量保障方案，方案包括：①完善的售后服务体系；②服务保障方案（包括管理制度及投诉处理措施、补救措施等）。 二、评审标准 1.完整性：方案必须全面，对评审内容有详细描述； 2.可实施性：切合本项目实际情况，提出步骤清晰、合理的方案； 3.针对性：方案能够紧扣项目实际情况，内容科学合理。 三、赋分标准（满分6分） ①完善的售后服务体系：完全满足每个评审标准得1分，有瑕疵得0.5分，有缺陷得0分。满分3分。 ②服务保障方案：完全满足每个评审标准得1分，有瑕疵得0.5分，有缺陷得0分。满分3分。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体检设备情况</w:t>
            </w:r>
          </w:p>
        </w:tc>
        <w:tc>
          <w:tcPr>
            <w:tcW w:type="dxa" w:w="2492"/>
          </w:tcPr>
          <w:p>
            <w:pPr>
              <w:pStyle w:val="null3"/>
            </w:pPr>
            <w:r>
              <w:rPr>
                <w:rFonts w:ascii="仿宋_GB2312" w:hAnsi="仿宋_GB2312" w:cs="仿宋_GB2312" w:eastAsia="仿宋_GB2312"/>
              </w:rPr>
              <w:t>一、评审内容 根据本项目实际需求及特点，提供体检设备情况：①药剂、耗材质量保证措施；②医疗检测设备投入方案。 二、评审标准 1.完整性：方案必须全面，对评审内容有详细描述； 2.可实施性：切合本项目实际情况，提出步骤清晰、合理的方案； 3.针对性：方案能够紧扣项目实际情况，内容科学合理。 三、赋分标准（满分6分） ①药剂、耗材质量保证措施：完全满足每个评审标准得1分，有瑕疵得0.5分，有缺陷得0分。满分3分。 ②医疗检测设备投入方案：完全满足每个评审标准得1分，有瑕疵得0.5分，有缺陷得0分。满分3分。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为保障项目质量，供应商需具备符合医疗机构标准的、符合相关安全管理标准的DR设备、彩色超声设备、全自动生化分析仪、CT设备，提供设备基本信息（包括但不限于设备名称、数量），并提供相关佐证材料（设备照片、发票+采购合同或租赁合同等）。 提供设备信息齐全及来源渠道明确、证据链完整的计4分，设备信息不全或设备来源渠道证据链不完整的不计分。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体检报告及隐私保护</w:t>
            </w:r>
          </w:p>
        </w:tc>
        <w:tc>
          <w:tcPr>
            <w:tcW w:type="dxa" w:w="2492"/>
          </w:tcPr>
          <w:p>
            <w:pPr>
              <w:pStyle w:val="null3"/>
            </w:pPr>
            <w:r>
              <w:rPr>
                <w:rFonts w:ascii="仿宋_GB2312" w:hAnsi="仿宋_GB2312" w:cs="仿宋_GB2312" w:eastAsia="仿宋_GB2312"/>
              </w:rPr>
              <w:t>一、评审内容 根据本项目实际需求及特点，制定体检报告及隐私保护方案，方案包括：①体检报告内容的完整性;②体检报告是否具有针对性的指导意见;③对检测结果保密承诺。 二、评审标准 1.完整性：方案必须全面，对评审内容有详细描述； 2.可实施性：切合本项目实际情况，提出步骤清晰、合理的方案； 3.针对性：方案能够紧扣项目实际情况，内容科学合理。 三、赋分标准（满分9分） ①接体检报告内容的完整性：完全满足每个评审标准得1分，有瑕疵得0.5分，有缺陷得0分。满分3分。 ②体检报告是否具有针对性的指导意见：完全满足每个评审标准得1分，有瑕疵得0.5分，有缺陷得0分。满分3分。 ③对检测结果保密承诺：完全满足每个评审标准得1分，有瑕疵得0.5分，有缺陷得0分。满分3分。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实际需求及特点，制定应急预案，方案包括：①针对本项目提供的体检过程中发生的特殊情况(如被体检人晕针、晕血低血糖、仪器伤害等情形)；②体检中发现异常重大疾病情况（如即刻安排会诊、住院、治疗等）。 二、评审标准 1.完整性：方案必须全面，对评审内容有详细描述； 2.可实施性：切合本项目实际情况，提出步骤清晰、合理的方案； 3.针对性：方案能够紧扣项目实际情况，内容科学合理。 三、赋分标准（满分6分） ①针对本项目提供的体检过程中发生的特殊情况：完全满足每个评审标准得1分，有瑕疵得0.5分，有缺陷得0分。满分3分。 ②体检中发现异常重大疾病情况：完全满足每个评审标准得1分，有瑕疵得0.5分，有缺陷得0分。满分3分。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根据供应商提供的针对本项目的增值服务进行评审，每提供一条合理、有针对性、可实施的增值服务的得1分，最多得2分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大型检查折扣</w:t>
            </w:r>
          </w:p>
        </w:tc>
        <w:tc>
          <w:tcPr>
            <w:tcW w:type="dxa" w:w="2492"/>
          </w:tcPr>
          <w:p>
            <w:pPr>
              <w:pStyle w:val="null3"/>
            </w:pPr>
            <w:r>
              <w:rPr>
                <w:rFonts w:ascii="仿宋_GB2312" w:hAnsi="仿宋_GB2312" w:cs="仿宋_GB2312" w:eastAsia="仿宋_GB2312"/>
              </w:rPr>
              <w:t>根据供应商提供的教职工及家属 CT、核磁、内镜等大型检查的优惠折扣承诺，折扣为50%，得5分；折扣为60%，得3分；折扣为70%，得1分。无承诺不得分。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根据本项目实际需求及特点，制定人员配置方案，方案包括：①人员配置情况表及核心成员具备的同类项目服务经验；②各流程节点岗位职责划分及岗位管理机制。 二、评审标准 1.完整性：方案必须全面，对评审内容有详细描述； 2.可实施性：切合本项目实际情况，提出步骤清晰、合理的方案； 3.针对性：方案能够紧扣项目实际情况，内容科学合理。 三、赋分标准（满分6分） ①人员配置情况表及核心成员具备的同类项目服务经验：完全满足每个评审标准得1分，有瑕疵得0.5分，有缺陷得0分。满分3分。 ②各流程节点岗位职责划分及岗位管理机制：完全满足每个评审标准得1分，有瑕疵得0.5分，有缺陷得0分。满分3分。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1.总医护人员≥30名，所有人员具备合法执业资质的得3分。 2.副主任医师及以上≥5名的得4分。 3.中级职称及以上职称工作人员占比不低于30%的得3分。 评审依据：提供相应人员的执业证书+职称证书。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供应商须提供2023年1月至今同类似目业绩，以合同签订日期为准，每提供一份得2分，满分10分（以加盖公章的合同复印件为准）。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落实政府采购政策进行价格调整的，以调整后的价格计算）为磋商基准价，得15分，其他各供应商的最后磋商报价得分按下列公式计算：（磋商基准价/最后磋商报价） ×15%×100。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详见附件：本项目的特定资格要求</w:t>
      </w:r>
    </w:p>
    <w:p>
      <w:pPr>
        <w:pStyle w:val="null3"/>
        <w:ind w:firstLine="960"/>
      </w:pPr>
      <w:r>
        <w:rPr>
          <w:rFonts w:ascii="仿宋_GB2312" w:hAnsi="仿宋_GB2312" w:cs="仿宋_GB2312" w:eastAsia="仿宋_GB2312"/>
        </w:rPr>
        <w:t>详见附件：服务要求响应偏离表</w:t>
      </w:r>
    </w:p>
    <w:p>
      <w:pPr>
        <w:pStyle w:val="null3"/>
        <w:ind w:firstLine="960"/>
      </w:pPr>
      <w:r>
        <w:rPr>
          <w:rFonts w:ascii="仿宋_GB2312" w:hAnsi="仿宋_GB2312" w:cs="仿宋_GB2312" w:eastAsia="仿宋_GB2312"/>
        </w:rPr>
        <w:t>详见附件：商务要求响应偏离表</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