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版本号：ZCBN-省本级-2026-06416、XHLJZC-SX2026-061.6B120260630001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图书馆中国知网等数字资源采购项目(二次)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ZCBN-省本级-2026-06416、XHLJZC-SX2026-061.6B1</w:t>
      </w:r>
      <w:r>
        <w:br/>
      </w:r>
      <w:r>
        <w:br/>
      </w:r>
      <w:r>
        <w:br/>
      </w:r>
      <w:r>
        <w:br/>
      </w:r>
      <w:r>
        <w:br/>
      </w:r>
    </w:p>
    <w:p>
      <w:pPr>
        <w:pStyle w:val="null3"/>
        <w:jc w:val="center"/>
        <w:outlineLvl w:val="5"/>
      </w:pPr>
      <w:r>
        <w:rPr>
          <w:rFonts w:ascii="仿宋_GB2312" w:hAnsi="仿宋_GB2312" w:cs="仿宋_GB2312" w:eastAsia="仿宋_GB2312"/>
          <w:sz w:val="15"/>
          <w:b/>
        </w:rPr>
        <w:t>商洛学院</w:t>
      </w:r>
    </w:p>
    <w:p>
      <w:pPr>
        <w:pStyle w:val="null3"/>
        <w:jc w:val="center"/>
        <w:outlineLvl w:val="5"/>
      </w:pPr>
      <w:r>
        <w:rPr>
          <w:rFonts w:ascii="仿宋_GB2312" w:hAnsi="仿宋_GB2312" w:cs="仿宋_GB2312" w:eastAsia="仿宋_GB2312"/>
          <w:sz w:val="15"/>
          <w:b/>
        </w:rPr>
        <w:t>西安欣华联建工程咨询有限公司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图书馆中国知网等数字资源采购项目(二次)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ZCBN-省本级-2026-06416、XHLJZC-SX2026-061.6B1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图书馆中国知网等数字资源采购项目(二次)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Worldlib学术论文平台，详见采购文件。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陈玉成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029-82513983、029-89183511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下浮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联系人：孙梦妮、毛嘉伟、樊锐</w:t>
      </w:r>
    </w:p>
    <w:p>
      <w:pPr>
        <w:pStyle w:val="null3"/>
      </w:pPr>
      <w:r>
        <w:rPr>
          <w:rFonts w:ascii="仿宋_GB2312" w:hAnsi="仿宋_GB2312" w:cs="仿宋_GB2312" w:eastAsia="仿宋_GB2312"/>
        </w:rPr>
        <w:t>联系电话：029-82513983</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Worldlib学术论文平台。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Worldlib学术论文平台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标的名称：Worldlib学术论文平台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661"/>
              <w:gridCol w:w="1404"/>
              <w:gridCol w:w="23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Worldlib Sci</w:t>
                  </w:r>
                </w:p>
                <w:p>
                  <w:pPr>
                    <w:pStyle w:val="null3"/>
                    <w:jc w:val="center"/>
                  </w:pPr>
                  <w:r>
                    <w:rPr>
                      <w:rFonts w:ascii="仿宋_GB2312" w:hAnsi="仿宋_GB2312" w:cs="仿宋_GB2312" w:eastAsia="仿宋_GB2312"/>
                      <w:sz w:val="21"/>
                    </w:rPr>
                    <w:t>精品学术论文平台</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rPr>
                    <w:t xml:space="preserve">Worldlib Sci精品学术论文资源专注于收录Web of Science (WoS)平台中的开放获取期刊文献，文献总量不低于450万篇。该资源提供多种导航途径，用户可按检索点、期刊、学科、日期、语种等进行筛选，以便高效定位所需文献。  </w:t>
                  </w:r>
                </w:p>
                <w:p>
                  <w:pPr>
                    <w:pStyle w:val="null3"/>
                    <w:ind w:firstLine="480"/>
                    <w:jc w:val="left"/>
                  </w:pPr>
                  <w:r>
                    <w:rPr>
                      <w:rFonts w:ascii="仿宋_GB2312" w:hAnsi="仿宋_GB2312" w:cs="仿宋_GB2312" w:eastAsia="仿宋_GB2312"/>
                      <w:sz w:val="21"/>
                    </w:rPr>
                    <w:t>文献学科范围全面，覆盖文学、历史学、哲学、法学、经济学、管理学、教育学、理学、工学、农学、医学、艺术学和军事学。</w:t>
                  </w:r>
                </w:p>
                <w:p>
                  <w:pPr>
                    <w:pStyle w:val="null3"/>
                    <w:ind w:firstLine="480"/>
                    <w:jc w:val="left"/>
                  </w:pPr>
                  <w:r>
                    <w:rPr>
                      <w:rFonts w:ascii="仿宋_GB2312" w:hAnsi="仿宋_GB2312" w:cs="仿宋_GB2312" w:eastAsia="仿宋_GB2312"/>
                      <w:sz w:val="21"/>
                    </w:rPr>
                    <w:t>平台上所有文献均可通过访问其来源的第三方网站获取全文，并支持通过移动设备扫描二维码进行访问与阅读。</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访问网址</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http://sci.worldlib.net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远程访问</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p>
                  <w:pPr>
                    <w:pStyle w:val="null3"/>
                    <w:jc w:val="center"/>
                  </w:pP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提供中华人民共和国国家版权局签发的《计算机软件著作权登记证书》。</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ind w:firstLine="200"/>
              <w:jc w:val="both"/>
            </w:pPr>
            <w:r>
              <w:rPr>
                <w:rFonts w:ascii="仿宋_GB2312" w:hAnsi="仿宋_GB2312" w:cs="仿宋_GB2312" w:eastAsia="仿宋_GB2312"/>
                <w:sz w:val="21"/>
              </w:rPr>
              <w:t>1、</w:t>
            </w:r>
            <w:r>
              <w:rPr>
                <w:rFonts w:ascii="仿宋_GB2312" w:hAnsi="仿宋_GB2312" w:cs="仿宋_GB2312" w:eastAsia="仿宋_GB2312"/>
                <w:sz w:val="21"/>
                <w:shd w:fill="FFFFFF" w:val="clear"/>
              </w:rPr>
              <w:t>平台仅提供开放获取文献资源，全文均通过第三方链接获取，支持通过移动设备扫码访问阅读。</w:t>
            </w:r>
          </w:p>
          <w:p>
            <w:pPr>
              <w:pStyle w:val="null3"/>
              <w:ind w:firstLine="200"/>
              <w:jc w:val="both"/>
            </w:pPr>
            <w:r>
              <w:rPr>
                <w:rFonts w:ascii="仿宋_GB2312" w:hAnsi="仿宋_GB2312" w:cs="仿宋_GB2312" w:eastAsia="仿宋_GB2312"/>
                <w:sz w:val="21"/>
              </w:rPr>
              <w:t>2、</w:t>
            </w:r>
            <w:r>
              <w:rPr>
                <w:rFonts w:ascii="仿宋_GB2312" w:hAnsi="仿宋_GB2312" w:cs="仿宋_GB2312" w:eastAsia="仿宋_GB2312"/>
                <w:sz w:val="21"/>
                <w:shd w:fill="FFFFFF" w:val="clear"/>
              </w:rPr>
              <w:t>平台文献量不低于</w:t>
            </w:r>
            <w:r>
              <w:rPr>
                <w:rFonts w:ascii="仿宋_GB2312" w:hAnsi="仿宋_GB2312" w:cs="仿宋_GB2312" w:eastAsia="仿宋_GB2312"/>
                <w:sz w:val="21"/>
                <w:color w:val="000000"/>
              </w:rPr>
              <w:t>450</w:t>
            </w:r>
            <w:r>
              <w:rPr>
                <w:rFonts w:ascii="仿宋_GB2312" w:hAnsi="仿宋_GB2312" w:cs="仿宋_GB2312" w:eastAsia="仿宋_GB2312"/>
                <w:sz w:val="21"/>
                <w:shd w:fill="FFFFFF" w:val="clear"/>
              </w:rPr>
              <w:t>万篇。</w:t>
            </w:r>
          </w:p>
          <w:p>
            <w:pPr>
              <w:pStyle w:val="null3"/>
              <w:ind w:firstLine="200"/>
              <w:jc w:val="both"/>
            </w:pPr>
            <w:r>
              <w:rPr>
                <w:rFonts w:ascii="仿宋_GB2312" w:hAnsi="仿宋_GB2312" w:cs="仿宋_GB2312" w:eastAsia="仿宋_GB2312"/>
                <w:sz w:val="21"/>
              </w:rPr>
              <w:t>3、</w:t>
            </w:r>
            <w:r>
              <w:rPr>
                <w:rFonts w:ascii="仿宋_GB2312" w:hAnsi="仿宋_GB2312" w:cs="仿宋_GB2312" w:eastAsia="仿宋_GB2312"/>
                <w:sz w:val="21"/>
              </w:rPr>
              <w:t>平台内置规模不低于8000万条的系统词</w:t>
            </w:r>
            <w:r>
              <w:rPr>
                <w:rFonts w:ascii="仿宋_GB2312" w:hAnsi="仿宋_GB2312" w:cs="仿宋_GB2312" w:eastAsia="仿宋_GB2312"/>
                <w:sz w:val="21"/>
              </w:rPr>
              <w:t>表作为支撑，并确保词表条目无重复。</w:t>
            </w:r>
          </w:p>
          <w:p>
            <w:pPr>
              <w:pStyle w:val="null3"/>
              <w:ind w:firstLine="200"/>
              <w:jc w:val="both"/>
            </w:pPr>
            <w:r>
              <w:rPr>
                <w:rFonts w:ascii="仿宋_GB2312" w:hAnsi="仿宋_GB2312" w:cs="仿宋_GB2312" w:eastAsia="仿宋_GB2312"/>
                <w:sz w:val="21"/>
              </w:rPr>
              <w:t>4、</w:t>
            </w:r>
            <w:r>
              <w:rPr>
                <w:rFonts w:ascii="仿宋_GB2312" w:hAnsi="仿宋_GB2312" w:cs="仿宋_GB2312" w:eastAsia="仿宋_GB2312"/>
                <w:sz w:val="21"/>
              </w:rPr>
              <w:t>平台提供便捷的安装与维护方案，内置SQL Server、文本等可视化数据导入工具，并自带</w:t>
            </w:r>
            <w:r>
              <w:rPr>
                <w:rFonts w:ascii="仿宋_GB2312" w:hAnsi="仿宋_GB2312" w:cs="仿宋_GB2312" w:eastAsia="仿宋_GB2312"/>
                <w:sz w:val="21"/>
              </w:rPr>
              <w:t>w</w:t>
            </w:r>
            <w:r>
              <w:rPr>
                <w:rFonts w:ascii="仿宋_GB2312" w:hAnsi="仿宋_GB2312" w:cs="仿宋_GB2312" w:eastAsia="仿宋_GB2312"/>
                <w:sz w:val="21"/>
              </w:rPr>
              <w:t>eb服务器功能（包含用户认证管理、数据存储服务、搜索引擎服务、</w:t>
            </w:r>
            <w:r>
              <w:rPr>
                <w:rFonts w:ascii="仿宋_GB2312" w:hAnsi="仿宋_GB2312" w:cs="仿宋_GB2312" w:eastAsia="仿宋_GB2312"/>
                <w:sz w:val="21"/>
              </w:rPr>
              <w:t>w</w:t>
            </w:r>
            <w:r>
              <w:rPr>
                <w:rFonts w:ascii="仿宋_GB2312" w:hAnsi="仿宋_GB2312" w:cs="仿宋_GB2312" w:eastAsia="仿宋_GB2312"/>
                <w:sz w:val="21"/>
              </w:rPr>
              <w:t>eb发布服务、访问监控服务等）。平台支持镜像派发生成专题数据库，且无需额外安装任何数据库软件。</w:t>
            </w:r>
          </w:p>
          <w:p>
            <w:pPr>
              <w:pStyle w:val="null3"/>
              <w:ind w:firstLine="200"/>
              <w:jc w:val="both"/>
            </w:pPr>
            <w:r>
              <w:rPr>
                <w:rFonts w:ascii="仿宋_GB2312" w:hAnsi="仿宋_GB2312" w:cs="仿宋_GB2312" w:eastAsia="仿宋_GB2312"/>
                <w:sz w:val="21"/>
              </w:rPr>
              <w:t>5、</w:t>
            </w:r>
            <w:r>
              <w:rPr>
                <w:rFonts w:ascii="仿宋_GB2312" w:hAnsi="仿宋_GB2312" w:cs="仿宋_GB2312" w:eastAsia="仿宋_GB2312"/>
                <w:sz w:val="21"/>
                <w:shd w:fill="FFFFFF" w:val="clear"/>
              </w:rPr>
              <w:t>平台实施严格的安全加密措施，对平台网站及数据库文件进行加密，确保网络数据传输与存储的安全。</w:t>
            </w:r>
          </w:p>
          <w:p>
            <w:pPr>
              <w:pStyle w:val="null3"/>
              <w:ind w:firstLine="200"/>
              <w:jc w:val="both"/>
            </w:pPr>
            <w:r>
              <w:rPr>
                <w:rFonts w:ascii="仿宋_GB2312" w:hAnsi="仿宋_GB2312" w:cs="仿宋_GB2312" w:eastAsia="仿宋_GB2312"/>
                <w:sz w:val="21"/>
              </w:rPr>
              <w:t>6、</w:t>
            </w:r>
            <w:r>
              <w:rPr>
                <w:rFonts w:ascii="仿宋_GB2312" w:hAnsi="仿宋_GB2312" w:cs="仿宋_GB2312" w:eastAsia="仿宋_GB2312"/>
                <w:sz w:val="21"/>
                <w:shd w:fill="FFFFFF" w:val="clear"/>
              </w:rPr>
              <w:t>平台设计注重易用性，提供多种导航途径（如按检索点、学科、日期、语种等），并允许用户根据需求修改或自定义分类体系。</w:t>
            </w:r>
          </w:p>
          <w:p>
            <w:pPr>
              <w:pStyle w:val="null3"/>
              <w:ind w:firstLine="200"/>
              <w:jc w:val="both"/>
            </w:pPr>
            <w:r>
              <w:rPr>
                <w:rFonts w:ascii="仿宋_GB2312" w:hAnsi="仿宋_GB2312" w:cs="仿宋_GB2312" w:eastAsia="仿宋_GB2312"/>
                <w:sz w:val="21"/>
              </w:rPr>
              <w:t>7、</w:t>
            </w:r>
            <w:r>
              <w:rPr>
                <w:rFonts w:ascii="仿宋_GB2312" w:hAnsi="仿宋_GB2312" w:cs="仿宋_GB2312" w:eastAsia="仿宋_GB2312"/>
                <w:sz w:val="21"/>
              </w:rPr>
              <w:t>平台提供域名绑定功能，具备统计访问数据的能力，支持用户检索记录还原、B类IP地址访问统计功能，并对用户访问行为进行实时监控（记录访问者IP及所访问资源URL）。</w:t>
            </w:r>
          </w:p>
          <w:p>
            <w:pPr>
              <w:pStyle w:val="null3"/>
              <w:ind w:firstLine="200"/>
              <w:jc w:val="both"/>
            </w:pPr>
            <w:r>
              <w:rPr>
                <w:rFonts w:ascii="仿宋_GB2312" w:hAnsi="仿宋_GB2312" w:cs="仿宋_GB2312" w:eastAsia="仿宋_GB2312"/>
                <w:sz w:val="21"/>
              </w:rPr>
              <w:t>8、</w:t>
            </w:r>
            <w:r>
              <w:rPr>
                <w:rFonts w:ascii="仿宋_GB2312" w:hAnsi="仿宋_GB2312" w:cs="仿宋_GB2312" w:eastAsia="仿宋_GB2312"/>
                <w:sz w:val="21"/>
                <w:shd w:fill="FFFFFF" w:val="clear"/>
              </w:rPr>
              <w:t>平台严格杜绝任何未经</w:t>
            </w:r>
            <w:r>
              <w:rPr>
                <w:rFonts w:ascii="仿宋_GB2312" w:hAnsi="仿宋_GB2312" w:cs="仿宋_GB2312" w:eastAsia="仿宋_GB2312"/>
                <w:sz w:val="21"/>
                <w:shd w:fill="FFFFFF" w:val="clear"/>
              </w:rPr>
              <w:t>商业</w:t>
            </w:r>
            <w:r>
              <w:rPr>
                <w:rFonts w:ascii="仿宋_GB2312" w:hAnsi="仿宋_GB2312" w:cs="仿宋_GB2312" w:eastAsia="仿宋_GB2312"/>
                <w:sz w:val="21"/>
                <w:shd w:fill="FFFFFF" w:val="clear"/>
              </w:rPr>
              <w:t>数据商授权的商业数据（包括元数据及全文），规避一切版权风险。</w:t>
            </w:r>
          </w:p>
          <w:p>
            <w:pPr>
              <w:pStyle w:val="null3"/>
              <w:ind w:firstLine="200"/>
              <w:jc w:val="both"/>
            </w:pPr>
            <w:r>
              <w:rPr>
                <w:rFonts w:ascii="仿宋_GB2312" w:hAnsi="仿宋_GB2312" w:cs="仿宋_GB2312" w:eastAsia="仿宋_GB2312"/>
                <w:sz w:val="21"/>
              </w:rPr>
              <w:t>9、</w:t>
            </w:r>
            <w:r>
              <w:rPr>
                <w:rFonts w:ascii="仿宋_GB2312" w:hAnsi="仿宋_GB2312" w:cs="仿宋_GB2312" w:eastAsia="仿宋_GB2312"/>
                <w:sz w:val="21"/>
                <w:shd w:fill="FFFFFF" w:val="clear"/>
              </w:rPr>
              <w:t>对于平台上非艺术图片类文献，若用户无法直接下载全文，可通过文献详情页的“人工帮助”功能提交协助请求，由后台工作人员协助获取。</w:t>
            </w:r>
          </w:p>
          <w:p>
            <w:pPr>
              <w:pStyle w:val="null3"/>
              <w:ind w:firstLine="20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shd w:fill="FFFFFF" w:val="clear"/>
              </w:rPr>
              <w:t>投标产品及其所属企业不存在任何知识产权侵权纠纷或潜在纠纷，也从未因知识产权侵权案件被法院强制执行。</w:t>
            </w:r>
          </w:p>
          <w:p>
            <w:pPr>
              <w:pStyle w:val="null3"/>
              <w:ind w:firstLine="200"/>
              <w:jc w:val="both"/>
            </w:pPr>
            <w:r>
              <w:rPr>
                <w:rFonts w:ascii="仿宋_GB2312" w:hAnsi="仿宋_GB2312" w:cs="仿宋_GB2312" w:eastAsia="仿宋_GB2312"/>
                <w:sz w:val="21"/>
              </w:rPr>
              <w:t>11、投标产品及所属企业不存在版权及侵权风险，亦无任何商业数据库商针对其产品或企业行为提出侵权主张（如发送侵权告知函等）。</w:t>
            </w:r>
          </w:p>
          <w:p>
            <w:pPr>
              <w:pStyle w:val="null3"/>
              <w:ind w:firstLine="200"/>
              <w:jc w:val="both"/>
            </w:pPr>
            <w:r>
              <w:rPr>
                <w:rFonts w:ascii="仿宋_GB2312" w:hAnsi="仿宋_GB2312" w:cs="仿宋_GB2312" w:eastAsia="仿宋_GB2312"/>
                <w:sz w:val="21"/>
              </w:rPr>
              <w:t>12、</w:t>
            </w:r>
            <w:r>
              <w:rPr>
                <w:rFonts w:ascii="仿宋_GB2312" w:hAnsi="仿宋_GB2312" w:cs="仿宋_GB2312" w:eastAsia="仿宋_GB2312"/>
                <w:sz w:val="21"/>
                <w:shd w:fill="FFFFFF" w:val="clear"/>
              </w:rPr>
              <w:t>平台</w:t>
            </w:r>
            <w:r>
              <w:rPr>
                <w:rFonts w:ascii="仿宋_GB2312" w:hAnsi="仿宋_GB2312" w:cs="仿宋_GB2312" w:eastAsia="仿宋_GB2312"/>
                <w:sz w:val="21"/>
                <w:shd w:fill="FFFFFF" w:val="clear"/>
              </w:rPr>
              <w:t>支持</w:t>
            </w:r>
            <w:r>
              <w:rPr>
                <w:rFonts w:ascii="仿宋_GB2312" w:hAnsi="仿宋_GB2312" w:cs="仿宋_GB2312" w:eastAsia="仿宋_GB2312"/>
                <w:sz w:val="21"/>
                <w:shd w:fill="FFFFFF" w:val="clear"/>
              </w:rPr>
              <w:t>为每次文献搜索结果提供由AI生成的精炼摘要，快速呈现核心内容</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color w:val="000000"/>
              </w:rPr>
              <w:t>13、平台</w:t>
            </w:r>
            <w:r>
              <w:rPr>
                <w:rFonts w:ascii="仿宋_GB2312" w:hAnsi="仿宋_GB2312" w:cs="仿宋_GB2312" w:eastAsia="仿宋_GB2312"/>
                <w:sz w:val="21"/>
                <w:color w:val="000000"/>
                <w:shd w:fill="FFFFFF" w:val="clear"/>
              </w:rPr>
              <w:t>支持将文献标题、摘要等关键信息以中英双语对照形式呈现，便于跨语言阅读与比对。</w:t>
            </w:r>
          </w:p>
          <w:p>
            <w:pPr>
              <w:pStyle w:val="null3"/>
              <w:ind w:firstLine="48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shd w:fill="FFFFFF" w:val="clear"/>
              </w:rPr>
              <w:t>平台提供文献综述自动生成功能，可基于多篇关联文献快速梳理研究脉络、归纳核心观点。</w:t>
            </w:r>
          </w:p>
          <w:p>
            <w:pPr>
              <w:pStyle w:val="null3"/>
              <w:ind w:firstLine="48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shd w:fill="FFFFFF" w:val="clear"/>
              </w:rPr>
              <w:t>平台内置AI阅读</w:t>
            </w:r>
            <w:r>
              <w:rPr>
                <w:rFonts w:ascii="仿宋_GB2312" w:hAnsi="仿宋_GB2312" w:cs="仿宋_GB2312" w:eastAsia="仿宋_GB2312"/>
                <w:sz w:val="21"/>
                <w:color w:val="000000"/>
                <w:shd w:fill="FFFFFF" w:val="clear"/>
              </w:rPr>
              <w:t>功能</w:t>
            </w:r>
            <w:r>
              <w:rPr>
                <w:rFonts w:ascii="仿宋_GB2312" w:hAnsi="仿宋_GB2312" w:cs="仿宋_GB2312" w:eastAsia="仿宋_GB2312"/>
                <w:sz w:val="21"/>
                <w:color w:val="000000"/>
                <w:shd w:fill="FFFFFF" w:val="clear"/>
              </w:rPr>
              <w:t>，能对文献内容进行智能翻译、核心解读，并支持用户随时提问互动。</w:t>
            </w:r>
          </w:p>
          <w:p>
            <w:pPr>
              <w:pStyle w:val="null3"/>
              <w:ind w:firstLine="200"/>
              <w:jc w:val="both"/>
            </w:pPr>
            <w:r>
              <w:rPr>
                <w:rFonts w:ascii="仿宋_GB2312" w:hAnsi="仿宋_GB2312" w:cs="仿宋_GB2312" w:eastAsia="仿宋_GB2312"/>
                <w:sz w:val="21"/>
                <w:b/>
              </w:rPr>
              <w:t>三、售后服务</w:t>
            </w:r>
          </w:p>
          <w:p>
            <w:pPr>
              <w:pStyle w:val="null3"/>
              <w:ind w:firstLine="480"/>
              <w:jc w:val="left"/>
            </w:pPr>
            <w:r>
              <w:rPr>
                <w:rFonts w:ascii="仿宋_GB2312" w:hAnsi="仿宋_GB2312" w:cs="仿宋_GB2312" w:eastAsia="仿宋_GB2312"/>
                <w:sz w:val="21"/>
              </w:rPr>
              <w:t>（1）电话咨询</w:t>
            </w:r>
          </w:p>
          <w:p>
            <w:pPr>
              <w:pStyle w:val="null3"/>
              <w:ind w:firstLine="480"/>
              <w:jc w:val="left"/>
            </w:pPr>
            <w:r>
              <w:rPr>
                <w:rFonts w:ascii="仿宋_GB2312" w:hAnsi="仿宋_GB2312" w:cs="仿宋_GB2312" w:eastAsia="仿宋_GB2312"/>
                <w:sz w:val="21"/>
              </w:rPr>
              <w:t>成交人应当为采购人提供技术援助电话，解答采购人在使用中遇到的问题，及时为采购人提出解决问题的建议。</w:t>
            </w:r>
          </w:p>
          <w:p>
            <w:pPr>
              <w:pStyle w:val="null3"/>
              <w:ind w:firstLine="480"/>
              <w:jc w:val="left"/>
            </w:pPr>
            <w:r>
              <w:rPr>
                <w:rFonts w:ascii="仿宋_GB2312" w:hAnsi="仿宋_GB2312" w:cs="仿宋_GB2312" w:eastAsia="仿宋_GB2312"/>
                <w:sz w:val="21"/>
              </w:rPr>
              <w:t>（2）现场响应</w:t>
            </w:r>
          </w:p>
          <w:p>
            <w:pPr>
              <w:pStyle w:val="null3"/>
              <w:ind w:firstLine="480"/>
              <w:jc w:val="left"/>
            </w:pPr>
            <w:r>
              <w:rPr>
                <w:rFonts w:ascii="仿宋_GB2312" w:hAnsi="仿宋_GB2312" w:cs="仿宋_GB2312" w:eastAsia="仿宋_GB2312"/>
                <w:sz w:val="21"/>
              </w:rPr>
              <w:t>采购人遇到使用及技术问题，电话咨询不能解决的，成交人应在8小内到达现场（远郊区12小时内到达现场）进行处理，确保产品正常工作；无法在8小时内解决的，应在12小时内提供备用产品，使采购人能够正常使用。</w:t>
            </w:r>
          </w:p>
          <w:p>
            <w:pPr>
              <w:pStyle w:val="null3"/>
              <w:ind w:firstLine="480"/>
              <w:jc w:val="left"/>
            </w:pPr>
            <w:r>
              <w:rPr>
                <w:rFonts w:ascii="仿宋_GB2312" w:hAnsi="仿宋_GB2312" w:cs="仿宋_GB2312" w:eastAsia="仿宋_GB2312"/>
                <w:sz w:val="21"/>
              </w:rPr>
              <w:t>（3）技术升级</w:t>
            </w:r>
          </w:p>
          <w:p>
            <w:pPr>
              <w:pStyle w:val="null3"/>
              <w:ind w:firstLine="480"/>
              <w:jc w:val="left"/>
            </w:pPr>
            <w:r>
              <w:rPr>
                <w:rFonts w:ascii="仿宋_GB2312" w:hAnsi="仿宋_GB2312" w:cs="仿宋_GB2312" w:eastAsia="仿宋_GB2312"/>
                <w:sz w:val="21"/>
              </w:rPr>
              <w:t>在服务期内，如果成交人的产品技术升级，成交人应及时通知采购人，如采购人有相应要求，成交人应对采购人购买的产品进行免费升级服务。</w:t>
            </w:r>
          </w:p>
          <w:p>
            <w:pPr>
              <w:pStyle w:val="null3"/>
              <w:ind w:firstLine="480"/>
              <w:jc w:val="left"/>
            </w:pPr>
            <w:r>
              <w:rPr>
                <w:rFonts w:ascii="仿宋_GB2312" w:hAnsi="仿宋_GB2312" w:cs="仿宋_GB2312" w:eastAsia="仿宋_GB2312"/>
                <w:sz w:val="21"/>
              </w:rPr>
              <w:t>（4）因版权问题而引发的知识产权纠纷由供应商负全部法律责任。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