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版本号：JZZB2026-105020260701001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2026年西安市福利彩票发行中心福利彩票促销宣传推广</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JZZB2026-1050</w:t>
      </w:r>
      <w:r>
        <w:br/>
      </w:r>
      <w:r>
        <w:br/>
      </w:r>
      <w:r>
        <w:br/>
      </w:r>
    </w:p>
    <w:p>
      <w:pPr>
        <w:pStyle w:val="null3"/>
        <w:jc w:val="center"/>
        <w:outlineLvl w:val="5"/>
      </w:pPr>
      <w:r>
        <w:rPr>
          <w:rFonts w:ascii="仿宋_GB2312" w:hAnsi="仿宋_GB2312" w:cs="仿宋_GB2312" w:eastAsia="仿宋_GB2312"/>
          <w:sz w:val="15"/>
          <w:b/>
        </w:rPr>
        <w:t>西安市福利彩票发行中心（本级）</w:t>
      </w:r>
    </w:p>
    <w:p>
      <w:pPr>
        <w:pStyle w:val="null3"/>
        <w:jc w:val="center"/>
        <w:outlineLvl w:val="5"/>
      </w:pPr>
      <w:r>
        <w:rPr>
          <w:rFonts w:ascii="仿宋_GB2312" w:hAnsi="仿宋_GB2312" w:cs="仿宋_GB2312" w:eastAsia="仿宋_GB2312"/>
          <w:sz w:val="15"/>
          <w:b/>
        </w:rPr>
        <w:t>陕西金字招标有限责任公司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陕西金字招标有限责任公司</w:t>
      </w:r>
      <w:r>
        <w:rPr>
          <w:rFonts w:ascii="仿宋_GB2312" w:hAnsi="仿宋_GB2312" w:cs="仿宋_GB2312" w:eastAsia="仿宋_GB2312"/>
        </w:rPr>
        <w:t>（以下简称“代理机构”）受</w:t>
      </w:r>
      <w:r>
        <w:rPr>
          <w:rFonts w:ascii="仿宋_GB2312" w:hAnsi="仿宋_GB2312" w:cs="仿宋_GB2312" w:eastAsia="仿宋_GB2312"/>
        </w:rPr>
        <w:t>西安市福利彩票发行中心（本级）</w:t>
      </w:r>
      <w:r>
        <w:rPr>
          <w:rFonts w:ascii="仿宋_GB2312" w:hAnsi="仿宋_GB2312" w:cs="仿宋_GB2312" w:eastAsia="仿宋_GB2312"/>
        </w:rPr>
        <w:t>委托，拟对</w:t>
      </w:r>
      <w:r>
        <w:rPr>
          <w:rFonts w:ascii="仿宋_GB2312" w:hAnsi="仿宋_GB2312" w:cs="仿宋_GB2312" w:eastAsia="仿宋_GB2312"/>
        </w:rPr>
        <w:t>2026年西安市福利彩票发行中心福利彩票促销宣传推广</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JZZB2026-1050</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2026年西安市福利彩票发行中心福利彩票促销宣传推广</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采购刮刮乐彩票，用于开展即开票营销活动、福彩进婚登以及投注站销售竞赛活动。用于福彩品牌宣传等活动，以扩大福利彩票的宣传范围，提升福利彩票的品牌形象。</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采购包1（2026年西安市福利彩票发行中心福利彩票促销宣传推广）：属于专门面向中小企业采购。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1、有效的主体资格证明：供应商为合法注册的法人、其他组织或自然人，提供营业执照等证明文件。</w:t>
      </w:r>
    </w:p>
    <w:p>
      <w:pPr>
        <w:pStyle w:val="null3"/>
      </w:pPr>
      <w:r>
        <w:rPr>
          <w:rFonts w:ascii="仿宋_GB2312" w:hAnsi="仿宋_GB2312" w:cs="仿宋_GB2312" w:eastAsia="仿宋_GB2312"/>
        </w:rPr>
        <w:t>2、财务状况报告（任选其一）：供应商提供2024年度或2025年度经审计的财务报告或磋商截止时间前三个月内其基本开户银行出具的资信证明及账户开户许可证明材料或财政部门认可的政府采购专业担保机构开具的投标担保函。</w:t>
      </w:r>
    </w:p>
    <w:p>
      <w:pPr>
        <w:pStyle w:val="null3"/>
      </w:pPr>
      <w:r>
        <w:rPr>
          <w:rFonts w:ascii="仿宋_GB2312" w:hAnsi="仿宋_GB2312" w:cs="仿宋_GB2312" w:eastAsia="仿宋_GB2312"/>
        </w:rPr>
        <w:t>3、税收缴纳证明：提供响应文件递交截止日前一年内已缴存的至少一个月的纳税证明或完税证明。依法免税的供应商应提供相关文件证明。</w:t>
      </w:r>
    </w:p>
    <w:p>
      <w:pPr>
        <w:pStyle w:val="null3"/>
      </w:pPr>
      <w:r>
        <w:rPr>
          <w:rFonts w:ascii="仿宋_GB2312" w:hAnsi="仿宋_GB2312" w:cs="仿宋_GB2312" w:eastAsia="仿宋_GB2312"/>
        </w:rPr>
        <w:t>4、社会保障资金缴纳证明：提供响应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5、专业技术能力的声明：提供具有履行本合同所必需的设备和专业技术能力的声明或承诺。</w:t>
      </w:r>
    </w:p>
    <w:p>
      <w:pPr>
        <w:pStyle w:val="null3"/>
      </w:pPr>
      <w:r>
        <w:rPr>
          <w:rFonts w:ascii="仿宋_GB2312" w:hAnsi="仿宋_GB2312" w:cs="仿宋_GB2312" w:eastAsia="仿宋_GB2312"/>
        </w:rPr>
        <w:t>6、没有重大违法记录的书面声明：提供参加政府采购活动前三年内在经营活动中没有重大违法记录的书面声明。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7、供应商信用：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p>
      <w:pPr>
        <w:pStyle w:val="null3"/>
      </w:pPr>
      <w:r>
        <w:rPr>
          <w:rFonts w:ascii="仿宋_GB2312" w:hAnsi="仿宋_GB2312" w:cs="仿宋_GB2312" w:eastAsia="仿宋_GB2312"/>
        </w:rPr>
        <w:t>8、法定代表人授权书：法定代表人参加磋商的，须提供法人身份证明及本人身份证复印件；法定代表人授权他人参加磋商的，须提供法定代表人授权委托书。采购文件中凡是需要法定代表人盖章之处，非法人单位的负责人均参照执行。</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西安市福利彩票发行中心（本级）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西安市未央区北二环369号华帝金座A座9A</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029-86234104</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陕西金字招标有限责任公司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西安市碑林区更新街13号铭爵大厦7楼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18302930046</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西安市福利彩票发行中心（本级）</w:t>
      </w:r>
      <w:r>
        <w:rPr>
          <w:rFonts w:ascii="仿宋_GB2312" w:hAnsi="仿宋_GB2312" w:cs="仿宋_GB2312" w:eastAsia="仿宋_GB2312"/>
        </w:rPr>
        <w:t>和</w:t>
      </w:r>
      <w:r>
        <w:rPr>
          <w:rFonts w:ascii="仿宋_GB2312" w:hAnsi="仿宋_GB2312" w:cs="仿宋_GB2312" w:eastAsia="仿宋_GB2312"/>
        </w:rPr>
        <w:t>陕西金字招标有限责任公司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陕西金字招标有限责任公司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西安市福利彩票发行中心（本级）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陕西金字招标有限责任公司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联系人：王婷</w:t>
      </w:r>
    </w:p>
    <w:p>
      <w:pPr>
        <w:pStyle w:val="null3"/>
      </w:pPr>
      <w:r>
        <w:rPr>
          <w:rFonts w:ascii="仿宋_GB2312" w:hAnsi="仿宋_GB2312" w:cs="仿宋_GB2312" w:eastAsia="仿宋_GB2312"/>
        </w:rPr>
        <w:t>联系电话：18302930046</w:t>
      </w:r>
    </w:p>
    <w:p>
      <w:pPr>
        <w:pStyle w:val="null3"/>
      </w:pPr>
      <w:r>
        <w:rPr>
          <w:rFonts w:ascii="仿宋_GB2312" w:hAnsi="仿宋_GB2312" w:cs="仿宋_GB2312" w:eastAsia="仿宋_GB2312"/>
        </w:rPr>
        <w:t>地址：西安市碑林区更新街13号铭爵⼤厦7楼</w:t>
      </w:r>
    </w:p>
    <w:p>
      <w:pPr>
        <w:pStyle w:val="null3"/>
      </w:pPr>
      <w:r>
        <w:rPr>
          <w:rFonts w:ascii="仿宋_GB2312" w:hAnsi="仿宋_GB2312" w:cs="仿宋_GB2312" w:eastAsia="仿宋_GB2312"/>
        </w:rPr>
        <w:t>邮编：710032</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采购刮刮乐彩票，用于开展即开票营销活动、福彩进婚登以及投注站销售竞赛活动。用于福彩品牌宣传等活动，以扩大福利彩票的宣传范围，提升福利彩票的品牌形象。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依据《彩票发行销售管理办法》的通知财综〔</w:t>
            </w:r>
            <w:r>
              <w:rPr>
                <w:rFonts w:ascii="仿宋_GB2312" w:hAnsi="仿宋_GB2312" w:cs="仿宋_GB2312" w:eastAsia="仿宋_GB2312"/>
                <w:sz w:val="21"/>
              </w:rPr>
              <w:t>2012〕102号第二条 彩票发行机构按照统一发行、统一管理、统一标准的原则，负责全国的彩票发行和组织销售工作。彩票销售机构在彩票发行机构的统一组织下，负责本行政区域的彩票销售工作。</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根据甲方需求按次发货，且提供的刮刮乐应完好无损。</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成交供应商</w:t>
            </w:r>
            <w:r>
              <w:rPr>
                <w:rFonts w:ascii="仿宋_GB2312" w:hAnsi="仿宋_GB2312" w:cs="仿宋_GB2312" w:eastAsia="仿宋_GB2312"/>
                <w:sz w:val="21"/>
              </w:rPr>
              <w:t>应当设有专人管理的即开型</w:t>
            </w:r>
            <w:r>
              <w:rPr>
                <w:rFonts w:ascii="仿宋_GB2312" w:hAnsi="仿宋_GB2312" w:cs="仿宋_GB2312" w:eastAsia="仿宋_GB2312"/>
                <w:sz w:val="21"/>
              </w:rPr>
              <w:t>“刮刮乐”福利彩票存储仓库，存储仓库不得存放与彩票业务无关的物品，具备防火、防水、防盗、防潮、防虫等安全功能。</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成交供应商</w:t>
            </w:r>
            <w:r>
              <w:rPr>
                <w:rFonts w:ascii="仿宋_GB2312" w:hAnsi="仿宋_GB2312" w:cs="仿宋_GB2312" w:eastAsia="仿宋_GB2312"/>
                <w:sz w:val="21"/>
              </w:rPr>
              <w:t>应当提供即开型</w:t>
            </w:r>
            <w:r>
              <w:rPr>
                <w:rFonts w:ascii="仿宋_GB2312" w:hAnsi="仿宋_GB2312" w:cs="仿宋_GB2312" w:eastAsia="仿宋_GB2312"/>
                <w:sz w:val="21"/>
              </w:rPr>
              <w:t>“刮刮乐”福利彩票专营的物流综合管理服务。</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成交供应商</w:t>
            </w:r>
            <w:r>
              <w:rPr>
                <w:rFonts w:ascii="仿宋_GB2312" w:hAnsi="仿宋_GB2312" w:cs="仿宋_GB2312" w:eastAsia="仿宋_GB2312"/>
                <w:sz w:val="21"/>
              </w:rPr>
              <w:t>应当配备相应的综合管理服务团队，综合管理服务人员应当经过上岗前培训并考试合格后方可进行物流配送等工作。</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对于采购人提出的服务要求，</w:t>
            </w:r>
            <w:r>
              <w:rPr>
                <w:rFonts w:ascii="仿宋_GB2312" w:hAnsi="仿宋_GB2312" w:cs="仿宋_GB2312" w:eastAsia="仿宋_GB2312"/>
                <w:sz w:val="21"/>
              </w:rPr>
              <w:t>成交供应商</w:t>
            </w:r>
            <w:r>
              <w:rPr>
                <w:rFonts w:ascii="仿宋_GB2312" w:hAnsi="仿宋_GB2312" w:cs="仿宋_GB2312" w:eastAsia="仿宋_GB2312"/>
                <w:sz w:val="21"/>
              </w:rPr>
              <w:t>应积极响应，响应时间不超过</w:t>
            </w:r>
            <w:r>
              <w:rPr>
                <w:rFonts w:ascii="仿宋_GB2312" w:hAnsi="仿宋_GB2312" w:cs="仿宋_GB2312" w:eastAsia="仿宋_GB2312"/>
                <w:sz w:val="21"/>
              </w:rPr>
              <w:t>2小时。</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质量要求：（</w:t>
            </w:r>
            <w:r>
              <w:rPr>
                <w:rFonts w:ascii="仿宋_GB2312" w:hAnsi="仿宋_GB2312" w:cs="仿宋_GB2312" w:eastAsia="仿宋_GB2312"/>
                <w:sz w:val="21"/>
              </w:rPr>
              <w:t>1）</w:t>
            </w:r>
            <w:r>
              <w:rPr>
                <w:rFonts w:ascii="仿宋_GB2312" w:hAnsi="仿宋_GB2312" w:cs="仿宋_GB2312" w:eastAsia="仿宋_GB2312"/>
                <w:sz w:val="21"/>
              </w:rPr>
              <w:t>成交供应商</w:t>
            </w:r>
            <w:r>
              <w:rPr>
                <w:rFonts w:ascii="仿宋_GB2312" w:hAnsi="仿宋_GB2312" w:cs="仿宋_GB2312" w:eastAsia="仿宋_GB2312"/>
                <w:sz w:val="21"/>
              </w:rPr>
              <w:t>所提供货物是全新的、未使用过的、原包装未拆封的商品，完全符合采购产品规定的质量、规格和性能的要求，所有产品外包装箱不得自行拆封，包装箱上所有标签等不得</w:t>
            </w:r>
            <w:r>
              <w:rPr>
                <w:rFonts w:ascii="仿宋_GB2312" w:hAnsi="仿宋_GB2312" w:cs="仿宋_GB2312" w:eastAsia="仿宋_GB2312"/>
                <w:sz w:val="21"/>
              </w:rPr>
              <w:t>涂改或撕毁，否则甲方有权拒绝验收，非</w:t>
            </w:r>
            <w:r>
              <w:rPr>
                <w:rFonts w:ascii="仿宋_GB2312" w:hAnsi="仿宋_GB2312" w:cs="仿宋_GB2312" w:eastAsia="仿宋_GB2312"/>
                <w:sz w:val="21"/>
              </w:rPr>
              <w:t>成交供应商</w:t>
            </w:r>
            <w:r>
              <w:rPr>
                <w:rFonts w:ascii="仿宋_GB2312" w:hAnsi="仿宋_GB2312" w:cs="仿宋_GB2312" w:eastAsia="仿宋_GB2312"/>
                <w:sz w:val="21"/>
              </w:rPr>
              <w:t>原因导致的除外。（</w:t>
            </w:r>
            <w:r>
              <w:rPr>
                <w:rFonts w:ascii="仿宋_GB2312" w:hAnsi="仿宋_GB2312" w:cs="仿宋_GB2312" w:eastAsia="仿宋_GB2312"/>
                <w:sz w:val="21"/>
              </w:rPr>
              <w:t>2）</w:t>
            </w:r>
            <w:r>
              <w:rPr>
                <w:rFonts w:ascii="仿宋_GB2312" w:hAnsi="仿宋_GB2312" w:cs="仿宋_GB2312" w:eastAsia="仿宋_GB2312"/>
                <w:sz w:val="21"/>
              </w:rPr>
              <w:t>成交供应商</w:t>
            </w:r>
            <w:r>
              <w:rPr>
                <w:rFonts w:ascii="仿宋_GB2312" w:hAnsi="仿宋_GB2312" w:cs="仿宋_GB2312" w:eastAsia="仿宋_GB2312"/>
                <w:sz w:val="21"/>
              </w:rPr>
              <w:t>应保证所提供货物涉及到的知识产权是合法取得，并享有完整的知识产权。（</w:t>
            </w:r>
            <w:r>
              <w:rPr>
                <w:rFonts w:ascii="仿宋_GB2312" w:hAnsi="仿宋_GB2312" w:cs="仿宋_GB2312" w:eastAsia="仿宋_GB2312"/>
                <w:sz w:val="21"/>
              </w:rPr>
              <w:t>3）</w:t>
            </w:r>
            <w:r>
              <w:rPr>
                <w:rFonts w:ascii="仿宋_GB2312" w:hAnsi="仿宋_GB2312" w:cs="仿宋_GB2312" w:eastAsia="仿宋_GB2312"/>
                <w:sz w:val="21"/>
              </w:rPr>
              <w:t>成交供应商</w:t>
            </w:r>
            <w:r>
              <w:rPr>
                <w:rFonts w:ascii="仿宋_GB2312" w:hAnsi="仿宋_GB2312" w:cs="仿宋_GB2312" w:eastAsia="仿宋_GB2312"/>
                <w:sz w:val="21"/>
              </w:rPr>
              <w:t>提供的货物质量应符合甲方要求或国家通用标准。</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结算方式：以采购人实际使用量进行结算。</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进度款，2026年12月20日前,根据刮刮乐彩票实际使用数量来结算。，达到付款条件起30个工作日内，支付合同总金额的90.0%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进度款，2027年6月30日前,根据刮刮乐彩票实际使用数量来结算，达到付款条件起30个工作日内，支付合同总金额的10.0%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（1）验收要求：国家标准、行业标准及采购人要求。 （2）验收依据：按照合同条款，查验提供刮刮乐彩票数量一致性、包装完好性。组织三个以上相关人员进行验收。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2.按照合同约定履行双方义务，如有违约将承担赔偿责任。在与合同有关的一切事项发生争议，由双方友好协商解决。协商不成的，向有管辖权的人民法院起诉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供应商为合法注册的法人、其他组织或自然人，提供营业执照等证明文件。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财务状况报告（任选其一）</w:t>
            </w:r>
          </w:p>
        </w:tc>
        <w:tc>
          <w:tcPr>
            <w:tcW w:type="dxa" w:w="3322"/>
          </w:tcPr>
          <w:p>
            <w:pPr>
              <w:pStyle w:val="null3"/>
            </w:pPr>
            <w:r>
              <w:rPr>
                <w:rFonts w:ascii="仿宋_GB2312" w:hAnsi="仿宋_GB2312" w:cs="仿宋_GB2312" w:eastAsia="仿宋_GB2312"/>
              </w:rPr>
              <w:t>供应商提供2024年度或2025年度经审计的财务报告或磋商截止时间前三个月内其基本开户银行出具的资信证明及账户开户许可证明材料或财政部门认可的政府采购专业担保机构开具的投标担保函。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提供响应文件递交截止日前一年内已缴存的至少一个月的纳税证明或完税证明。依法免税的供应商应提供相关文件证明。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提供具有履行本合同所必需的设备和专业技术能力的声明或承诺。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法定代表人参加磋商的，须提供法人身份证明及本人身份证复印件；法定代表人授权他人参加磋商的，须提供法定代表人授权委托书。采购文件中凡是需要法定代表人盖章之处，非法人单位的负责人均参照执行。</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符合单一来源采购文件要求</w:t>
            </w:r>
          </w:p>
        </w:tc>
        <w:tc>
          <w:tcPr>
            <w:tcW w:type="dxa" w:w="1661"/>
          </w:tcPr>
          <w:p>
            <w:pPr>
              <w:pStyle w:val="null3"/>
            </w:pPr>
            <w:r>
              <w:rPr>
                <w:rFonts w:ascii="仿宋_GB2312" w:hAnsi="仿宋_GB2312" w:cs="仿宋_GB2312" w:eastAsia="仿宋_GB2312"/>
              </w:rPr>
              <w:t>响应文件封面 服务方案 标的清单 报价表 商务应答表.docx 服务内容及服务邀请应答表.docx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