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版本号：HHZB2026-CS-03320260612001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2026年临潼法院档案委托管理项目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HHZB2026-CS-033</w:t>
      </w:r>
      <w:r>
        <w:br/>
      </w:r>
      <w:r>
        <w:br/>
      </w:r>
      <w:r>
        <w:br/>
      </w:r>
    </w:p>
    <w:p>
      <w:pPr>
        <w:pStyle w:val="null3"/>
        <w:jc w:val="center"/>
        <w:outlineLvl w:val="2"/>
      </w:pPr>
      <w:r>
        <w:rPr>
          <w:rFonts w:ascii="仿宋_GB2312" w:hAnsi="仿宋_GB2312" w:cs="仿宋_GB2312" w:eastAsia="仿宋_GB2312"/>
          <w:sz w:val="28"/>
          <w:b/>
        </w:rPr>
        <w:t>西安市临潼区人民法院[161]</w:t>
      </w:r>
    </w:p>
    <w:p>
      <w:pPr>
        <w:pStyle w:val="null3"/>
        <w:jc w:val="center"/>
        <w:outlineLvl w:val="2"/>
      </w:pPr>
      <w:r>
        <w:rPr>
          <w:rFonts w:ascii="仿宋_GB2312" w:hAnsi="仿宋_GB2312" w:cs="仿宋_GB2312" w:eastAsia="仿宋_GB2312"/>
          <w:sz w:val="28"/>
          <w:b/>
        </w:rPr>
        <w:t>陕西瀚海昱源企业管理咨询有限公司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陕西瀚海昱源企业管理咨询有限公司</w:t>
      </w:r>
      <w:r>
        <w:rPr>
          <w:rFonts w:ascii="仿宋_GB2312" w:hAnsi="仿宋_GB2312" w:cs="仿宋_GB2312" w:eastAsia="仿宋_GB2312"/>
        </w:rPr>
        <w:t>（以下简称“代理机构”）受</w:t>
      </w:r>
      <w:r>
        <w:rPr>
          <w:rFonts w:ascii="仿宋_GB2312" w:hAnsi="仿宋_GB2312" w:cs="仿宋_GB2312" w:eastAsia="仿宋_GB2312"/>
        </w:rPr>
        <w:t>西安市临潼区人民法院[161]</w:t>
      </w:r>
      <w:r>
        <w:rPr>
          <w:rFonts w:ascii="仿宋_GB2312" w:hAnsi="仿宋_GB2312" w:cs="仿宋_GB2312" w:eastAsia="仿宋_GB2312"/>
        </w:rPr>
        <w:t>委托，拟对</w:t>
      </w:r>
      <w:r>
        <w:rPr>
          <w:rFonts w:ascii="仿宋_GB2312" w:hAnsi="仿宋_GB2312" w:cs="仿宋_GB2312" w:eastAsia="仿宋_GB2312"/>
        </w:rPr>
        <w:t>2026年临潼法院档案委托管理项目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HHZB2026-CS-033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2026年临潼法院档案委托管理项目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临潼区人民法院积存档案案卷较多，纸质化档案较多。现急需对积存档案寄存并托管至资质齐全、设施完备、管理规范、符合国家档案保管标准的第三方专业档案库房，通过专业化、标准化、智能化的第三方进行档案托管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采购包1（2026年临潼法院档案委托管理项目）：属于专门面向中小企业采购。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2、财务状况报告：供应商需提供具有财务审计资质单位出具的2025年度财务报告或开标前六个月内其基 本账户银行出具的资信证明或财政部门认可的 政府采购专业担保机构出具的担保函，以上形 式的证明资料提供任何一种即可。</w:t>
      </w:r>
    </w:p>
    <w:p>
      <w:pPr>
        <w:pStyle w:val="null3"/>
      </w:pPr>
      <w:r>
        <w:rPr>
          <w:rFonts w:ascii="仿宋_GB2312" w:hAnsi="仿宋_GB2312" w:cs="仿宋_GB2312" w:eastAsia="仿宋_GB2312"/>
        </w:rPr>
        <w:t>3、税收缴纳证明：提供已缴纳的 2025年11月1日以来至少一个月的纳税证明或完税证明，纳税证明或完税证明上应有代收机构或税务机关的公章或业务专用章。依法免税的投标人应提供相关文件证明。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社保缴纳证明：提供已缴纳的2025年11月1日以来至少一个月的社会保障资金缴存单据或社保机构开具的社会保险参保缴费情况证明。成立时间至提交投标文件截止时间不足一个月或依法不需要缴纳社会保障资金的投标人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6、信用记录：投标供应商不得被“信用中国”（www.creditch ina.gov.cn）列入重大税收违法失信主体；不得被“中国执行信息公开网”（http://zxgk.cour t.gov.cn/shixin/）列入失信被执行人名单；不得被“中国政府采购网”（www.ccgp.gov.cn） 列入政府采购严重违法失信行为记录名单。</w:t>
      </w:r>
    </w:p>
    <w:p>
      <w:pPr>
        <w:pStyle w:val="null3"/>
      </w:pPr>
      <w:r>
        <w:rPr>
          <w:rFonts w:ascii="仿宋_GB2312" w:hAnsi="仿宋_GB2312" w:cs="仿宋_GB2312" w:eastAsia="仿宋_GB2312"/>
        </w:rPr>
        <w:t>7、法定代表人授权委托书：法定代表人直接参加投标的须出具法定代表人身份证（须与营业执照上信息一致），法定代表人授权代表参加投标的须出具法定代表人授权书及授权代表身份证。</w:t>
      </w:r>
    </w:p>
    <w:p>
      <w:pPr>
        <w:pStyle w:val="null3"/>
      </w:pPr>
      <w:r>
        <w:rPr>
          <w:rFonts w:ascii="仿宋_GB2312" w:hAnsi="仿宋_GB2312" w:cs="仿宋_GB2312" w:eastAsia="仿宋_GB2312"/>
        </w:rPr>
        <w:t>8、控股、管理关系：单位负责人为同一人或者存在控股、管理关系的不同单位，不得同时参加同一项目的投标。</w:t>
      </w:r>
    </w:p>
    <w:p>
      <w:pPr>
        <w:pStyle w:val="null3"/>
      </w:pPr>
      <w:r>
        <w:rPr>
          <w:rFonts w:ascii="仿宋_GB2312" w:hAnsi="仿宋_GB2312" w:cs="仿宋_GB2312" w:eastAsia="仿宋_GB2312"/>
        </w:rPr>
        <w:t>9、联合体投标及分包：本项目不接受联合体投标，不允许分包。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西安市临潼区人民法院[161]</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西安市临潼区人民北路4号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029-83812205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陕西瀚海昱源企业管理咨询有限公司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陕西省西安市高新区高新路枫叶大厦1幢C1301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陈恺、马超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13359182918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收取参考国家计委颁布的《招标代理服务收费管理暂行办法》（计价格[2002]1980号）和（发改办价格[2003]857号）文收费标准计取，2.单位名称：陕西瀚海昱源企业管理咨询有限公司 开户银行：招商银行股份有限公司西安分行营业部 银行账户：129914053710601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西安市临潼区人民法院[161]</w:t>
      </w:r>
      <w:r>
        <w:rPr>
          <w:rFonts w:ascii="仿宋_GB2312" w:hAnsi="仿宋_GB2312" w:cs="仿宋_GB2312" w:eastAsia="仿宋_GB2312"/>
        </w:rPr>
        <w:t>和</w:t>
      </w:r>
      <w:r>
        <w:rPr>
          <w:rFonts w:ascii="仿宋_GB2312" w:hAnsi="仿宋_GB2312" w:cs="仿宋_GB2312" w:eastAsia="仿宋_GB2312"/>
        </w:rPr>
        <w:t>陕西瀚海昱源企业管理咨询有限公司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西安市临潼区人民法院[161]</w:t>
      </w:r>
      <w:r>
        <w:rPr>
          <w:rFonts w:ascii="仿宋_GB2312" w:hAnsi="仿宋_GB2312" w:cs="仿宋_GB2312" w:eastAsia="仿宋_GB2312"/>
        </w:rPr>
        <w:t>负责解释。除上述磋商文件内容，其他内容由</w:t>
      </w:r>
      <w:r>
        <w:rPr>
          <w:rFonts w:ascii="仿宋_GB2312" w:hAnsi="仿宋_GB2312" w:cs="仿宋_GB2312" w:eastAsia="仿宋_GB2312"/>
        </w:rPr>
        <w:t>陕西瀚海昱源企业管理咨询有限公司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西安市临潼区人民法院[161]</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陕西瀚海昱源企业管理咨询有限公司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陕西瀚海昱源企业管理咨询有限公司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陕西瀚海昱源企业管理咨询有限公司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陕西瀚海昱源企业管理咨询有限公司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联系人：陈恺</w:t>
      </w:r>
    </w:p>
    <w:p>
      <w:pPr>
        <w:pStyle w:val="null3"/>
      </w:pPr>
      <w:r>
        <w:rPr>
          <w:rFonts w:ascii="仿宋_GB2312" w:hAnsi="仿宋_GB2312" w:cs="仿宋_GB2312" w:eastAsia="仿宋_GB2312"/>
        </w:rPr>
        <w:t>联系电话：13359182918</w:t>
      </w:r>
    </w:p>
    <w:p>
      <w:pPr>
        <w:pStyle w:val="null3"/>
      </w:pPr>
      <w:r>
        <w:rPr>
          <w:rFonts w:ascii="仿宋_GB2312" w:hAnsi="仿宋_GB2312" w:cs="仿宋_GB2312" w:eastAsia="仿宋_GB2312"/>
        </w:rPr>
        <w:t>地址：西安市高新区高新路枫叶大厦C座1301室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临潼区人民法院积存档案案卷较多，纸质化档案较多。现急需对积存档案寄存并托管至资质齐全、设施完备、管理规范、符合国家档案保管标准的第三方专业档案库房，通过专业化、标准化、智能化的第三方进行档案托管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2026年临潼法院档案委托管理项目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仓储业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标的名称：2026年临潼法院档案委托管理项目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ind w:firstLine="482"/>
              <w:jc w:val="left"/>
            </w:pPr>
            <w:r>
              <w:rPr>
                <w:rFonts w:ascii="仿宋_GB2312" w:hAnsi="仿宋_GB2312" w:cs="仿宋_GB2312" w:eastAsia="仿宋_GB2312"/>
                <w:sz w:val="28"/>
                <w:b/>
              </w:rPr>
              <w:t>项目概况</w:t>
            </w:r>
          </w:p>
          <w:p>
            <w:pPr>
              <w:pStyle w:val="null3"/>
              <w:ind w:firstLine="480"/>
              <w:jc w:val="both"/>
            </w:pPr>
            <w:r>
              <w:rPr>
                <w:rFonts w:ascii="仿宋_GB2312" w:hAnsi="仿宋_GB2312" w:cs="仿宋_GB2312" w:eastAsia="仿宋_GB2312"/>
                <w:sz w:val="24"/>
                <w:color w:val="000000"/>
              </w:rPr>
              <w:t>西安市临潼区人民法院积存档案案卷较多，纸质化档案较多。现急需对积存档案</w:t>
            </w:r>
            <w:r>
              <w:rPr>
                <w:rFonts w:ascii="仿宋_GB2312" w:hAnsi="仿宋_GB2312" w:cs="仿宋_GB2312" w:eastAsia="仿宋_GB2312"/>
                <w:sz w:val="24"/>
              </w:rPr>
              <w:t>寄存并托管至资质齐全、设施完备、管理规范、符合国家档案保管标准的第三方专业档案库房，通过专业化、标准化、智能化的第三方</w:t>
            </w:r>
            <w:r>
              <w:rPr>
                <w:rFonts w:ascii="仿宋_GB2312" w:hAnsi="仿宋_GB2312" w:cs="仿宋_GB2312" w:eastAsia="仿宋_GB2312"/>
                <w:sz w:val="24"/>
              </w:rPr>
              <w:t>进行</w:t>
            </w:r>
            <w:r>
              <w:rPr>
                <w:rFonts w:ascii="仿宋_GB2312" w:hAnsi="仿宋_GB2312" w:cs="仿宋_GB2312" w:eastAsia="仿宋_GB2312"/>
                <w:sz w:val="24"/>
              </w:rPr>
              <w:t>档案托管服务</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合同包预算总金额为</w:t>
            </w:r>
            <w:r>
              <w:rPr>
                <w:rFonts w:ascii="仿宋_GB2312" w:hAnsi="仿宋_GB2312" w:cs="仿宋_GB2312" w:eastAsia="仿宋_GB2312"/>
                <w:sz w:val="24"/>
                <w:color w:val="000000"/>
                <w:u w:val="single"/>
              </w:rPr>
              <w:t>250000</w:t>
            </w:r>
            <w:r>
              <w:rPr>
                <w:rFonts w:ascii="仿宋_GB2312" w:hAnsi="仿宋_GB2312" w:cs="仿宋_GB2312" w:eastAsia="仿宋_GB2312"/>
                <w:sz w:val="24"/>
                <w:color w:val="000000"/>
              </w:rPr>
              <w:t>元</w:t>
            </w:r>
            <w:r>
              <w:rPr>
                <w:rFonts w:ascii="仿宋_GB2312" w:hAnsi="仿宋_GB2312" w:cs="仿宋_GB2312" w:eastAsia="仿宋_GB2312"/>
                <w:sz w:val="24"/>
              </w:rPr>
              <w:t>（大写：</w:t>
            </w:r>
            <w:r>
              <w:rPr>
                <w:rFonts w:ascii="仿宋_GB2312" w:hAnsi="仿宋_GB2312" w:cs="仿宋_GB2312" w:eastAsia="仿宋_GB2312"/>
                <w:sz w:val="24"/>
              </w:rPr>
              <w:t>贰拾伍万</w:t>
            </w:r>
            <w:r>
              <w:rPr>
                <w:rFonts w:ascii="仿宋_GB2312" w:hAnsi="仿宋_GB2312" w:cs="仿宋_GB2312" w:eastAsia="仿宋_GB2312"/>
                <w:sz w:val="24"/>
              </w:rPr>
              <w:t>元整）</w:t>
            </w:r>
            <w:r>
              <w:rPr>
                <w:rFonts w:ascii="仿宋_GB2312" w:hAnsi="仿宋_GB2312" w:cs="仿宋_GB2312" w:eastAsia="仿宋_GB2312"/>
                <w:sz w:val="24"/>
                <w:color w:val="000000"/>
              </w:rPr>
              <w:t>，</w:t>
            </w:r>
            <w:r>
              <w:rPr>
                <w:rFonts w:ascii="仿宋_GB2312" w:hAnsi="仿宋_GB2312" w:cs="仿宋_GB2312" w:eastAsia="仿宋_GB2312"/>
                <w:sz w:val="24"/>
              </w:rPr>
              <w:t>本项目采用固定单价合同模式，供应商最终报价不得超过本项目设定的最高</w:t>
            </w:r>
            <w:r>
              <w:rPr>
                <w:rFonts w:ascii="仿宋_GB2312" w:hAnsi="仿宋_GB2312" w:cs="仿宋_GB2312" w:eastAsia="仿宋_GB2312"/>
                <w:sz w:val="24"/>
              </w:rPr>
              <w:t>单价</w:t>
            </w:r>
            <w:r>
              <w:rPr>
                <w:rFonts w:ascii="仿宋_GB2312" w:hAnsi="仿宋_GB2312" w:cs="仿宋_GB2312" w:eastAsia="仿宋_GB2312"/>
                <w:sz w:val="24"/>
              </w:rPr>
              <w:t>限价</w:t>
            </w:r>
            <w:r>
              <w:rPr>
                <w:rFonts w:ascii="仿宋_GB2312" w:hAnsi="仿宋_GB2312" w:cs="仿宋_GB2312" w:eastAsia="仿宋_GB2312"/>
                <w:sz w:val="24"/>
              </w:rPr>
              <w:t>。</w:t>
            </w:r>
            <w:r>
              <w:rPr>
                <w:rFonts w:ascii="仿宋_GB2312" w:hAnsi="仿宋_GB2312" w:cs="仿宋_GB2312" w:eastAsia="仿宋_GB2312"/>
                <w:sz w:val="24"/>
              </w:rPr>
              <w:t>结合我院档案存量实际情况</w:t>
            </w:r>
            <w:r>
              <w:rPr>
                <w:rFonts w:ascii="仿宋_GB2312" w:hAnsi="仿宋_GB2312" w:cs="仿宋_GB2312" w:eastAsia="仿宋_GB2312"/>
                <w:sz w:val="24"/>
              </w:rPr>
              <w:t>，</w:t>
            </w:r>
            <w:r>
              <w:rPr>
                <w:rFonts w:ascii="仿宋_GB2312" w:hAnsi="仿宋_GB2312" w:cs="仿宋_GB2312" w:eastAsia="仿宋_GB2312"/>
                <w:sz w:val="24"/>
              </w:rPr>
              <w:t>采购人结合本项目设定档案托管单箱单价最高限价为</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历史档案托管</w:t>
            </w:r>
            <w:r>
              <w:rPr>
                <w:rFonts w:ascii="仿宋_GB2312" w:hAnsi="仿宋_GB2312" w:cs="仿宋_GB2312" w:eastAsia="仿宋_GB2312"/>
                <w:sz w:val="24"/>
                <w:u w:val="single"/>
              </w:rPr>
              <w:t>60</w:t>
            </w:r>
            <w:r>
              <w:rPr>
                <w:rFonts w:ascii="仿宋_GB2312" w:hAnsi="仿宋_GB2312" w:cs="仿宋_GB2312" w:eastAsia="仿宋_GB2312"/>
                <w:sz w:val="24"/>
              </w:rPr>
              <w:t>元</w:t>
            </w:r>
            <w:r>
              <w:rPr>
                <w:rFonts w:ascii="仿宋_GB2312" w:hAnsi="仿宋_GB2312" w:cs="仿宋_GB2312" w:eastAsia="仿宋_GB2312"/>
                <w:sz w:val="24"/>
              </w:rPr>
              <w:t>/箱</w:t>
            </w:r>
            <w:r>
              <w:rPr>
                <w:rFonts w:ascii="仿宋_GB2312" w:hAnsi="仿宋_GB2312" w:cs="仿宋_GB2312" w:eastAsia="仿宋_GB2312"/>
                <w:sz w:val="24"/>
              </w:rPr>
              <w:t>/年</w:t>
            </w:r>
            <w:r>
              <w:rPr>
                <w:rFonts w:ascii="仿宋_GB2312" w:hAnsi="仿宋_GB2312" w:cs="仿宋_GB2312" w:eastAsia="仿宋_GB2312"/>
                <w:sz w:val="24"/>
              </w:rPr>
              <w:t>（人民币）</w:t>
            </w:r>
            <w:r>
              <w:rPr>
                <w:rFonts w:ascii="仿宋_GB2312" w:hAnsi="仿宋_GB2312" w:cs="仿宋_GB2312" w:eastAsia="仿宋_GB2312"/>
                <w:sz w:val="24"/>
                <w:color w:val="000000"/>
              </w:rPr>
              <w:t>，新增档案托管</w:t>
            </w:r>
            <w:r>
              <w:rPr>
                <w:rFonts w:ascii="仿宋_GB2312" w:hAnsi="仿宋_GB2312" w:cs="仿宋_GB2312" w:eastAsia="仿宋_GB2312"/>
                <w:sz w:val="24"/>
                <w:u w:val="single"/>
              </w:rPr>
              <w:t>40</w:t>
            </w:r>
            <w:r>
              <w:rPr>
                <w:rFonts w:ascii="仿宋_GB2312" w:hAnsi="仿宋_GB2312" w:cs="仿宋_GB2312" w:eastAsia="仿宋_GB2312"/>
                <w:sz w:val="24"/>
              </w:rPr>
              <w:t>元</w:t>
            </w:r>
            <w:r>
              <w:rPr>
                <w:rFonts w:ascii="仿宋_GB2312" w:hAnsi="仿宋_GB2312" w:cs="仿宋_GB2312" w:eastAsia="仿宋_GB2312"/>
                <w:sz w:val="24"/>
              </w:rPr>
              <w:t>/箱</w:t>
            </w:r>
            <w:r>
              <w:rPr>
                <w:rFonts w:ascii="仿宋_GB2312" w:hAnsi="仿宋_GB2312" w:cs="仿宋_GB2312" w:eastAsia="仿宋_GB2312"/>
                <w:sz w:val="24"/>
              </w:rPr>
              <w:t>/年</w:t>
            </w:r>
            <w:r>
              <w:rPr>
                <w:rFonts w:ascii="仿宋_GB2312" w:hAnsi="仿宋_GB2312" w:cs="仿宋_GB2312" w:eastAsia="仿宋_GB2312"/>
                <w:sz w:val="24"/>
              </w:rPr>
              <w:t>（人民币）</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供应商须在上述单价限价范围内，结合项目实际服务内容及全部服务需求自主合理报价。本次报价为全费用综合单价，包含完成本项目全部服务内容所需的一切费用，采购人不再另行支付任何其他费用。</w:t>
            </w:r>
          </w:p>
          <w:p>
            <w:pPr>
              <w:pStyle w:val="null3"/>
              <w:jc w:val="both"/>
            </w:pPr>
            <w:r>
              <w:rPr>
                <w:rFonts w:ascii="仿宋_GB2312" w:hAnsi="仿宋_GB2312" w:cs="仿宋_GB2312" w:eastAsia="仿宋_GB2312"/>
                <w:sz w:val="24"/>
              </w:rPr>
              <w:t>合同签订后，按照中标</w:t>
            </w:r>
            <w:r>
              <w:rPr>
                <w:rFonts w:ascii="仿宋_GB2312" w:hAnsi="仿宋_GB2312" w:cs="仿宋_GB2312" w:eastAsia="仿宋_GB2312"/>
                <w:sz w:val="24"/>
              </w:rPr>
              <w:t>单价</w:t>
            </w:r>
            <w:r>
              <w:rPr>
                <w:rFonts w:ascii="仿宋_GB2312" w:hAnsi="仿宋_GB2312" w:cs="仿宋_GB2312" w:eastAsia="仿宋_GB2312"/>
                <w:sz w:val="24"/>
              </w:rPr>
              <w:t>据实结算，直至本项目预算额度使用完毕</w:t>
            </w:r>
            <w:r>
              <w:rPr>
                <w:rFonts w:ascii="仿宋_GB2312" w:hAnsi="仿宋_GB2312" w:cs="仿宋_GB2312" w:eastAsia="仿宋_GB2312"/>
                <w:sz w:val="24"/>
              </w:rPr>
              <w:t>为止</w:t>
            </w:r>
            <w:r>
              <w:rPr>
                <w:rFonts w:ascii="仿宋_GB2312" w:hAnsi="仿宋_GB2312" w:cs="仿宋_GB2312" w:eastAsia="仿宋_GB2312"/>
                <w:sz w:val="24"/>
              </w:rPr>
              <w:t>，项目服务终止。</w:t>
            </w:r>
          </w:p>
          <w:p>
            <w:pPr>
              <w:pStyle w:val="null3"/>
              <w:numPr>
                <w:ilvl w:val="0"/>
                <w:numId w:val="1"/>
              </w:numPr>
              <w:jc w:val="both"/>
            </w:pPr>
            <w:r>
              <w:rPr>
                <w:rFonts w:ascii="仿宋_GB2312" w:hAnsi="仿宋_GB2312" w:cs="仿宋_GB2312" w:eastAsia="仿宋_GB2312"/>
                <w:sz w:val="28"/>
                <w:b/>
              </w:rPr>
              <w:t>服务内容</w:t>
            </w:r>
          </w:p>
          <w:p>
            <w:pPr>
              <w:pStyle w:val="null3"/>
              <w:ind w:firstLine="480"/>
              <w:jc w:val="left"/>
            </w:pPr>
            <w:r>
              <w:rPr>
                <w:rFonts w:ascii="仿宋_GB2312" w:hAnsi="仿宋_GB2312" w:cs="仿宋_GB2312" w:eastAsia="仿宋_GB2312"/>
                <w:sz w:val="24"/>
              </w:rPr>
              <w:t>1.工作区域：</w:t>
            </w:r>
            <w:r>
              <w:rPr>
                <w:rFonts w:ascii="仿宋_GB2312" w:hAnsi="仿宋_GB2312" w:cs="仿宋_GB2312" w:eastAsia="仿宋_GB2312"/>
                <w:sz w:val="24"/>
              </w:rPr>
              <w:t>采购人指定地点</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2.工作内容：</w:t>
            </w:r>
          </w:p>
          <w:p>
            <w:pPr>
              <w:pStyle w:val="null3"/>
              <w:ind w:firstLine="480"/>
              <w:jc w:val="left"/>
            </w:pPr>
            <w:r>
              <w:rPr>
                <w:rFonts w:ascii="仿宋_GB2312" w:hAnsi="仿宋_GB2312" w:cs="仿宋_GB2312" w:eastAsia="仿宋_GB2312"/>
                <w:sz w:val="24"/>
              </w:rPr>
              <w:t>2.1</w:t>
            </w:r>
            <w:r>
              <w:rPr>
                <w:rFonts w:ascii="仿宋_GB2312" w:hAnsi="仿宋_GB2312" w:cs="仿宋_GB2312" w:eastAsia="仿宋_GB2312"/>
                <w:sz w:val="24"/>
              </w:rPr>
              <w:t>档案保管</w:t>
            </w:r>
          </w:p>
          <w:p>
            <w:pPr>
              <w:pStyle w:val="null3"/>
              <w:ind w:firstLine="480"/>
              <w:jc w:val="left"/>
            </w:pPr>
            <w:r>
              <w:rPr>
                <w:rFonts w:ascii="仿宋_GB2312" w:hAnsi="仿宋_GB2312" w:cs="仿宋_GB2312" w:eastAsia="仿宋_GB2312"/>
                <w:sz w:val="24"/>
              </w:rPr>
              <w:t>合作双方对拟托管的档案进行清点、交接、搬运。投标人应使用仓储货架摆放档案。在合作期限内，投标人接收并妥善保管</w:t>
            </w:r>
            <w:r>
              <w:rPr>
                <w:rFonts w:ascii="仿宋_GB2312" w:hAnsi="仿宋_GB2312" w:cs="仿宋_GB2312" w:eastAsia="仿宋_GB2312"/>
                <w:sz w:val="24"/>
              </w:rPr>
              <w:t>招标人档案。</w:t>
            </w:r>
          </w:p>
          <w:p>
            <w:pPr>
              <w:pStyle w:val="null3"/>
              <w:ind w:firstLine="480"/>
              <w:jc w:val="left"/>
            </w:pPr>
            <w:r>
              <w:rPr>
                <w:rFonts w:ascii="仿宋_GB2312" w:hAnsi="仿宋_GB2312" w:cs="仿宋_GB2312" w:eastAsia="仿宋_GB2312"/>
                <w:sz w:val="24"/>
              </w:rPr>
              <w:t>2.2</w:t>
            </w:r>
            <w:r>
              <w:rPr>
                <w:rFonts w:ascii="仿宋_GB2312" w:hAnsi="仿宋_GB2312" w:cs="仿宋_GB2312" w:eastAsia="仿宋_GB2312"/>
                <w:sz w:val="24"/>
              </w:rPr>
              <w:t>调阅服务</w:t>
            </w:r>
          </w:p>
          <w:p>
            <w:pPr>
              <w:pStyle w:val="null3"/>
              <w:jc w:val="both"/>
            </w:pPr>
            <w:r>
              <w:rPr>
                <w:rFonts w:ascii="仿宋_GB2312" w:hAnsi="仿宋_GB2312" w:cs="仿宋_GB2312" w:eastAsia="仿宋_GB2312"/>
                <w:sz w:val="24"/>
              </w:rPr>
              <w:t>在对托管档案提供日常妥善保管、安全维护服务的同时，投标人及其专业团队还应对招标人提出的调阅档案请求提供查、借阅服务。</w:t>
            </w:r>
          </w:p>
          <w:p>
            <w:pPr>
              <w:pStyle w:val="null3"/>
              <w:numPr>
                <w:ilvl w:val="0"/>
                <w:numId w:val="1"/>
              </w:numPr>
              <w:jc w:val="both"/>
            </w:pPr>
            <w:r>
              <w:rPr>
                <w:rFonts w:ascii="仿宋_GB2312" w:hAnsi="仿宋_GB2312" w:cs="仿宋_GB2312" w:eastAsia="仿宋_GB2312"/>
                <w:sz w:val="28"/>
                <w:b/>
              </w:rPr>
              <w:t>技术要求</w:t>
            </w:r>
          </w:p>
          <w:p>
            <w:pPr>
              <w:pStyle w:val="null3"/>
              <w:ind w:firstLine="480"/>
              <w:jc w:val="left"/>
            </w:pPr>
            <w:r>
              <w:rPr>
                <w:rFonts w:ascii="仿宋_GB2312" w:hAnsi="仿宋_GB2312" w:cs="仿宋_GB2312" w:eastAsia="仿宋_GB2312"/>
                <w:sz w:val="24"/>
              </w:rPr>
              <w:t>1、档案存放要求货架保存。</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投标人档案存放库房达到</w:t>
            </w:r>
            <w:r>
              <w:rPr>
                <w:rFonts w:ascii="仿宋_GB2312" w:hAnsi="仿宋_GB2312" w:cs="仿宋_GB2312" w:eastAsia="仿宋_GB2312"/>
                <w:sz w:val="24"/>
              </w:rPr>
              <w:t>“十防”安全防护标准：防火、防潮、防</w:t>
            </w:r>
            <w:r>
              <w:rPr>
                <w:rFonts w:ascii="仿宋_GB2312" w:hAnsi="仿宋_GB2312" w:cs="仿宋_GB2312" w:eastAsia="仿宋_GB2312"/>
                <w:sz w:val="24"/>
              </w:rPr>
              <w:t>霉</w:t>
            </w:r>
            <w:r>
              <w:rPr>
                <w:rFonts w:ascii="仿宋_GB2312" w:hAnsi="仿宋_GB2312" w:cs="仿宋_GB2312" w:eastAsia="仿宋_GB2312"/>
                <w:sz w:val="24"/>
              </w:rPr>
              <w:t>、防尘、防鼠、防盗、防光、防虫、防水、防</w:t>
            </w:r>
            <w:r>
              <w:rPr>
                <w:rFonts w:ascii="仿宋_GB2312" w:hAnsi="仿宋_GB2312" w:cs="仿宋_GB2312" w:eastAsia="仿宋_GB2312"/>
                <w:sz w:val="24"/>
              </w:rPr>
              <w:t>有害气体</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color w:val="000000"/>
              </w:rPr>
              <w:t>档案箱规格内径：不小于</w:t>
            </w:r>
            <w:r>
              <w:rPr>
                <w:rFonts w:ascii="仿宋_GB2312" w:hAnsi="仿宋_GB2312" w:cs="仿宋_GB2312" w:eastAsia="仿宋_GB2312"/>
                <w:sz w:val="21"/>
              </w:rPr>
              <w:t>4</w:t>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2.5</w:t>
            </w:r>
            <w:r>
              <w:rPr>
                <w:rFonts w:ascii="仿宋_GB2312" w:hAnsi="仿宋_GB2312" w:cs="仿宋_GB2312" w:eastAsia="仿宋_GB2312"/>
                <w:sz w:val="21"/>
              </w:rPr>
              <w:t>*25</w:t>
            </w:r>
            <w:r>
              <w:rPr>
                <w:rFonts w:ascii="仿宋_GB2312" w:hAnsi="仿宋_GB2312" w:cs="仿宋_GB2312" w:eastAsia="仿宋_GB2312"/>
                <w:sz w:val="24"/>
                <w:color w:val="000000"/>
              </w:rPr>
              <w:t>立方厘米。</w:t>
            </w:r>
          </w:p>
          <w:p>
            <w:pPr>
              <w:pStyle w:val="null3"/>
              <w:numPr>
                <w:ilvl w:val="0"/>
                <w:numId w:val="1"/>
              </w:numPr>
              <w:jc w:val="both"/>
            </w:pPr>
            <w:r>
              <w:rPr>
                <w:rFonts w:ascii="仿宋_GB2312" w:hAnsi="仿宋_GB2312" w:cs="仿宋_GB2312" w:eastAsia="仿宋_GB2312"/>
                <w:sz w:val="28"/>
                <w:b/>
              </w:rPr>
              <w:t>服务要求</w:t>
            </w:r>
          </w:p>
          <w:p>
            <w:pPr>
              <w:pStyle w:val="null3"/>
              <w:ind w:firstLine="480"/>
              <w:jc w:val="left"/>
            </w:pPr>
            <w:r>
              <w:rPr>
                <w:rFonts w:ascii="仿宋_GB2312" w:hAnsi="仿宋_GB2312" w:cs="仿宋_GB2312" w:eastAsia="仿宋_GB2312"/>
                <w:sz w:val="24"/>
              </w:rPr>
              <w:t>1、服务标准要求：符合</w:t>
            </w:r>
            <w:r>
              <w:rPr>
                <w:rFonts w:ascii="仿宋_GB2312" w:hAnsi="仿宋_GB2312" w:cs="仿宋_GB2312" w:eastAsia="仿宋_GB2312"/>
                <w:sz w:val="24"/>
              </w:rPr>
              <w:t>《档案保管外包服务管理规范》、《档案服务外包工作规范》等相关法律、法规</w:t>
            </w:r>
            <w:r>
              <w:rPr>
                <w:rFonts w:ascii="仿宋_GB2312" w:hAnsi="仿宋_GB2312" w:cs="仿宋_GB2312" w:eastAsia="仿宋_GB2312"/>
                <w:sz w:val="24"/>
              </w:rPr>
              <w:t>标准要求</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2、调阅要求：免费实体配送调阅服务每年不少于</w:t>
            </w:r>
            <w:r>
              <w:rPr>
                <w:rFonts w:ascii="仿宋_GB2312" w:hAnsi="仿宋_GB2312" w:cs="仿宋_GB2312" w:eastAsia="仿宋_GB2312"/>
                <w:sz w:val="24"/>
              </w:rPr>
              <w:t>100次。</w:t>
            </w:r>
          </w:p>
          <w:p>
            <w:pPr>
              <w:pStyle w:val="null3"/>
              <w:ind w:firstLine="480"/>
              <w:jc w:val="left"/>
            </w:pPr>
            <w:r>
              <w:rPr>
                <w:rFonts w:ascii="仿宋_GB2312" w:hAnsi="仿宋_GB2312" w:cs="仿宋_GB2312" w:eastAsia="仿宋_GB2312"/>
                <w:sz w:val="24"/>
              </w:rPr>
              <w:t>3、人员要求：</w:t>
            </w:r>
            <w:r>
              <w:rPr>
                <w:rFonts w:ascii="仿宋_GB2312" w:hAnsi="仿宋_GB2312" w:cs="仿宋_GB2312" w:eastAsia="仿宋_GB2312"/>
                <w:sz w:val="24"/>
              </w:rPr>
              <w:t>项目服务团队技术力量配备合理，人员岗位职责明确，有与工作需要相适应的档案专业技术人员。</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以中标单价结合实际产生的量核算，本合同以项目预算总金额用完为止作为合同到期的核心标准。预计服务期时长约为1年(根据实际托管数量、托管单价确认)，自合同签订生效之日起计算，至项目预算总金额使用完毕既合同终止(即使未满1年亦视为到期)。若服务期满1年但项目预算总金额仍有剩余，双方可协商签订补充协议或按实际结算终止合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合同服务期约为一年，按照中标单价据实结算，直至项目预算金额用完为止。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预付款，自合同签订生效起，达到付款条件起15个工作日内，支付合同总金额的55.0%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进度款，项目实施过程中，根据实施进度验收，验收由乙方提出书面申请报告，甲方确认签字后进行结算，达到付款条件起15个工作日内，支付合同总金额的45.0%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1.供应商最后报价时同步上传“最后分项报价表”至附件。 2.中标供应商在采购结果发布后3个工作日内向代理机构提交纸质版响应文件以便于存档，响应文件正本1份，副本2份，电子版文件2份（以U盘为载体，电子版内容包括Word版本、签字盖章扫描后的PDF版本响应文件）。纸质响应文件均须A4纸打印，分别各自装订成册并编制目录和页码并加盖鲜章。 3.线下递交响应文件地点：西安市雁塔区高新路枫叶大厦C座1301室。 4.如招标文件中融资相关内容与新政策要求有出入，按照最新要求执行。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供应商需提供具有财务审计资质单位出具的2025年度财务报告或开标前六个月内其基 本账户银行出具的资信证明或财政部门认可的 政府采购专业担保机构出具的担保函，以上形 式的证明资料提供任何一种即可。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 2025年11月1日以来至少一个月的纳税证明或完税证明，纳税证明或完税证明上应有代收机构或税务机关的公章或业务专用章。依法免税的投标人应提供相关文件证明。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已缴纳的2025年11月1日以来至少一个月的社会保障资金缴存单据或社保机构开具的社会保险参保缴费情况证明。成立时间至提交投标文件截止时间不足一个月或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投标供应商不得被“信用中国”（www.creditch ina.gov.cn）列入重大税收违法失信主体；不得被“中国执行信息公开网”（http://zxgk.cour t.gov.cn/shixin/）列入失信被执行人名单；不得被“中国政府采购网”（www.ccgp.gov.cn） 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法定代表人直接参加投标的须出具法定代表人身份证（须与营业执照上信息一致），法定代表人授权代表参加投标的须出具法定代表人授权书及授权代表身份证。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单位负责人为同一人或者存在控股、管理关系的不同单位，不得同时参加同一项目的投标。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联合体投标及分包</w:t>
            </w:r>
          </w:p>
        </w:tc>
        <w:tc>
          <w:tcPr>
            <w:tcW w:type="dxa" w:w="3322"/>
          </w:tcPr>
          <w:p>
            <w:pPr>
              <w:pStyle w:val="null3"/>
            </w:pPr>
            <w:r>
              <w:rPr>
                <w:rFonts w:ascii="仿宋_GB2312" w:hAnsi="仿宋_GB2312" w:cs="仿宋_GB2312" w:eastAsia="仿宋_GB2312"/>
              </w:rPr>
              <w:t>本项目不接受联合体投标，不允许分包。</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响应文件应按要求加盖公章或签字</w:t>
            </w:r>
          </w:p>
        </w:tc>
        <w:tc>
          <w:tcPr>
            <w:tcW w:type="dxa" w:w="1661"/>
          </w:tcPr>
          <w:p>
            <w:pPr>
              <w:pStyle w:val="null3"/>
            </w:pPr>
            <w:r>
              <w:rPr>
                <w:rFonts w:ascii="仿宋_GB2312" w:hAnsi="仿宋_GB2312" w:cs="仿宋_GB2312" w:eastAsia="仿宋_GB2312"/>
              </w:rPr>
              <w:t>投标方案.docx 业绩一览表.docx 中小企业声明函 偏离表.docx 报价表 响应文件封面 首次分项报价表..docx 最后分项报价表.docx 残疾人福利性单位声明函 标的清单 供应商应提交的相关资格证明材料..docx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投标报价不能超出采购预算</w:t>
            </w:r>
          </w:p>
        </w:tc>
        <w:tc>
          <w:tcPr>
            <w:tcW w:type="dxa" w:w="1661"/>
          </w:tcPr>
          <w:p>
            <w:pPr>
              <w:pStyle w:val="null3"/>
            </w:pPr>
            <w:r>
              <w:rPr>
                <w:rFonts w:ascii="仿宋_GB2312" w:hAnsi="仿宋_GB2312" w:cs="仿宋_GB2312" w:eastAsia="仿宋_GB2312"/>
              </w:rPr>
              <w:t>响应文件封面 首次分项报价表..docx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响应文件有效期满足招标文件的要求</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满足服务期要求且服务方案能达到采购要求</w:t>
            </w:r>
          </w:p>
        </w:tc>
        <w:tc>
          <w:tcPr>
            <w:tcW w:type="dxa" w:w="1661"/>
          </w:tcPr>
          <w:p>
            <w:pPr>
              <w:pStyle w:val="null3"/>
            </w:pPr>
            <w:r>
              <w:rPr>
                <w:rFonts w:ascii="仿宋_GB2312" w:hAnsi="仿宋_GB2312" w:cs="仿宋_GB2312" w:eastAsia="仿宋_GB2312"/>
              </w:rPr>
              <w:t>响应文件封面 投标方案.docx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不得存在的情形</w:t>
            </w:r>
          </w:p>
        </w:tc>
        <w:tc>
          <w:tcPr>
            <w:tcW w:type="dxa" w:w="3322"/>
          </w:tcPr>
          <w:p>
            <w:pPr>
              <w:pStyle w:val="null3"/>
            </w:pPr>
            <w:r>
              <w:rPr>
                <w:rFonts w:ascii="仿宋_GB2312" w:hAnsi="仿宋_GB2312" w:cs="仿宋_GB2312" w:eastAsia="仿宋_GB2312"/>
              </w:rPr>
              <w:t>供应商无相关法律法规及招标文件规定的不得存在的情形</w:t>
            </w:r>
          </w:p>
        </w:tc>
        <w:tc>
          <w:tcPr>
            <w:tcW w:type="dxa" w:w="1661"/>
          </w:tcPr>
          <w:p>
            <w:pPr>
              <w:pStyle w:val="null3"/>
            </w:pPr>
            <w:r>
              <w:rPr>
                <w:rFonts w:ascii="仿宋_GB2312" w:hAnsi="仿宋_GB2312" w:cs="仿宋_GB2312" w:eastAsia="仿宋_GB2312"/>
              </w:rPr>
              <w:t>响应文件封面 投标方案.docx 中小企业声明函 残疾人福利性单位声明函 偏离表.docx 供应商应提交的相关资格证明材料..docx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供应商需具有近三年（2023年5月1日至今），具有档案托管类业绩，每个计1分，最高计5分。（需提供合同复印件加盖公章及中标通知书）</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1.参与本项目的项目经理具备高级及以上档案管理职称证书，得2分。 2.项目经理具有类似项目经验，每提供1个得1分，最高2分； 3.服务人员具有档案或保密相关证书，每个1分，最高3分； 4.服务人员具有档案初级及以上职称，每个0.5分，最高3分。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整理编目方案</w:t>
            </w:r>
          </w:p>
        </w:tc>
        <w:tc>
          <w:tcPr>
            <w:tcW w:type="dxa" w:w="2492"/>
          </w:tcPr>
          <w:p>
            <w:pPr>
              <w:pStyle w:val="null3"/>
            </w:pPr>
            <w:r>
              <w:rPr>
                <w:rFonts w:ascii="仿宋_GB2312" w:hAnsi="仿宋_GB2312" w:cs="仿宋_GB2312" w:eastAsia="仿宋_GB2312"/>
              </w:rPr>
              <w:t>1.包含清理、分类、编目、装箱完整步骤得 1分； 2.明确分类标准及编目规范得 1分； 3.明确装箱方式及编号规则得 1分； 4.目录制作与数据对接方案可行得 1分； 5.具有质量自检机制得 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库房环境</w:t>
            </w:r>
          </w:p>
        </w:tc>
        <w:tc>
          <w:tcPr>
            <w:tcW w:type="dxa" w:w="2492"/>
          </w:tcPr>
          <w:p>
            <w:pPr>
              <w:pStyle w:val="null3"/>
            </w:pPr>
            <w:r>
              <w:rPr>
                <w:rFonts w:ascii="仿宋_GB2312" w:hAnsi="仿宋_GB2312" w:cs="仿宋_GB2312" w:eastAsia="仿宋_GB2312"/>
              </w:rPr>
              <w:t>1.温湿度管理有专业设备（精密空调/除湿机等）及自动监测手段计 2分； 2.防火、防潮、防霉、防尘、防鼠、防盗、防光、防虫、防水、防有害气体“十防”有具体设施及制度，每缺一防扣0.3分，扣完为止，计 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接收运输方案</w:t>
            </w:r>
          </w:p>
        </w:tc>
        <w:tc>
          <w:tcPr>
            <w:tcW w:type="dxa" w:w="2492"/>
          </w:tcPr>
          <w:p>
            <w:pPr>
              <w:pStyle w:val="null3"/>
            </w:pPr>
            <w:r>
              <w:rPr>
                <w:rFonts w:ascii="仿宋_GB2312" w:hAnsi="仿宋_GB2312" w:cs="仿宋_GB2312" w:eastAsia="仿宋_GB2312"/>
              </w:rPr>
              <w:t>1.流程包含收箱、封箱及双人交接签收计 2分； 2.运输使用全封闭厢式车，具备防潮、防遗失措施计 2分； 3.明确运输过程中的安全责任边界计 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1.对法院档案现状、敏感性及风险点分析准确计 4分； 2.整体服务目标分阶段明确、思路清晰计 4分。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流程与实施</w:t>
            </w:r>
          </w:p>
        </w:tc>
        <w:tc>
          <w:tcPr>
            <w:tcW w:type="dxa" w:w="2492"/>
          </w:tcPr>
          <w:p>
            <w:pPr>
              <w:pStyle w:val="null3"/>
            </w:pPr>
            <w:r>
              <w:rPr>
                <w:rFonts w:ascii="仿宋_GB2312" w:hAnsi="仿宋_GB2312" w:cs="仿宋_GB2312" w:eastAsia="仿宋_GB2312"/>
              </w:rPr>
              <w:t>1.包含前期整理的资源投入（工具、耗材清单）计 3分； 2.时间进度安排具体到周/日且有横道图计 3分； 3.质量控制点（QC）及各工序责任人明确计 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应急处置能力</w:t>
            </w:r>
          </w:p>
        </w:tc>
        <w:tc>
          <w:tcPr>
            <w:tcW w:type="dxa" w:w="2492"/>
          </w:tcPr>
          <w:p>
            <w:pPr>
              <w:pStyle w:val="null3"/>
            </w:pPr>
            <w:r>
              <w:rPr>
                <w:rFonts w:ascii="仿宋_GB2312" w:hAnsi="仿宋_GB2312" w:cs="仿宋_GB2312" w:eastAsia="仿宋_GB2312"/>
              </w:rPr>
              <w:t>1.针对档案虫蛀、发霉、水渍损毁有专项修复及紧急隔离抢救流程计 6分； 2.突发事件响应时间（如：1小时内响应）及应急人员专项配置 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保密与安全</w:t>
            </w:r>
          </w:p>
        </w:tc>
        <w:tc>
          <w:tcPr>
            <w:tcW w:type="dxa" w:w="2492"/>
          </w:tcPr>
          <w:p>
            <w:pPr>
              <w:pStyle w:val="null3"/>
            </w:pPr>
            <w:r>
              <w:rPr>
                <w:rFonts w:ascii="仿宋_GB2312" w:hAnsi="仿宋_GB2312" w:cs="仿宋_GB2312" w:eastAsia="仿宋_GB2312"/>
              </w:rPr>
              <w:t>1.提供保密协议模板及拟派人员背景调查管理制度计 4分； 2.信息系统存取权限设置及操作痕迹留存机制计 4分； 3.档案物理存放的独立隔离措施及视频监控存储期限计 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团队组织与监控</w:t>
            </w:r>
          </w:p>
        </w:tc>
        <w:tc>
          <w:tcPr>
            <w:tcW w:type="dxa" w:w="2492"/>
          </w:tcPr>
          <w:p>
            <w:pPr>
              <w:pStyle w:val="null3"/>
            </w:pPr>
            <w:r>
              <w:rPr>
                <w:rFonts w:ascii="仿宋_GB2312" w:hAnsi="仿宋_GB2312" w:cs="仿宋_GB2312" w:eastAsia="仿宋_GB2312"/>
              </w:rPr>
              <w:t>1.分组明确（整理组、管理组、安保组等）且职责清晰计 2分； 2.提供详细的库房日常巡检及驻点服务计划计 2分； 3.具备多级质量监控审核机制计 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售后与维护</w:t>
            </w:r>
          </w:p>
        </w:tc>
        <w:tc>
          <w:tcPr>
            <w:tcW w:type="dxa" w:w="2492"/>
          </w:tcPr>
          <w:p>
            <w:pPr>
              <w:pStyle w:val="null3"/>
            </w:pPr>
            <w:r>
              <w:rPr>
                <w:rFonts w:ascii="仿宋_GB2312" w:hAnsi="仿宋_GB2312" w:cs="仿宋_GB2312" w:eastAsia="仿宋_GB2312"/>
              </w:rPr>
              <w:t>1.档案接收后有定期的实物盘点机制得 1.5分； 2.库房设施设备有巡检维保计划得 1.5分； 3.明确档案调阅、出库、归还的响应流程及时限得 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核心服务承诺</w:t>
            </w:r>
          </w:p>
        </w:tc>
        <w:tc>
          <w:tcPr>
            <w:tcW w:type="dxa" w:w="2492"/>
          </w:tcPr>
          <w:p>
            <w:pPr>
              <w:pStyle w:val="null3"/>
            </w:pPr>
            <w:r>
              <w:rPr>
                <w:rFonts w:ascii="仿宋_GB2312" w:hAnsi="仿宋_GB2312" w:cs="仿宋_GB2312" w:eastAsia="仿宋_GB2312"/>
              </w:rPr>
              <w:t>1.承诺档案实体完好率100%计 1分； 2.承诺温湿度环境波动在国家标准范围内计 1分； 3. 提供年度安全检查报告及调阅响应时限承诺计 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1.提出分阶段入库优化建议计1分； 2.档案清点抽查或快速查找机制建议计 1分； 3.库容预警或数字化管理建议计 1分； 4.针对档案全生命周期的其他便捷建议计 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满足磋商文件要求且最终报价最低的供应商的价格为磋商基准价，其价格分为满分。其他供应商的价格分统一按照下列公式计算：磋商报价得分=（磋商基准价/最终磋商报价）×价格权值； 本项目专门面向中小企业采购、不再给予价格优惠。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详见附件：首次分项报价表..docx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详见附件：最后分项报价表.docx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