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8B746">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i w:val="0"/>
          <w:iCs w:val="0"/>
          <w:caps w:val="0"/>
          <w:color w:val="000000" w:themeColor="text1"/>
          <w:spacing w:val="0"/>
          <w:sz w:val="44"/>
          <w:szCs w:val="44"/>
          <w:shd w:val="clear" w:fill="FFFFFF"/>
          <w:lang w:eastAsia="zh-CN"/>
          <w14:textFill>
            <w14:solidFill>
              <w14:schemeClr w14:val="tx1"/>
            </w14:solidFill>
          </w14:textFill>
        </w:rPr>
      </w:pPr>
    </w:p>
    <w:p w14:paraId="14B74DE1">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b/>
          <w:bCs/>
          <w:i w:val="0"/>
          <w:iCs w:val="0"/>
          <w:caps w:val="0"/>
          <w:color w:val="000000" w:themeColor="text1"/>
          <w:spacing w:val="0"/>
          <w:sz w:val="44"/>
          <w:szCs w:val="44"/>
          <w:shd w:val="clear" w:fill="FFFFFF"/>
          <w:lang w:eastAsia="zh-CN"/>
          <w14:textFill>
            <w14:solidFill>
              <w14:schemeClr w14:val="tx1"/>
            </w14:solidFill>
          </w14:textFill>
        </w:rPr>
      </w:pPr>
    </w:p>
    <w:p w14:paraId="341F06BC">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b/>
          <w:bCs/>
          <w:i w:val="0"/>
          <w:iCs w:val="0"/>
          <w:caps w:val="0"/>
          <w:color w:val="000000" w:themeColor="text1"/>
          <w:spacing w:val="0"/>
          <w:sz w:val="56"/>
          <w:szCs w:val="56"/>
          <w:shd w:val="clear" w:fill="FFFFFF"/>
          <w:lang w:eastAsia="zh-CN"/>
          <w14:textFill>
            <w14:solidFill>
              <w14:schemeClr w14:val="tx1"/>
            </w14:solidFill>
          </w14:textFill>
        </w:rPr>
      </w:pPr>
      <w:r>
        <w:rPr>
          <w:rFonts w:hint="eastAsia" w:ascii="宋体" w:hAnsi="宋体" w:cs="宋体"/>
          <w:b/>
          <w:bCs/>
          <w:i w:val="0"/>
          <w:iCs w:val="0"/>
          <w:caps w:val="0"/>
          <w:color w:val="000000" w:themeColor="text1"/>
          <w:spacing w:val="0"/>
          <w:sz w:val="56"/>
          <w:szCs w:val="56"/>
          <w:shd w:val="clear" w:fill="FFFFFF"/>
          <w:lang w:eastAsia="zh-CN"/>
          <w14:textFill>
            <w14:solidFill>
              <w14:schemeClr w14:val="tx1"/>
            </w14:solidFill>
          </w14:textFill>
        </w:rPr>
        <w:t>神河镇2026年金河口社区壮</w:t>
      </w:r>
    </w:p>
    <w:p w14:paraId="56CCD3B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b/>
          <w:bCs/>
          <w:i w:val="0"/>
          <w:iCs w:val="0"/>
          <w:caps w:val="0"/>
          <w:color w:val="000000" w:themeColor="text1"/>
          <w:spacing w:val="0"/>
          <w:sz w:val="56"/>
          <w:szCs w:val="56"/>
          <w:shd w:val="clear" w:fill="FFFFFF"/>
          <w:lang w:eastAsia="zh-CN"/>
          <w14:textFill>
            <w14:solidFill>
              <w14:schemeClr w14:val="tx1"/>
            </w14:solidFill>
          </w14:textFill>
        </w:rPr>
      </w:pPr>
      <w:r>
        <w:rPr>
          <w:rFonts w:hint="eastAsia" w:ascii="宋体" w:hAnsi="宋体" w:cs="宋体"/>
          <w:b/>
          <w:bCs/>
          <w:i w:val="0"/>
          <w:iCs w:val="0"/>
          <w:caps w:val="0"/>
          <w:color w:val="000000" w:themeColor="text1"/>
          <w:spacing w:val="0"/>
          <w:sz w:val="56"/>
          <w:szCs w:val="56"/>
          <w:shd w:val="clear" w:fill="FFFFFF"/>
          <w:lang w:eastAsia="zh-CN"/>
          <w14:textFill>
            <w14:solidFill>
              <w14:schemeClr w14:val="tx1"/>
            </w14:solidFill>
          </w14:textFill>
        </w:rPr>
        <w:t>大村集体经济项目</w:t>
      </w:r>
    </w:p>
    <w:p w14:paraId="6B9D62BF">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i w:val="0"/>
          <w:iCs w:val="0"/>
          <w:caps w:val="0"/>
          <w:color w:val="000000" w:themeColor="text1"/>
          <w:spacing w:val="0"/>
          <w:sz w:val="56"/>
          <w:szCs w:val="56"/>
          <w:shd w:val="clear" w:fill="FFFFFF"/>
          <w:lang w:eastAsia="zh-CN"/>
          <w14:textFill>
            <w14:solidFill>
              <w14:schemeClr w14:val="tx1"/>
            </w14:solidFill>
          </w14:textFill>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rPr>
      </w:pPr>
      <w:r>
        <w:rPr>
          <w:rFonts w:hint="eastAsia" w:ascii="宋体" w:hAnsi="宋体" w:eastAsia="宋体" w:cs="宋体"/>
          <w:b/>
          <w:color w:val="000000"/>
          <w:kern w:val="0"/>
          <w:sz w:val="56"/>
          <w:szCs w:val="56"/>
          <w:lang w:eastAsia="zh-CN"/>
        </w:rPr>
        <w:t>竞争性磋商</w:t>
      </w:r>
      <w:r>
        <w:rPr>
          <w:rFonts w:hint="eastAsia" w:ascii="宋体" w:hAnsi="宋体" w:eastAsia="宋体" w:cs="宋体"/>
          <w:b/>
          <w:color w:val="000000"/>
          <w:kern w:val="0"/>
          <w:sz w:val="56"/>
          <w:szCs w:val="56"/>
        </w:rPr>
        <w:t>文件</w:t>
      </w:r>
    </w:p>
    <w:p w14:paraId="28D91B40">
      <w:pPr>
        <w:pStyle w:val="7"/>
        <w:jc w:val="center"/>
        <w:rPr>
          <w:rFonts w:hint="eastAsia" w:ascii="宋体" w:hAnsi="宋体" w:eastAsia="宋体" w:cs="宋体"/>
          <w:sz w:val="96"/>
          <w:szCs w:val="20"/>
          <w:lang w:eastAsia="zh-CN"/>
        </w:rPr>
      </w:pPr>
      <w:r>
        <w:rPr>
          <w:rFonts w:hint="eastAsia" w:ascii="宋体" w:hAnsi="宋体" w:eastAsia="宋体" w:cs="宋体"/>
          <w:b/>
          <w:bCs/>
          <w:color w:val="auto"/>
          <w:sz w:val="32"/>
          <w:szCs w:val="32"/>
        </w:rPr>
        <w:t>项目编号：</w:t>
      </w:r>
      <w:r>
        <w:rPr>
          <w:rFonts w:hint="eastAsia" w:ascii="宋体" w:hAnsi="宋体" w:cs="宋体"/>
          <w:b/>
          <w:bCs/>
          <w:color w:val="auto"/>
          <w:sz w:val="32"/>
          <w:szCs w:val="32"/>
          <w:lang w:eastAsia="zh-CN"/>
        </w:rPr>
        <w:t>SXFD20260615006</w:t>
      </w:r>
    </w:p>
    <w:p w14:paraId="72A815DB">
      <w:pPr>
        <w:widowControl/>
        <w:spacing w:before="100" w:beforeAutospacing="1" w:after="100" w:afterAutospacing="1"/>
        <w:jc w:val="left"/>
        <w:rPr>
          <w:rFonts w:hint="eastAsia" w:ascii="宋体" w:hAnsi="宋体" w:eastAsia="宋体" w:cs="宋体"/>
          <w:color w:val="000000"/>
          <w:kern w:val="0"/>
          <w:sz w:val="27"/>
          <w:szCs w:val="27"/>
        </w:rPr>
      </w:pPr>
    </w:p>
    <w:p w14:paraId="6E864092">
      <w:pPr>
        <w:spacing w:line="600" w:lineRule="auto"/>
        <w:ind w:firstLine="1506" w:firstLineChars="500"/>
        <w:jc w:val="both"/>
        <w:rPr>
          <w:rFonts w:hint="eastAsia" w:ascii="宋体" w:hAnsi="宋体" w:eastAsia="宋体" w:cs="宋体"/>
          <w:b/>
          <w:bCs/>
          <w:color w:val="auto"/>
          <w:sz w:val="30"/>
          <w:szCs w:val="30"/>
        </w:rPr>
      </w:pPr>
    </w:p>
    <w:p w14:paraId="3608F259">
      <w:pPr>
        <w:pStyle w:val="4"/>
        <w:rPr>
          <w:rFonts w:hint="eastAsia" w:ascii="宋体" w:hAnsi="宋体" w:eastAsia="宋体" w:cs="宋体"/>
        </w:rPr>
      </w:pPr>
    </w:p>
    <w:p w14:paraId="777236EB">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273B1B3">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宋体" w:hAnsi="宋体" w:eastAsia="宋体" w:cs="宋体"/>
          <w:b/>
          <w:bCs/>
          <w:spacing w:val="-4"/>
          <w:sz w:val="36"/>
          <w:szCs w:val="36"/>
          <w:u w:val="single" w:color="auto"/>
          <w:lang w:val="en-US" w:eastAsia="zh-CN"/>
        </w:rPr>
      </w:pPr>
      <w:r>
        <w:rPr>
          <w:rFonts w:hint="eastAsia" w:ascii="宋体" w:hAnsi="宋体" w:eastAsia="宋体" w:cs="宋体"/>
          <w:b/>
          <w:bCs/>
          <w:spacing w:val="-3"/>
          <w:sz w:val="36"/>
          <w:szCs w:val="36"/>
        </w:rPr>
        <w:t>采</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购</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人：</w:t>
      </w:r>
      <w:r>
        <w:rPr>
          <w:rFonts w:hint="eastAsia" w:ascii="宋体" w:hAnsi="宋体" w:cs="宋体"/>
          <w:b/>
          <w:bCs/>
          <w:spacing w:val="-3"/>
          <w:sz w:val="36"/>
          <w:szCs w:val="36"/>
          <w:u w:val="single" w:color="auto"/>
          <w:lang w:val="en-US" w:eastAsia="zh-CN"/>
        </w:rPr>
        <w:t xml:space="preserve">   旬阳市神河镇人民政府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default" w:ascii="宋体" w:hAnsi="宋体" w:eastAsia="宋体" w:cs="宋体"/>
          <w:sz w:val="36"/>
          <w:szCs w:val="36"/>
          <w:lang w:val="en-US" w:eastAsia="zh-CN"/>
        </w:rPr>
      </w:pPr>
      <w:r>
        <w:rPr>
          <w:rFonts w:hint="eastAsia" w:ascii="宋体" w:hAnsi="宋体" w:eastAsia="宋体" w:cs="宋体"/>
          <w:b/>
          <w:bCs/>
          <w:spacing w:val="-4"/>
          <w:sz w:val="36"/>
          <w:szCs w:val="36"/>
        </w:rPr>
        <w:t>代理机构：</w:t>
      </w:r>
      <w:r>
        <w:rPr>
          <w:rFonts w:hint="eastAsia" w:ascii="宋体" w:hAnsi="宋体" w:eastAsia="宋体" w:cs="宋体"/>
          <w:b/>
          <w:bCs/>
          <w:spacing w:val="-4"/>
          <w:sz w:val="36"/>
          <w:szCs w:val="36"/>
          <w:u w:val="single" w:color="auto"/>
          <w:lang w:val="en-US" w:eastAsia="zh-CN"/>
        </w:rPr>
        <w:t xml:space="preserve"> </w:t>
      </w:r>
      <w:r>
        <w:rPr>
          <w:rFonts w:hint="eastAsia" w:ascii="宋体" w:hAnsi="宋体" w:eastAsia="宋体" w:cs="宋体"/>
          <w:b/>
          <w:bCs/>
          <w:spacing w:val="-4"/>
          <w:sz w:val="36"/>
          <w:szCs w:val="36"/>
          <w:u w:val="single" w:color="auto"/>
        </w:rPr>
        <w:t>陕西方得项目咨询有限公司</w:t>
      </w:r>
      <w:r>
        <w:rPr>
          <w:rFonts w:hint="eastAsia" w:ascii="宋体" w:hAnsi="宋体" w:eastAsia="宋体" w:cs="宋体"/>
          <w:b/>
          <w:bCs/>
          <w:spacing w:val="-4"/>
          <w:sz w:val="36"/>
          <w:szCs w:val="36"/>
          <w:u w:val="single" w:color="auto"/>
          <w:lang w:val="en-US" w:eastAsia="zh-CN"/>
        </w:rPr>
        <w:t xml:space="preserve"> </w:t>
      </w:r>
      <w:r>
        <w:rPr>
          <w:rFonts w:hint="eastAsia" w:ascii="宋体" w:hAnsi="宋体" w:cs="宋体"/>
          <w:b/>
          <w:bCs/>
          <w:spacing w:val="-4"/>
          <w:sz w:val="36"/>
          <w:szCs w:val="36"/>
          <w:u w:val="single" w:color="auto"/>
          <w:lang w:val="en-US" w:eastAsia="zh-CN"/>
        </w:rPr>
        <w:t xml:space="preserve"> </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r>
        <w:rPr>
          <w:rFonts w:hint="eastAsia" w:ascii="宋体" w:hAnsi="宋体" w:eastAsia="宋体" w:cs="宋体"/>
          <w:b/>
          <w:bCs/>
          <w:spacing w:val="5"/>
          <w:sz w:val="36"/>
          <w:szCs w:val="36"/>
        </w:rPr>
        <w:t>二〇二</w:t>
      </w:r>
      <w:r>
        <w:rPr>
          <w:rFonts w:hint="eastAsia" w:ascii="宋体" w:hAnsi="宋体" w:eastAsia="宋体" w:cs="宋体"/>
          <w:b/>
          <w:bCs/>
          <w:spacing w:val="5"/>
          <w:sz w:val="36"/>
          <w:szCs w:val="36"/>
          <w:lang w:val="en-US" w:eastAsia="zh-CN"/>
        </w:rPr>
        <w:t>六</w:t>
      </w:r>
      <w:r>
        <w:rPr>
          <w:rFonts w:hint="eastAsia" w:ascii="宋体" w:hAnsi="宋体" w:eastAsia="宋体" w:cs="宋体"/>
          <w:b/>
          <w:bCs/>
          <w:spacing w:val="5"/>
          <w:sz w:val="36"/>
          <w:szCs w:val="36"/>
        </w:rPr>
        <w:t>年</w:t>
      </w:r>
      <w:r>
        <w:rPr>
          <w:rFonts w:hint="eastAsia" w:ascii="宋体" w:hAnsi="宋体" w:cs="宋体"/>
          <w:b/>
          <w:bCs/>
          <w:spacing w:val="5"/>
          <w:sz w:val="36"/>
          <w:szCs w:val="36"/>
          <w:lang w:val="en-US" w:eastAsia="zh-CN"/>
        </w:rPr>
        <w:t>六</w:t>
      </w:r>
      <w:r>
        <w:rPr>
          <w:rFonts w:hint="eastAsia" w:ascii="宋体" w:hAnsi="宋体" w:eastAsia="宋体" w:cs="宋体"/>
          <w:b/>
          <w:bCs/>
          <w:spacing w:val="5"/>
          <w:sz w:val="36"/>
          <w:szCs w:val="36"/>
        </w:rPr>
        <w:t>月</w:t>
      </w:r>
    </w:p>
    <w:p w14:paraId="7BF85972">
      <w:pPr>
        <w:rPr>
          <w:rFonts w:hint="eastAsia" w:ascii="宋体" w:hAnsi="宋体" w:eastAsia="宋体" w:cs="宋体"/>
          <w:b/>
          <w:bCs/>
          <w:spacing w:val="5"/>
          <w:sz w:val="36"/>
          <w:szCs w:val="36"/>
        </w:rPr>
      </w:pPr>
      <w:r>
        <w:rPr>
          <w:rFonts w:hint="eastAsia" w:ascii="宋体" w:hAnsi="宋体" w:eastAsia="宋体" w:cs="宋体"/>
          <w:b/>
          <w:bCs/>
          <w:spacing w:val="5"/>
          <w:sz w:val="36"/>
          <w:szCs w:val="36"/>
        </w:rPr>
        <w:br w:type="page"/>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p>
    <w:p w14:paraId="20C69FC2">
      <w:pPr>
        <w:adjustRightInd w:val="0"/>
        <w:snapToGrid w:val="0"/>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2656F5F8">
      <w:pPr>
        <w:tabs>
          <w:tab w:val="left" w:pos="7920"/>
        </w:tabs>
        <w:spacing w:line="36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64AF85D">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第一章  磋商公告</w:t>
      </w:r>
    </w:p>
    <w:p w14:paraId="2D9E67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41301AA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神河镇2026年金河口社区壮大村集体经济项目采购项目的潜在供应商应在安康市高新区秦岭大道长兴集团办公楼9层906室获取采购文件，并于2026年07月03日 16时00分（北京时间）前提交响应文件。</w:t>
      </w:r>
    </w:p>
    <w:p w14:paraId="4C5802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057C240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项目编号：SXFD20260615006</w:t>
      </w:r>
    </w:p>
    <w:p w14:paraId="6B47B1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项目名称：神河镇2026年金河口社区壮大村集体经济项目</w:t>
      </w:r>
    </w:p>
    <w:p w14:paraId="1B737D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38D646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预算金额：150000.00元</w:t>
      </w:r>
    </w:p>
    <w:p w14:paraId="556B9C5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319F6F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合同包1(神河镇2026年金河口社区壮大村集体经济项目):</w:t>
      </w:r>
    </w:p>
    <w:p w14:paraId="4EBDE0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合同包预算金额：150000.00元</w:t>
      </w:r>
    </w:p>
    <w:p w14:paraId="25CF65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合同包最高限价：150000.00元</w:t>
      </w:r>
    </w:p>
    <w:tbl>
      <w:tblPr>
        <w:tblStyle w:val="16"/>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4"/>
        <w:gridCol w:w="2018"/>
        <w:gridCol w:w="2529"/>
        <w:gridCol w:w="1403"/>
        <w:gridCol w:w="1762"/>
        <w:gridCol w:w="1320"/>
      </w:tblGrid>
      <w:tr w14:paraId="004D52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ED092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0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81A2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2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A6E3C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7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8FE89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A3C67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936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32306D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DC6B8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10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4DE7A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其他专业施工</w:t>
            </w:r>
          </w:p>
        </w:tc>
        <w:tc>
          <w:tcPr>
            <w:tcW w:w="12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D43C2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神河镇2026年金河口社区壮大村集体经济项目</w:t>
            </w:r>
          </w:p>
        </w:tc>
        <w:tc>
          <w:tcPr>
            <w:tcW w:w="7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6E326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C606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47B07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150000.00</w:t>
            </w:r>
          </w:p>
        </w:tc>
      </w:tr>
    </w:tbl>
    <w:p w14:paraId="7FC440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19C8362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14:paraId="00228F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0655128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3B8F48D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4DE230E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合同包1(神河镇2026年金河口社区壮大村集体经济项目)落实政府采购政策需满足的资格要求如下:</w:t>
      </w:r>
    </w:p>
    <w:p w14:paraId="57194F8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14:paraId="247CA5D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6F6A8CB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合同包1(神河镇2026年金河口社区壮大村集体经济项目)特定资格要求如下:</w:t>
      </w:r>
    </w:p>
    <w:p w14:paraId="005AEE1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FAE84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324928F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时间：2026年06月16日至2026年06月23日，每天上午08:00:00至12:00:00，下午12:00:00至18:00:00（北京时间）</w:t>
      </w:r>
    </w:p>
    <w:p w14:paraId="792E7E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途径：安康市高新区秦岭大道长兴集团办公楼9层906室</w:t>
      </w:r>
    </w:p>
    <w:p w14:paraId="4F3C7B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14:paraId="06C4AA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 0元</w:t>
      </w:r>
    </w:p>
    <w:p w14:paraId="1C1B84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4400DB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截止时间：2026年07月03日 16时00分00秒（北京时间）</w:t>
      </w:r>
    </w:p>
    <w:p w14:paraId="20CFC54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0BA613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073B85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时间：2026年07月03日 16时00分00秒（北京时间）</w:t>
      </w:r>
    </w:p>
    <w:p w14:paraId="35105B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22282C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647D66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765F7F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173C5A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投标人须在采购文件获取时间内携带法人授权书及营业执照（复印件加盖公章）在安康市高新区秦岭大道长兴集团办公楼9层906室获取采购文件。</w:t>
      </w:r>
    </w:p>
    <w:p w14:paraId="7ECCEA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2509A6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70B7A90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名称：旬阳市财政局神河财政所</w:t>
      </w:r>
    </w:p>
    <w:p w14:paraId="07F758E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地址：旬阳县神河镇神河社区二组</w:t>
      </w:r>
    </w:p>
    <w:p w14:paraId="73BD42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联系方式：15319860816</w:t>
      </w:r>
    </w:p>
    <w:p w14:paraId="5E0EC2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50FEFC9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名称：陕西方得项目咨询有限公司</w:t>
      </w:r>
    </w:p>
    <w:p w14:paraId="6DB297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地址：陕西省安康市旬阳市城关镇党家坝社区289号</w:t>
      </w:r>
    </w:p>
    <w:p w14:paraId="76B62F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联系方式：15991443310</w:t>
      </w:r>
    </w:p>
    <w:p w14:paraId="029BB12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40667AE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项目联系人：袁女士</w:t>
      </w:r>
    </w:p>
    <w:p w14:paraId="09E1F6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电话：15991443310</w:t>
      </w:r>
    </w:p>
    <w:p w14:paraId="503E0A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陕西方得项目咨询有限公司</w:t>
      </w:r>
    </w:p>
    <w:p w14:paraId="652C9E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2026年6月15日</w:t>
      </w:r>
    </w:p>
    <w:p w14:paraId="25D3D7F5">
      <w:pPr>
        <w:keepNext w:val="0"/>
        <w:keepLines w:val="0"/>
        <w:pageBreakBefore w:val="0"/>
        <w:kinsoku/>
        <w:overflowPunct/>
        <w:topLinePunct w:val="0"/>
        <w:autoSpaceDE/>
        <w:autoSpaceDN/>
        <w:bidi w:val="0"/>
        <w:adjustRightInd/>
        <w:snapToGrid/>
        <w:ind w:left="0"/>
        <w:textAlignment w:val="auto"/>
        <w:rPr>
          <w:color w:val="000000" w:themeColor="text1"/>
          <w:sz w:val="24"/>
          <w:szCs w:val="24"/>
          <w14:textFill>
            <w14:solidFill>
              <w14:schemeClr w14:val="tx1"/>
            </w14:solidFill>
          </w14:textFill>
        </w:rPr>
      </w:pPr>
    </w:p>
    <w:p w14:paraId="10B4EC10">
      <w:pPr>
        <w:keepNext w:val="0"/>
        <w:keepLines w:val="0"/>
        <w:pageBreakBefore w:val="0"/>
        <w:kinsoku/>
        <w:overflowPunct/>
        <w:topLinePunct w:val="0"/>
        <w:autoSpaceDE/>
        <w:autoSpaceDN/>
        <w:bidi w:val="0"/>
        <w:adjustRightInd/>
        <w:snapToGrid/>
        <w:ind w:left="0"/>
        <w:textAlignment w:val="auto"/>
        <w:rPr>
          <w:rFonts w:hint="eastAsia" w:ascii="宋体" w:hAnsi="宋体" w:eastAsia="宋体" w:cs="宋体"/>
          <w:color w:val="000000" w:themeColor="text1"/>
          <w:sz w:val="24"/>
          <w:szCs w:val="24"/>
          <w14:textFill>
            <w14:solidFill>
              <w14:schemeClr w14:val="tx1"/>
            </w14:solidFill>
          </w14:textFill>
        </w:rPr>
      </w:pPr>
    </w:p>
    <w:p w14:paraId="6306DC0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0548B4EC"/>
    <w:p w14:paraId="6D7B7E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2E646DB8"/>
    <w:p w14:paraId="45BE699A">
      <w:pPr>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2D6A18F8">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工程名称</w:t>
            </w:r>
          </w:p>
        </w:tc>
        <w:tc>
          <w:tcPr>
            <w:tcW w:w="6463" w:type="dxa"/>
            <w:vAlign w:val="center"/>
          </w:tcPr>
          <w:p w14:paraId="202D14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神河镇2026年金河口社区壮大村集体经济项目</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旬阳市神河镇人民政府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eastAsia="zh-CN"/>
                <w14:textFill>
                  <w14:solidFill>
                    <w14:schemeClr w14:val="tx1"/>
                  </w14:solidFill>
                </w14:textFill>
              </w:rPr>
              <w:t>神河镇2026年金河口社区壮大村集体经济项目</w:t>
            </w:r>
            <w:r>
              <w:rPr>
                <w:rFonts w:hint="eastAsia" w:ascii="宋体" w:hAnsi="宋体" w:eastAsia="宋体" w:cs="宋体"/>
                <w:b w:val="0"/>
                <w:bCs/>
                <w:color w:val="000000" w:themeColor="text1"/>
                <w:kern w:val="0"/>
                <w:sz w:val="24"/>
                <w:szCs w:val="24"/>
                <w14:textFill>
                  <w14:solidFill>
                    <w14:schemeClr w14:val="tx1"/>
                  </w14:solidFill>
                </w14:textFill>
              </w:rPr>
              <w:t>具体参数内容详见第四部分“</w:t>
            </w:r>
            <w:r>
              <w:rPr>
                <w:rFonts w:hint="eastAsia" w:ascii="宋体" w:hAnsi="宋体" w:eastAsia="宋体" w:cs="宋体"/>
                <w:b w:val="0"/>
                <w:bCs/>
                <w:color w:val="000000" w:themeColor="text1"/>
                <w:kern w:val="0"/>
                <w:sz w:val="24"/>
                <w:szCs w:val="24"/>
                <w:lang w:eastAsia="zh-CN"/>
                <w14:textFill>
                  <w14:solidFill>
                    <w14:schemeClr w14:val="tx1"/>
                  </w14:solidFill>
                </w14:textFill>
              </w:rPr>
              <w:t>施工内容及要求</w:t>
            </w:r>
            <w:r>
              <w:rPr>
                <w:rFonts w:hint="eastAsia" w:ascii="宋体" w:hAnsi="宋体" w:eastAsia="宋体" w:cs="宋体"/>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150000.00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lang w:eastAsia="zh-CN"/>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150000.00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自合同签订之日起</w:t>
            </w:r>
            <w:r>
              <w:rPr>
                <w:rFonts w:hint="eastAsia" w:ascii="宋体" w:hAnsi="宋体" w:cs="宋体"/>
                <w:b w:val="0"/>
                <w:bCs/>
                <w:kern w:val="0"/>
                <w:sz w:val="24"/>
                <w:szCs w:val="24"/>
                <w:lang w:val="en-US" w:eastAsia="zh-CN"/>
              </w:rPr>
              <w:t>30</w:t>
            </w:r>
            <w:r>
              <w:rPr>
                <w:rFonts w:hint="eastAsia" w:ascii="宋体" w:hAnsi="宋体" w:eastAsia="宋体" w:cs="宋体"/>
                <w:b w:val="0"/>
                <w:bCs/>
                <w:kern w:val="0"/>
                <w:sz w:val="24"/>
                <w:szCs w:val="24"/>
              </w:rPr>
              <w:t>个日历日。</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cs="宋体"/>
                <w:b w:val="0"/>
                <w:bCs/>
                <w:kern w:val="0"/>
                <w:sz w:val="24"/>
                <w:szCs w:val="24"/>
                <w:lang w:eastAsia="zh-CN"/>
              </w:rPr>
              <w:t>神河镇</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资质要求</w:t>
            </w:r>
          </w:p>
        </w:tc>
        <w:tc>
          <w:tcPr>
            <w:tcW w:w="6463" w:type="dxa"/>
            <w:vAlign w:val="top"/>
          </w:tcPr>
          <w:p w14:paraId="2465D4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w:t>
            </w:r>
            <w:r>
              <w:rPr>
                <w:rFonts w:hint="eastAsia" w:ascii="宋体" w:hAnsi="宋体" w:eastAsia="宋体" w:cs="宋体"/>
                <w:b w:val="0"/>
                <w:bCs/>
                <w:kern w:val="0"/>
                <w:sz w:val="24"/>
                <w:szCs w:val="24"/>
                <w:lang w:eastAsia="zh-CN"/>
              </w:rPr>
              <w:t>人必须符合《中</w:t>
            </w:r>
            <w:r>
              <w:rPr>
                <w:rFonts w:hint="eastAsia" w:ascii="宋体" w:hAnsi="宋体" w:eastAsia="宋体" w:cs="宋体"/>
                <w:b w:val="0"/>
                <w:bCs/>
                <w:kern w:val="0"/>
                <w:sz w:val="24"/>
                <w:szCs w:val="24"/>
              </w:rPr>
              <w:t>华人民共和国政府采购法》第二十二条之规定并具备以下条件：</w:t>
            </w:r>
          </w:p>
          <w:p w14:paraId="1AA36A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磋商时间和地点</w:t>
            </w:r>
          </w:p>
        </w:tc>
        <w:tc>
          <w:tcPr>
            <w:tcW w:w="6463" w:type="dxa"/>
            <w:vAlign w:val="center"/>
          </w:tcPr>
          <w:p w14:paraId="160ADFA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磋商时间：2026年</w:t>
            </w:r>
            <w:r>
              <w:rPr>
                <w:rFonts w:hint="eastAsia" w:ascii="宋体" w:hAnsi="宋体" w:cs="宋体"/>
                <w:color w:val="000000" w:themeColor="text1"/>
                <w:sz w:val="24"/>
                <w:szCs w:val="24"/>
                <w:lang w:val="en-US" w:eastAsia="zh-CN"/>
                <w14:textFill>
                  <w14:solidFill>
                    <w14:schemeClr w14:val="tx1"/>
                  </w14:solidFill>
                </w14:textFill>
              </w:rPr>
              <w:t>07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03</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16</w:t>
            </w:r>
            <w:r>
              <w:rPr>
                <w:rFonts w:hint="eastAsia" w:ascii="宋体" w:hAnsi="宋体" w:eastAsia="宋体" w:cs="宋体"/>
                <w:color w:val="000000" w:themeColor="text1"/>
                <w:sz w:val="24"/>
                <w:szCs w:val="24"/>
                <w14:textFill>
                  <w14:solidFill>
                    <w14:schemeClr w14:val="tx1"/>
                  </w14:solidFill>
                </w14:textFill>
              </w:rPr>
              <w:t xml:space="preserve">时00分00秒  </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kern w:val="0"/>
                <w:sz w:val="24"/>
                <w:szCs w:val="24"/>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磋商地点：</w:t>
            </w:r>
            <w:r>
              <w:rPr>
                <w:rFonts w:hint="eastAsia" w:ascii="宋体" w:hAnsi="宋体" w:cs="宋体"/>
                <w:b w:val="0"/>
                <w:bCs/>
                <w:color w:val="000000" w:themeColor="text1"/>
                <w:kern w:val="0"/>
                <w:sz w:val="24"/>
                <w:szCs w:val="24"/>
                <w:lang w:val="en-US" w:eastAsia="zh-CN" w:bidi="ar-SA"/>
                <w14:textFill>
                  <w14:solidFill>
                    <w14:schemeClr w14:val="tx1"/>
                  </w14:solidFill>
                </w14:textFill>
              </w:rPr>
              <w:t>安康市高新区秦岭大道长兴集团办公楼9层906室</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kern w:val="0"/>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分（磋商文件递交截止时间）前不得开启</w:t>
            </w:r>
            <w:r>
              <w:rPr>
                <w:rFonts w:hint="eastAsia" w:ascii="宋体" w:hAnsi="宋体" w:eastAsia="宋体" w:cs="宋体"/>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评分办法</w:t>
            </w:r>
          </w:p>
        </w:tc>
        <w:tc>
          <w:tcPr>
            <w:tcW w:w="6463" w:type="dxa"/>
            <w:vAlign w:val="top"/>
          </w:tcPr>
          <w:p w14:paraId="6727F226">
            <w:pPr>
              <w:spacing w:line="259" w:lineRule="auto"/>
              <w:rPr>
                <w:rFonts w:hint="eastAsia" w:ascii="宋体" w:hAnsi="宋体" w:eastAsia="宋体" w:cs="宋体"/>
                <w:b w:val="0"/>
                <w:bCs/>
                <w:kern w:val="0"/>
                <w:sz w:val="24"/>
                <w:szCs w:val="24"/>
              </w:rPr>
            </w:pPr>
            <w:r>
              <w:rPr>
                <w:rFonts w:hint="eastAsia" w:ascii="宋体" w:hAnsi="宋体" w:eastAsia="宋体" w:cs="宋体"/>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根据《中华人民共和国政府采购法》、《中华人民共和国政府采购法实施条例》</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6663DC25">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宋体" w:hAnsi="宋体" w:eastAsia="宋体" w:cs="宋体"/>
          <w:snapToGrid w:val="0"/>
          <w:color w:val="auto"/>
          <w:sz w:val="24"/>
          <w:highlight w:val="none"/>
          <w:shd w:val="clear" w:color="auto" w:fill="auto"/>
        </w:rPr>
      </w:pPr>
      <w:r>
        <w:rPr>
          <w:rFonts w:hint="eastAsia" w:ascii="宋体" w:hAnsi="宋体" w:eastAsia="宋体" w:cs="宋体"/>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 xml:space="preserve"> 本</w:t>
      </w:r>
      <w:r>
        <w:rPr>
          <w:rFonts w:hint="eastAsia" w:ascii="宋体" w:hAnsi="宋体" w:eastAsia="宋体" w:cs="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宋体" w:hAnsi="宋体" w:eastAsia="宋体" w:cs="宋体"/>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bookmarkStart w:id="0" w:name="_Toc339007316"/>
      <w:r>
        <w:rPr>
          <w:rFonts w:hint="eastAsia" w:ascii="宋体" w:hAnsi="宋体" w:eastAsia="宋体" w:cs="宋体"/>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1.1 采   购   人：</w:t>
      </w:r>
      <w:r>
        <w:rPr>
          <w:rFonts w:hint="eastAsia" w:ascii="宋体" w:hAnsi="宋体" w:cs="宋体"/>
          <w:b w:val="0"/>
          <w:bCs/>
          <w:kern w:val="0"/>
          <w:sz w:val="24"/>
          <w:szCs w:val="24"/>
          <w:lang w:eastAsia="zh-CN"/>
        </w:rPr>
        <w:t>旬阳市神河镇人民政府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2.1.2 资质要求</w:t>
      </w:r>
    </w:p>
    <w:p w14:paraId="36F7F4B8">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 xml:space="preserve">.报价费用  </w:t>
      </w:r>
      <w:r>
        <w:rPr>
          <w:rFonts w:hint="eastAsia" w:ascii="宋体" w:hAnsi="宋体" w:eastAsia="宋体" w:cs="宋体"/>
          <w:kern w:val="0"/>
          <w:sz w:val="24"/>
          <w:szCs w:val="24"/>
        </w:rPr>
        <w:t>投标人应当承担参与本次</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326251051"/>
      <w:bookmarkStart w:id="2" w:name="_Toc385234431"/>
      <w:bookmarkStart w:id="3" w:name="_Toc453917523"/>
      <w:bookmarkStart w:id="4" w:name="_Toc453917616"/>
      <w:bookmarkStart w:id="5" w:name="_Toc453858060"/>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宋体" w:hAnsi="宋体" w:eastAsia="宋体" w:cs="宋体"/>
          <w:kern w:val="0"/>
          <w:sz w:val="24"/>
          <w:szCs w:val="24"/>
        </w:rPr>
      </w:pPr>
      <w:r>
        <w:rPr>
          <w:rFonts w:hint="eastAsia" w:ascii="宋体" w:hAnsi="宋体" w:eastAsia="宋体" w:cs="宋体"/>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highlight w:val="none"/>
        </w:rPr>
      </w:pPr>
      <w:bookmarkStart w:id="6" w:name="_Toc339007321"/>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文件包括下列</w:t>
      </w:r>
      <w:r>
        <w:rPr>
          <w:rFonts w:hint="eastAsia" w:ascii="宋体" w:hAnsi="宋体" w:eastAsia="宋体" w:cs="宋体"/>
          <w:color w:val="auto"/>
          <w:sz w:val="24"/>
          <w:highlight w:val="none"/>
          <w:lang w:eastAsia="zh-CN"/>
        </w:rPr>
        <w:t>内容</w:t>
      </w:r>
      <w:r>
        <w:rPr>
          <w:rFonts w:hint="eastAsia" w:ascii="宋体" w:hAnsi="宋体" w:eastAsia="宋体" w:cs="宋体"/>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617"/>
      <w:bookmarkStart w:id="9" w:name="_Toc385234432"/>
      <w:bookmarkStart w:id="10" w:name="_Toc453858061"/>
      <w:bookmarkStart w:id="11" w:name="_Toc453917524"/>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eastAsia="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eastAsia="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19797"/>
      <w:bookmarkStart w:id="14" w:name="_Toc536202293"/>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eastAsia="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6390"/>
      <w:bookmarkStart w:id="16" w:name="_Toc536202294"/>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eastAsia="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eastAsia="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eastAsia="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rPr>
      </w:pPr>
      <w:bookmarkStart w:id="19" w:name="_Toc536202296"/>
      <w:bookmarkStart w:id="20" w:name="_Toc5095"/>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eastAsia="宋体" w:cs="宋体"/>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sz w:val="24"/>
          <w:szCs w:val="24"/>
        </w:rPr>
      </w:pPr>
      <w:r>
        <w:rPr>
          <w:rFonts w:hint="eastAsia" w:ascii="宋体" w:hAnsi="宋体" w:eastAsia="宋体" w:cs="宋体"/>
          <w:b/>
          <w:bCs/>
          <w:kern w:val="44"/>
          <w:sz w:val="24"/>
          <w:szCs w:val="24"/>
        </w:rPr>
        <w:t>三、</w:t>
      </w:r>
      <w:bookmarkEnd w:id="8"/>
      <w:bookmarkEnd w:id="9"/>
      <w:bookmarkEnd w:id="10"/>
      <w:bookmarkEnd w:id="11"/>
      <w:r>
        <w:rPr>
          <w:rFonts w:hint="eastAsia" w:ascii="宋体" w:hAnsi="宋体" w:eastAsia="宋体" w:cs="宋体"/>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eastAsia="宋体" w:cs="宋体"/>
          <w:b w:val="0"/>
          <w:bCs w:val="0"/>
          <w:color w:val="000000" w:themeColor="text1"/>
          <w:sz w:val="24"/>
          <w:szCs w:val="21"/>
          <w:lang w:eastAsia="zh-CN"/>
          <w14:textFill>
            <w14:solidFill>
              <w14:schemeClr w14:val="tx1"/>
            </w14:solidFill>
          </w14:textFill>
        </w:rPr>
        <w:t>作出</w:t>
      </w:r>
      <w:r>
        <w:rPr>
          <w:rFonts w:hint="eastAsia" w:ascii="宋体" w:hAnsi="宋体" w:eastAsia="宋体" w:cs="宋体"/>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29200"/>
      <w:bookmarkStart w:id="23" w:name="_Toc5362023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eastAsia="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536202303"/>
      <w:bookmarkStart w:id="26" w:name="_Toc24827"/>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（电子文件格式为PDF</w:t>
      </w:r>
      <w:r>
        <w:rPr>
          <w:rFonts w:hint="eastAsia" w:ascii="宋体" w:hAnsi="宋体" w:eastAsia="宋体" w:cs="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eastAsia="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536202306"/>
      <w:bookmarkStart w:id="28" w:name="_Toc3685"/>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12741"/>
      <w:bookmarkStart w:id="30" w:name="_Toc536202307"/>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宋体" w:hAnsi="宋体" w:eastAsia="宋体" w:cs="宋体"/>
          <w:b/>
          <w:kern w:val="0"/>
          <w:sz w:val="24"/>
          <w:szCs w:val="24"/>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rPr>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386129876"/>
      <w:bookmarkStart w:id="34" w:name="_Toc385958808"/>
      <w:bookmarkStart w:id="35" w:name="_Toc536202311"/>
      <w:bookmarkStart w:id="36" w:name="_Toc27940"/>
      <w:bookmarkStart w:id="37" w:name="_Toc28085"/>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eastAsia="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eastAsia="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（2）各投标人未经过正常渠道</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竞争性磋商文件，或参加磋商的各投标人名称与</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kern w:val="0"/>
          <w:sz w:val="24"/>
          <w:szCs w:val="24"/>
        </w:rPr>
      </w:pPr>
      <w:r>
        <w:rPr>
          <w:rFonts w:hint="eastAsia" w:ascii="宋体" w:hAnsi="宋体" w:eastAsia="宋体" w:cs="宋体"/>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3.3 磋</w:t>
      </w:r>
      <w:r>
        <w:rPr>
          <w:rFonts w:hint="eastAsia" w:ascii="宋体" w:hAnsi="宋体" w:eastAsia="宋体" w:cs="宋体"/>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w:t>
      </w:r>
      <w:r>
        <w:rPr>
          <w:rFonts w:hint="eastAsia" w:ascii="宋体" w:hAnsi="宋体" w:eastAsia="宋体" w:cs="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2"/>
          <w:highlight w:val="none"/>
          <w:lang w:eastAsia="zh-CN"/>
        </w:rPr>
        <w:t>资质</w:t>
      </w:r>
      <w:r>
        <w:rPr>
          <w:rFonts w:hint="eastAsia" w:ascii="宋体" w:hAnsi="宋体" w:eastAsia="宋体" w:cs="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法定代表人</w:t>
            </w:r>
            <w:r>
              <w:rPr>
                <w:rFonts w:hint="eastAsia" w:ascii="宋体" w:hAnsi="宋体" w:eastAsia="宋体" w:cs="宋体"/>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2024年或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202</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年财务审计报告(新成立的企业提供公司成立后相应的财务会计报表或财务情况说明书)或开标前六个月内银行出具的资信证明；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供应商须具备国家建设行政主管部门颁发建筑工程或市政公用工程施工总承包三级（含三级）以上资质和有效的安全生产许可证；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拟派项目经理须具有建筑工程或市政公用工程专业二级（含二级）以上注册建造师资格，注册证、安全生产考核合格证齐全有效，且无在建工程；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供应商通过“信用中国”网站(www.creditchina.gov.cn)和中国政府采购网(www.ccgp.gov.cn)查询相关主体无失信记录（网站查询的截图，加盖企业公章）；</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本项目为全部面向中小企业项目，本项目采购标的对应的中小企业划分标准所属行业为：</w:t>
            </w:r>
            <w:r>
              <w:rPr>
                <w:rFonts w:hint="eastAsia" w:ascii="宋体" w:hAnsi="宋体" w:eastAsia="宋体" w:cs="宋体"/>
                <w:i w:val="0"/>
                <w:iCs w:val="0"/>
                <w:caps w:val="0"/>
                <w:color w:val="0C0C0C"/>
                <w:spacing w:val="0"/>
                <w:sz w:val="24"/>
                <w:szCs w:val="24"/>
                <w:shd w:val="clear" w:color="auto" w:fill="FFFFFF"/>
                <w:lang w:eastAsia="zh-CN"/>
              </w:rPr>
              <w:t>建筑业</w:t>
            </w:r>
            <w:r>
              <w:rPr>
                <w:rFonts w:hint="eastAsia" w:ascii="宋体" w:hAnsi="宋体" w:eastAsia="宋体" w:cs="宋体"/>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宋体" w:hAnsi="宋体" w:eastAsia="宋体" w:cs="宋体"/>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p>
    <w:p w14:paraId="2B63256A">
      <w:pPr>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val="en-US" w:eastAsia="zh-CN"/>
        </w:rPr>
        <w:t>2</w:t>
      </w: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w:t>
      </w:r>
      <w:r>
        <w:rPr>
          <w:rFonts w:hint="eastAsia" w:ascii="宋体" w:hAnsi="宋体" w:eastAsia="宋体" w:cs="宋体"/>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评审</w:t>
            </w:r>
            <w:r>
              <w:rPr>
                <w:rFonts w:hint="eastAsia" w:ascii="宋体" w:hAnsi="宋体" w:eastAsia="宋体" w:cs="宋体"/>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最终</w:t>
            </w:r>
            <w:r>
              <w:rPr>
                <w:rFonts w:hint="eastAsia" w:ascii="宋体" w:hAnsi="宋体" w:eastAsia="宋体" w:cs="宋体"/>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最后报价得分=（评标基准价/最后报价）×3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施工组织</w:t>
            </w:r>
            <w:r>
              <w:rPr>
                <w:rFonts w:hint="eastAsia" w:ascii="宋体" w:hAnsi="宋体" w:eastAsia="宋体" w:cs="宋体"/>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宋体" w:hAnsi="宋体" w:eastAsia="宋体" w:cs="宋体"/>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新宋体" w:hAnsi="新宋体" w:eastAsia="新宋体" w:cs="新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提供投标人近三年（2023年</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lang w:val="en-US" w:eastAsia="zh-CN"/>
                <w14:textFill>
                  <w14:solidFill>
                    <w14:schemeClr w14:val="tx1"/>
                  </w14:solidFill>
                </w14:textFill>
              </w:rPr>
              <w:t>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宋体" w:hAnsi="宋体" w:eastAsia="宋体" w:cs="宋体"/>
          <w:b/>
          <w:snapToGrid w:val="0"/>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333333"/>
          <w:sz w:val="24"/>
          <w:szCs w:val="24"/>
          <w:highlight w:val="none"/>
          <w:shd w:val="clear" w:color="auto" w:fill="FFFFFF"/>
          <w:lang w:eastAsia="zh-CN"/>
        </w:rPr>
        <w:t>给予</w:t>
      </w:r>
      <w:r>
        <w:rPr>
          <w:rFonts w:hint="eastAsia" w:ascii="宋体" w:hAnsi="宋体" w:eastAsia="宋体" w:cs="宋体"/>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③节能产品根据《国务院办公厅关于建立政府强制采购节能产品制度的通知》国办发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2007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采购人将在资格审查阶段通过【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信用中国</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"http://www.ccgp.gov.cn/cr/list"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根据《陕西省财政厅关于加快推进我省中小企业政府采购信用融资工作的通知》（陕财办采</w:t>
      </w:r>
      <w:r>
        <w:rPr>
          <w:rFonts w:hint="eastAsia" w:ascii="宋体" w:hAnsi="宋体" w:eastAsia="宋体" w:cs="宋体"/>
          <w:sz w:val="24"/>
          <w:szCs w:val="24"/>
        </w:rPr>
        <w:t>〔</w:t>
      </w:r>
      <w:r>
        <w:rPr>
          <w:rFonts w:hint="eastAsia" w:ascii="宋体" w:hAnsi="宋体" w:eastAsia="宋体" w:cs="宋体"/>
          <w:sz w:val="24"/>
          <w:szCs w:val="24"/>
          <w:lang w:val="zh-CN"/>
        </w:rPr>
        <w:t>2020</w:t>
      </w:r>
      <w:r>
        <w:rPr>
          <w:rFonts w:hint="eastAsia" w:ascii="宋体" w:hAnsi="宋体" w:eastAsia="宋体" w:cs="宋体"/>
          <w:sz w:val="24"/>
          <w:szCs w:val="24"/>
        </w:rPr>
        <w:t>〕</w:t>
      </w:r>
      <w:r>
        <w:rPr>
          <w:rFonts w:hint="eastAsia" w:ascii="宋体" w:hAnsi="宋体" w:eastAsia="宋体" w:cs="宋体"/>
          <w:sz w:val="24"/>
          <w:szCs w:val="24"/>
          <w:lang w:val="zh-CN"/>
        </w:rPr>
        <w:t>15号）文件精神，有融资需求的</w:t>
      </w:r>
      <w:r>
        <w:rPr>
          <w:rFonts w:hint="eastAsia" w:ascii="宋体" w:hAnsi="宋体" w:eastAsia="宋体" w:cs="宋体"/>
          <w:sz w:val="24"/>
          <w:szCs w:val="24"/>
        </w:rPr>
        <w:t>中标（成交）人</w:t>
      </w:r>
      <w:r>
        <w:rPr>
          <w:rFonts w:hint="eastAsia" w:ascii="宋体" w:hAnsi="宋体" w:eastAsia="宋体" w:cs="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000000"/>
          <w:sz w:val="24"/>
          <w:szCs w:val="24"/>
          <w:lang w:val="zh-CN"/>
        </w:rPr>
        <w:fldChar w:fldCharType="begin"/>
      </w:r>
      <w:r>
        <w:rPr>
          <w:rFonts w:hint="eastAsia" w:ascii="宋体" w:hAnsi="宋体" w:eastAsia="宋体" w:cs="宋体"/>
          <w:color w:val="000000"/>
          <w:sz w:val="24"/>
          <w:szCs w:val="24"/>
          <w:lang w:val="zh-CN"/>
        </w:rPr>
        <w:instrText xml:space="preserve"> HYPERLINK "http://www.ccgp-shaanxi.gov.cn/zcdservice/zcd/shanxi/s" </w:instrText>
      </w:r>
      <w:r>
        <w:rPr>
          <w:rFonts w:hint="eastAsia" w:ascii="宋体" w:hAnsi="宋体" w:eastAsia="宋体" w:cs="宋体"/>
          <w:color w:val="000000"/>
          <w:sz w:val="24"/>
          <w:szCs w:val="24"/>
          <w:lang w:val="zh-CN"/>
        </w:rPr>
        <w:fldChar w:fldCharType="separate"/>
      </w:r>
      <w:r>
        <w:rPr>
          <w:rStyle w:val="19"/>
          <w:rFonts w:hint="eastAsia" w:ascii="宋体" w:hAnsi="宋体" w:eastAsia="宋体" w:cs="宋体"/>
          <w:color w:val="000000"/>
          <w:sz w:val="24"/>
          <w:szCs w:val="24"/>
          <w:lang w:val="zh-CN"/>
        </w:rPr>
        <w:t>http://www.ccgp-shaanxi.gov.cn/zcdservice/zcd/shanxi/s</w:t>
      </w:r>
      <w:r>
        <w:rPr>
          <w:rFonts w:hint="eastAsia" w:ascii="宋体" w:hAnsi="宋体" w:eastAsia="宋体" w:cs="宋体"/>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采购人按照磋商小组推荐的成交候选人排名顺序确定成交单位。采购代理机构将成交结果通知所有未成交的投标人</w:t>
      </w:r>
      <w:r>
        <w:rPr>
          <w:rFonts w:hint="eastAsia" w:ascii="宋体" w:hAnsi="宋体" w:eastAsia="宋体" w:cs="宋体"/>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1．</w:t>
      </w:r>
      <w:r>
        <w:rPr>
          <w:rFonts w:hint="eastAsia" w:ascii="宋体" w:hAnsi="宋体" w:eastAsia="宋体" w:cs="宋体"/>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1.2</w:t>
      </w:r>
      <w:r>
        <w:rPr>
          <w:rFonts w:hint="eastAsia" w:ascii="宋体" w:hAnsi="宋体" w:eastAsia="宋体" w:cs="宋体"/>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4．</w:t>
      </w:r>
      <w:r>
        <w:rPr>
          <w:rFonts w:hint="eastAsia" w:ascii="宋体" w:hAnsi="宋体" w:eastAsia="宋体" w:cs="宋体"/>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投标人必须填写一份《拒绝政府采购领域商业贿赂承诺书》（格式见附件）编制在响应文件中。</w:t>
      </w:r>
      <w:bookmarkStart w:id="38" w:name="_Toc208337157"/>
      <w:bookmarkStart w:id="39" w:name="_Toc245657546"/>
      <w:bookmarkStart w:id="40" w:name="_Toc207897909"/>
      <w:bookmarkStart w:id="41" w:name="_Toc245176658"/>
      <w:bookmarkStart w:id="42" w:name="_Toc245658527"/>
      <w:bookmarkStart w:id="43" w:name="_Toc244623584"/>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
          <w:kern w:val="0"/>
          <w:sz w:val="24"/>
          <w:szCs w:val="24"/>
        </w:rPr>
      </w:pPr>
      <w:r>
        <w:rPr>
          <w:rFonts w:hint="eastAsia" w:ascii="宋体" w:hAnsi="宋体" w:eastAsia="宋体" w:cs="宋体"/>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14:paraId="389B2B98">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神河镇2026年金河口社区壮大村集体经济项目</w:t>
      </w:r>
    </w:p>
    <w:p w14:paraId="52202CEB">
      <w:pPr>
        <w:adjustRightInd w:val="0"/>
        <w:snapToGrid w:val="0"/>
        <w:spacing w:line="480" w:lineRule="auto"/>
        <w:ind w:firstLine="522" w:firstLineChars="200"/>
        <w:rPr>
          <w:rFonts w:hint="eastAsia" w:ascii="宋体" w:hAnsi="宋体" w:eastAsia="宋体" w:cs="宋体"/>
          <w:b/>
          <w:bCs/>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eastAsia="zh-CN"/>
        </w:rPr>
        <w:t>神河镇</w:t>
      </w:r>
    </w:p>
    <w:p w14:paraId="45B1B931">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eastAsia="zh-CN"/>
        </w:rPr>
        <w:t>：</w:t>
      </w:r>
      <w:r>
        <w:rPr>
          <w:rFonts w:hint="eastAsia" w:ascii="宋体" w:hAnsi="宋体" w:cs="宋体"/>
          <w:b/>
          <w:bCs/>
          <w:color w:val="000000"/>
          <w:sz w:val="26"/>
          <w:szCs w:val="26"/>
          <w:highlight w:val="none"/>
          <w:lang w:val="en-US" w:eastAsia="zh-CN"/>
        </w:rPr>
        <w:t>壹拾伍万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150000.00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14:paraId="0750F9BC">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14:paraId="56C9F07F">
      <w:pPr>
        <w:pStyle w:val="2"/>
        <w:keepNext/>
        <w:keepLines/>
        <w:pageBreakBefore w:val="0"/>
        <w:widowControl w:val="0"/>
        <w:kinsoku/>
        <w:wordWrap/>
        <w:overflowPunct/>
        <w:topLinePunct w:val="0"/>
        <w:autoSpaceDE/>
        <w:autoSpaceDN/>
        <w:bidi w:val="0"/>
        <w:adjustRightInd/>
        <w:snapToGrid/>
        <w:spacing w:before="0" w:after="0" w:line="500" w:lineRule="exact"/>
        <w:jc w:val="center"/>
        <w:textAlignment w:val="auto"/>
        <w:rPr>
          <w:rFonts w:hint="eastAsia" w:ascii="宋体" w:hAnsi="宋体" w:eastAsia="宋体" w:cs="宋体"/>
          <w:sz w:val="40"/>
          <w:szCs w:val="40"/>
        </w:rPr>
      </w:pPr>
      <w:r>
        <w:rPr>
          <w:rFonts w:hint="eastAsia" w:ascii="宋体" w:hAnsi="宋体" w:eastAsia="宋体" w:cs="宋体"/>
          <w:b/>
          <w:bCs/>
          <w:color w:val="000000"/>
          <w:sz w:val="26"/>
          <w:szCs w:val="26"/>
          <w:highlight w:val="none"/>
          <w:lang w:eastAsia="zh-CN"/>
        </w:rPr>
        <w:br w:type="page"/>
      </w:r>
      <w:r>
        <w:rPr>
          <w:rFonts w:hint="eastAsia" w:ascii="宋体" w:hAnsi="宋体" w:eastAsia="宋体" w:cs="宋体"/>
          <w:sz w:val="28"/>
          <w:szCs w:val="28"/>
        </w:rPr>
        <w:t>编制说明</w:t>
      </w:r>
    </w:p>
    <w:p w14:paraId="4D73B4A7">
      <w:pPr>
        <w:keepNext w:val="0"/>
        <w:keepLines w:val="0"/>
        <w:pageBreakBefore w:val="0"/>
        <w:widowControl w:val="0"/>
        <w:numPr>
          <w:ilvl w:val="0"/>
          <w:numId w:val="5"/>
        </w:numPr>
        <w:kinsoku/>
        <w:wordWrap/>
        <w:overflowPunct/>
        <w:topLinePunct w:val="0"/>
        <w:bidi w:val="0"/>
        <w:snapToGrid/>
        <w:spacing w:line="44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14:paraId="302265C0">
      <w:pPr>
        <w:keepNext w:val="0"/>
        <w:keepLines w:val="0"/>
        <w:pageBreakBefore w:val="0"/>
        <w:widowControl/>
        <w:suppressLineNumbers w:val="0"/>
        <w:kinsoku/>
        <w:wordWrap/>
        <w:overflowPunct/>
        <w:topLinePunct w:val="0"/>
        <w:bidi w:val="0"/>
        <w:snapToGrid/>
        <w:spacing w:line="440" w:lineRule="exact"/>
        <w:ind w:left="0" w:leftChars="0" w:firstLine="480" w:firstLineChars="200"/>
        <w:jc w:val="left"/>
        <w:textAlignment w:val="auto"/>
        <w:rPr>
          <w:rFonts w:hint="default"/>
          <w:sz w:val="24"/>
          <w:szCs w:val="18"/>
          <w:lang w:val="en-US"/>
        </w:rPr>
      </w:pPr>
      <w:r>
        <w:rPr>
          <w:rFonts w:hint="eastAsia" w:ascii="宋体" w:hAnsi="宋体" w:eastAsia="宋体" w:cs="宋体"/>
          <w:sz w:val="24"/>
          <w:szCs w:val="24"/>
          <w:lang w:eastAsia="zh-CN"/>
        </w:rPr>
        <w:t>神河镇2026年金河口社区壮大村集体经济项目主要建设内容</w:t>
      </w:r>
      <w:r>
        <w:rPr>
          <w:rFonts w:hint="eastAsia" w:ascii="宋体" w:hAnsi="宋体" w:eastAsia="宋体" w:cs="宋体"/>
          <w:sz w:val="24"/>
          <w:szCs w:val="24"/>
          <w:lang w:val="en-US" w:eastAsia="zh-CN"/>
        </w:rPr>
        <w:t>为5个标准化香菇大棚，具体内容详见工程量清单。</w:t>
      </w:r>
    </w:p>
    <w:p w14:paraId="3ECB5921">
      <w:pPr>
        <w:keepNext w:val="0"/>
        <w:keepLines w:val="0"/>
        <w:pageBreakBefore w:val="0"/>
        <w:widowControl w:val="0"/>
        <w:numPr>
          <w:ilvl w:val="0"/>
          <w:numId w:val="5"/>
        </w:numPr>
        <w:kinsoku/>
        <w:wordWrap/>
        <w:overflowPunct/>
        <w:topLinePunct w:val="0"/>
        <w:bidi w:val="0"/>
        <w:snapToGrid/>
        <w:spacing w:line="440" w:lineRule="exact"/>
        <w:ind w:left="0" w:leftChars="0"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sz w:val="24"/>
          <w:szCs w:val="24"/>
        </w:rPr>
        <w:t>编制依据</w:t>
      </w:r>
    </w:p>
    <w:p w14:paraId="7A931B05">
      <w:pPr>
        <w:keepNext w:val="0"/>
        <w:keepLines w:val="0"/>
        <w:pageBreakBefore w:val="0"/>
        <w:widowControl w:val="0"/>
        <w:numPr>
          <w:ilvl w:val="0"/>
          <w:numId w:val="0"/>
        </w:numPr>
        <w:kinsoku/>
        <w:wordWrap/>
        <w:overflowPunct/>
        <w:topLinePunct w:val="0"/>
        <w:bidi w:val="0"/>
        <w:snapToGrid/>
        <w:spacing w:line="44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）》。（以下简称计价标准）；</w:t>
      </w:r>
    </w:p>
    <w:p w14:paraId="73B57C19">
      <w:pPr>
        <w:keepNext w:val="0"/>
        <w:keepLines w:val="0"/>
        <w:pageBreakBefore w:val="0"/>
        <w:widowControl w:val="0"/>
        <w:numPr>
          <w:ilvl w:val="0"/>
          <w:numId w:val="0"/>
        </w:numPr>
        <w:kinsoku/>
        <w:wordWrap/>
        <w:overflowPunct/>
        <w:topLinePunct w:val="0"/>
        <w:bidi w:val="0"/>
        <w:snapToGrid/>
        <w:spacing w:line="44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2.施工设计图中选用的相关标准图集；</w:t>
      </w:r>
    </w:p>
    <w:p w14:paraId="79965F1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3.依据设计施工图</w:t>
      </w:r>
      <w:r>
        <w:rPr>
          <w:rFonts w:hint="eastAsia" w:ascii="宋体" w:hAnsi="宋体" w:eastAsia="宋体" w:cs="宋体"/>
          <w:sz w:val="24"/>
          <w:szCs w:val="24"/>
          <w:lang w:eastAsia="zh-CN"/>
        </w:rPr>
        <w:t>。</w:t>
      </w:r>
    </w:p>
    <w:p w14:paraId="1B437D9C">
      <w:pPr>
        <w:keepNext w:val="0"/>
        <w:keepLines w:val="0"/>
        <w:pageBreakBefore w:val="0"/>
        <w:widowControl w:val="0"/>
        <w:kinsoku/>
        <w:wordWrap/>
        <w:overflowPunct/>
        <w:topLinePunct w:val="0"/>
        <w:autoSpaceDE w:val="0"/>
        <w:autoSpaceDN w:val="0"/>
        <w:bidi w:val="0"/>
        <w:adjustRightInd w:val="0"/>
        <w:snapToGrid/>
        <w:spacing w:line="44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三、软件版本及相关文件说明</w:t>
      </w:r>
    </w:p>
    <w:p w14:paraId="5C61FFF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w:t>
      </w:r>
    </w:p>
    <w:p w14:paraId="64A125C4">
      <w:pPr>
        <w:keepNext w:val="0"/>
        <w:keepLines w:val="0"/>
        <w:pageBreakBefore w:val="0"/>
        <w:kinsoku/>
        <w:wordWrap/>
        <w:overflowPunct/>
        <w:topLinePunct w:val="0"/>
        <w:bidi w:val="0"/>
        <w:snapToGrid/>
        <w:spacing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rPr>
        <w:t>消耗量定额》《20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lang w:eastAsia="zh-CN"/>
        </w:rPr>
        <w:t>基价</w:t>
      </w:r>
      <w:r>
        <w:rPr>
          <w:rFonts w:hint="eastAsia" w:ascii="宋体" w:hAnsi="宋体" w:eastAsia="宋体" w:cs="宋体"/>
          <w:sz w:val="24"/>
          <w:szCs w:val="24"/>
        </w:rPr>
        <w:t>表》以及相关配套的取费标准。</w:t>
      </w:r>
    </w:p>
    <w:p w14:paraId="6D6D2BB1">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3.执行陕建发【2019】45号文关于调整增值税税率及综合系数；</w:t>
      </w:r>
    </w:p>
    <w:p w14:paraId="2A4A985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.信息价执行《</w:t>
      </w:r>
      <w:r>
        <w:rPr>
          <w:rFonts w:hint="eastAsia" w:ascii="宋体" w:hAnsi="宋体" w:eastAsia="宋体" w:cs="宋体"/>
          <w:sz w:val="24"/>
          <w:szCs w:val="24"/>
          <w:lang w:val="en-US" w:eastAsia="zh-CN"/>
        </w:rPr>
        <w:t>安康建设工程造价信息</w:t>
      </w:r>
      <w:r>
        <w:rPr>
          <w:rFonts w:hint="eastAsia" w:ascii="宋体" w:hAnsi="宋体" w:eastAsia="宋体" w:cs="宋体"/>
          <w:sz w:val="24"/>
          <w:szCs w:val="24"/>
        </w:rPr>
        <w:t>》20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w:t>
      </w:r>
      <w:r>
        <w:rPr>
          <w:rFonts w:hint="eastAsia" w:ascii="宋体" w:hAnsi="宋体" w:eastAsia="宋体" w:cs="宋体"/>
          <w:sz w:val="24"/>
          <w:szCs w:val="24"/>
        </w:rPr>
        <w:t>期信息价</w:t>
      </w:r>
      <w:r>
        <w:rPr>
          <w:rFonts w:hint="eastAsia" w:ascii="宋体" w:hAnsi="宋体" w:eastAsia="宋体" w:cs="宋体"/>
          <w:sz w:val="24"/>
          <w:szCs w:val="24"/>
          <w:lang w:eastAsia="zh-CN"/>
        </w:rPr>
        <w:t>和</w:t>
      </w:r>
      <w:r>
        <w:rPr>
          <w:rFonts w:hint="eastAsia" w:ascii="宋体" w:hAnsi="宋体" w:eastAsia="宋体" w:cs="宋体"/>
          <w:sz w:val="24"/>
          <w:szCs w:val="24"/>
        </w:rPr>
        <w:t>《陕西工程造价管理信息》20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5月</w:t>
      </w:r>
      <w:r>
        <w:rPr>
          <w:rFonts w:hint="eastAsia" w:ascii="宋体" w:hAnsi="宋体" w:eastAsia="宋体" w:cs="宋体"/>
          <w:sz w:val="24"/>
          <w:szCs w:val="24"/>
        </w:rPr>
        <w:t>信息价</w:t>
      </w:r>
      <w:r>
        <w:rPr>
          <w:rFonts w:hint="eastAsia" w:ascii="宋体" w:hAnsi="宋体" w:eastAsia="宋体" w:cs="宋体"/>
          <w:sz w:val="24"/>
          <w:szCs w:val="24"/>
          <w:lang w:val="en-US" w:eastAsia="zh-CN"/>
        </w:rPr>
        <w:t>及</w:t>
      </w:r>
      <w:r>
        <w:rPr>
          <w:rFonts w:hint="eastAsia" w:ascii="宋体" w:hAnsi="宋体" w:eastAsia="宋体" w:cs="宋体"/>
          <w:sz w:val="24"/>
          <w:szCs w:val="24"/>
        </w:rPr>
        <w:t>市场调研</w:t>
      </w:r>
      <w:r>
        <w:rPr>
          <w:rFonts w:hint="eastAsia" w:ascii="宋体" w:hAnsi="宋体" w:eastAsia="宋体" w:cs="宋体"/>
          <w:sz w:val="24"/>
          <w:szCs w:val="24"/>
          <w:lang w:eastAsia="zh-CN"/>
        </w:rPr>
        <w:t>；</w:t>
      </w:r>
    </w:p>
    <w:p w14:paraId="3E0A600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5.本工程采用广联达GCCP7.0版本编制。</w:t>
      </w:r>
    </w:p>
    <w:p w14:paraId="54DB4A22">
      <w:pPr>
        <w:keepNext w:val="0"/>
        <w:keepLines w:val="0"/>
        <w:pageBreakBefore w:val="0"/>
        <w:widowControl w:val="0"/>
        <w:kinsoku/>
        <w:wordWrap/>
        <w:overflowPunct/>
        <w:topLinePunct w:val="0"/>
        <w:autoSpaceDE w:val="0"/>
        <w:autoSpaceDN w:val="0"/>
        <w:bidi w:val="0"/>
        <w:adjustRightInd w:val="0"/>
        <w:snapToGrid/>
        <w:spacing w:line="44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四、投标人计价要求</w:t>
      </w:r>
    </w:p>
    <w:p w14:paraId="0C6086BB">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1.投标人应依据《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》规定和招标文件要求进行自主计价。工程量清单计价内容包括分部分项工程费、措施项目费、其它项目费、税金。工程量清单计价以综合单价计价，综合单价应根据《</w:t>
      </w:r>
      <w:r>
        <w:rPr>
          <w:rFonts w:hint="eastAsia" w:ascii="宋体" w:hAnsi="宋体" w:eastAsia="宋体" w:cs="宋体"/>
          <w:sz w:val="24"/>
          <w:szCs w:val="24"/>
          <w:lang w:eastAsia="zh-CN"/>
        </w:rPr>
        <w:t>计价标准</w:t>
      </w:r>
      <w:r>
        <w:rPr>
          <w:rFonts w:hint="eastAsia" w:ascii="宋体" w:hAnsi="宋体" w:eastAsia="宋体" w:cs="宋体"/>
          <w:sz w:val="24"/>
          <w:szCs w:val="24"/>
        </w:rPr>
        <w:t>》的程序组价</w:t>
      </w:r>
      <w:r>
        <w:rPr>
          <w:rFonts w:hint="eastAsia" w:ascii="宋体" w:hAnsi="宋体" w:eastAsia="宋体" w:cs="宋体"/>
          <w:sz w:val="24"/>
          <w:szCs w:val="24"/>
          <w:lang w:eastAsia="zh-CN"/>
        </w:rPr>
        <w:t>；</w:t>
      </w:r>
    </w:p>
    <w:p w14:paraId="67192C19">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2.工程量清单中的每一个项目都需填入单价，对于没有填入单价或总额价的项目，其费用应视为已包括在工程量的其它单价或总额中、承包人必须按设计文件完成工程量清单中未填入单价或总额价的工程项目</w:t>
      </w:r>
      <w:r>
        <w:rPr>
          <w:rFonts w:hint="eastAsia" w:ascii="宋体" w:hAnsi="宋体" w:eastAsia="宋体" w:cs="宋体"/>
          <w:sz w:val="24"/>
          <w:szCs w:val="24"/>
          <w:lang w:eastAsia="zh-CN"/>
        </w:rPr>
        <w:t>；</w:t>
      </w:r>
    </w:p>
    <w:p w14:paraId="505875F7">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3.本工程量清单所提供的工程项目其工程内容仅表达了主要工程做法，报价时各投标单位应依据图纸用料说明、相关图集，结合招标文件、技术规范、图纸等文件来进行组价</w:t>
      </w:r>
      <w:r>
        <w:rPr>
          <w:rFonts w:hint="eastAsia" w:ascii="宋体" w:hAnsi="宋体" w:eastAsia="宋体" w:cs="宋体"/>
          <w:sz w:val="24"/>
          <w:szCs w:val="24"/>
          <w:lang w:eastAsia="zh-CN"/>
        </w:rPr>
        <w:t>；</w:t>
      </w:r>
    </w:p>
    <w:p w14:paraId="7C06054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4.投标人根据《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投标文件要求格式计价，其中人工费、材料费、机械费，投标人应根据施工组织设计、企业实际情况、市场信息价自主报价。组价时应充分考虑以下因素：人工费、材料费、机械费社会价格浮动因素，自然灾害及停水、停电、停窝工损失等风险费用。</w:t>
      </w:r>
    </w:p>
    <w:p w14:paraId="12D74E92">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560" w:firstLineChars="200"/>
        <w:jc w:val="left"/>
        <w:textAlignment w:val="auto"/>
        <w:rPr>
          <w:rFonts w:hint="eastAsia" w:ascii="宋体" w:hAnsi="宋体" w:eastAsia="宋体" w:cs="宋体"/>
          <w:sz w:val="28"/>
          <w:szCs w:val="28"/>
          <w:lang w:val="en-US" w:eastAsia="zh-CN"/>
        </w:rPr>
      </w:pPr>
    </w:p>
    <w:p w14:paraId="1C6E9273">
      <w:pPr>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br w:type="page"/>
      </w:r>
    </w:p>
    <w:p w14:paraId="43F2D62C">
      <w:pPr>
        <w:jc w:val="center"/>
        <w:rPr>
          <w:rFonts w:hint="default" w:ascii="宋体" w:hAnsi="宋体" w:eastAsia="宋体" w:cs="宋体"/>
          <w:b/>
          <w:bCs/>
          <w:color w:val="000000"/>
          <w:sz w:val="26"/>
          <w:szCs w:val="26"/>
          <w:highlight w:val="none"/>
          <w:lang w:val="en-US" w:eastAsia="zh-CN"/>
        </w:rPr>
      </w:pPr>
      <w:r>
        <w:rPr>
          <w:rFonts w:hint="eastAsia" w:ascii="宋体" w:hAnsi="宋体" w:cs="宋体"/>
          <w:b/>
          <w:bCs/>
          <w:color w:val="000000"/>
          <w:sz w:val="26"/>
          <w:szCs w:val="26"/>
          <w:highlight w:val="none"/>
          <w:lang w:val="en-US" w:eastAsia="zh-CN"/>
        </w:rPr>
        <w:t>工程量清单</w:t>
      </w:r>
    </w:p>
    <w:p w14:paraId="0663F0F8">
      <w:pPr>
        <w:jc w:val="center"/>
        <w:rPr>
          <w:rFonts w:hint="eastAsia" w:ascii="宋体" w:hAnsi="宋体" w:cs="宋体"/>
          <w:b/>
          <w:bCs w:val="0"/>
          <w:color w:val="auto"/>
          <w:kern w:val="2"/>
          <w:sz w:val="36"/>
          <w:szCs w:val="36"/>
          <w:highlight w:val="none"/>
          <w:lang w:val="en-US" w:eastAsia="zh-CN" w:bidi="ar-SA"/>
        </w:rPr>
      </w:pPr>
      <w:r>
        <w:rPr>
          <w:rFonts w:hint="eastAsia" w:ascii="宋体" w:hAnsi="宋体" w:cs="宋体"/>
          <w:b/>
          <w:bCs w:val="0"/>
          <w:color w:val="auto"/>
          <w:kern w:val="2"/>
          <w:sz w:val="36"/>
          <w:szCs w:val="36"/>
          <w:highlight w:val="none"/>
          <w:lang w:val="en-US" w:eastAsia="zh-CN" w:bidi="ar-SA"/>
        </w:rPr>
        <w:drawing>
          <wp:inline distT="0" distB="0" distL="114300" distR="114300">
            <wp:extent cx="5413375" cy="7661910"/>
            <wp:effectExtent l="0" t="0" r="15875" b="15240"/>
            <wp:docPr id="6" name="图片 6" descr="神河镇2026年金河口社区壮大村集体经济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神河镇2026年金河口社区壮大村集体经济项目_02"/>
                    <pic:cNvPicPr>
                      <a:picLocks noChangeAspect="1"/>
                    </pic:cNvPicPr>
                  </pic:nvPicPr>
                  <pic:blipFill>
                    <a:blip r:embed="rId6"/>
                    <a:stretch>
                      <a:fillRect/>
                    </a:stretch>
                  </pic:blipFill>
                  <pic:spPr>
                    <a:xfrm>
                      <a:off x="0" y="0"/>
                      <a:ext cx="5413375" cy="7661910"/>
                    </a:xfrm>
                    <a:prstGeom prst="rect">
                      <a:avLst/>
                    </a:prstGeom>
                  </pic:spPr>
                </pic:pic>
              </a:graphicData>
            </a:graphic>
          </wp:inline>
        </w:drawing>
      </w:r>
      <w:r>
        <w:rPr>
          <w:rFonts w:hint="eastAsia" w:ascii="宋体" w:hAnsi="宋体" w:cs="宋体"/>
          <w:b/>
          <w:bCs w:val="0"/>
          <w:color w:val="auto"/>
          <w:kern w:val="2"/>
          <w:sz w:val="36"/>
          <w:szCs w:val="36"/>
          <w:highlight w:val="none"/>
          <w:lang w:val="en-US" w:eastAsia="zh-CN" w:bidi="ar-SA"/>
        </w:rPr>
        <w:drawing>
          <wp:inline distT="0" distB="0" distL="114300" distR="114300">
            <wp:extent cx="6165215" cy="8726170"/>
            <wp:effectExtent l="0" t="0" r="6985" b="17780"/>
            <wp:docPr id="3" name="图片 3" descr="神河镇2026年金河口社区壮大村集体经济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神河镇2026年金河口社区壮大村集体经济项目_03"/>
                    <pic:cNvPicPr>
                      <a:picLocks noChangeAspect="1"/>
                    </pic:cNvPicPr>
                  </pic:nvPicPr>
                  <pic:blipFill>
                    <a:blip r:embed="rId7"/>
                    <a:stretch>
                      <a:fillRect/>
                    </a:stretch>
                  </pic:blipFill>
                  <pic:spPr>
                    <a:xfrm>
                      <a:off x="0" y="0"/>
                      <a:ext cx="6165215" cy="8726170"/>
                    </a:xfrm>
                    <a:prstGeom prst="rect">
                      <a:avLst/>
                    </a:prstGeom>
                  </pic:spPr>
                </pic:pic>
              </a:graphicData>
            </a:graphic>
          </wp:inline>
        </w:drawing>
      </w:r>
      <w:r>
        <w:rPr>
          <w:rFonts w:hint="eastAsia" w:ascii="宋体" w:hAnsi="宋体" w:cs="宋体"/>
          <w:b/>
          <w:bCs w:val="0"/>
          <w:color w:val="auto"/>
          <w:kern w:val="2"/>
          <w:sz w:val="36"/>
          <w:szCs w:val="36"/>
          <w:highlight w:val="none"/>
          <w:lang w:val="en-US" w:eastAsia="zh-CN" w:bidi="ar-SA"/>
        </w:rPr>
        <w:drawing>
          <wp:inline distT="0" distB="0" distL="114300" distR="114300">
            <wp:extent cx="6165215" cy="8726170"/>
            <wp:effectExtent l="0" t="0" r="6985" b="17780"/>
            <wp:docPr id="2" name="图片 2" descr="神河镇2026年金河口社区壮大村集体经济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神河镇2026年金河口社区壮大村集体经济项目_04"/>
                    <pic:cNvPicPr>
                      <a:picLocks noChangeAspect="1"/>
                    </pic:cNvPicPr>
                  </pic:nvPicPr>
                  <pic:blipFill>
                    <a:blip r:embed="rId8"/>
                    <a:stretch>
                      <a:fillRect/>
                    </a:stretch>
                  </pic:blipFill>
                  <pic:spPr>
                    <a:xfrm>
                      <a:off x="0" y="0"/>
                      <a:ext cx="6165215" cy="8726170"/>
                    </a:xfrm>
                    <a:prstGeom prst="rect">
                      <a:avLst/>
                    </a:prstGeom>
                  </pic:spPr>
                </pic:pic>
              </a:graphicData>
            </a:graphic>
          </wp:inline>
        </w:drawing>
      </w:r>
      <w:r>
        <w:rPr>
          <w:rFonts w:hint="eastAsia" w:ascii="宋体" w:hAnsi="宋体" w:cs="宋体"/>
          <w:b/>
          <w:bCs w:val="0"/>
          <w:color w:val="auto"/>
          <w:kern w:val="2"/>
          <w:sz w:val="36"/>
          <w:szCs w:val="36"/>
          <w:highlight w:val="none"/>
          <w:lang w:val="en-US" w:eastAsia="zh-CN" w:bidi="ar-SA"/>
        </w:rPr>
        <w:drawing>
          <wp:inline distT="0" distB="0" distL="114300" distR="114300">
            <wp:extent cx="6165215" cy="8726170"/>
            <wp:effectExtent l="0" t="0" r="6985" b="17780"/>
            <wp:docPr id="1" name="图片 1" descr="神河镇2026年金河口社区壮大村集体经济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神河镇2026年金河口社区壮大村集体经济项目_05"/>
                    <pic:cNvPicPr>
                      <a:picLocks noChangeAspect="1"/>
                    </pic:cNvPicPr>
                  </pic:nvPicPr>
                  <pic:blipFill>
                    <a:blip r:embed="rId9"/>
                    <a:stretch>
                      <a:fillRect/>
                    </a:stretch>
                  </pic:blipFill>
                  <pic:spPr>
                    <a:xfrm>
                      <a:off x="0" y="0"/>
                      <a:ext cx="6165215" cy="8726170"/>
                    </a:xfrm>
                    <a:prstGeom prst="rect">
                      <a:avLst/>
                    </a:prstGeom>
                  </pic:spPr>
                </pic:pic>
              </a:graphicData>
            </a:graphic>
          </wp:inline>
        </w:drawing>
      </w:r>
    </w:p>
    <w:p w14:paraId="4BC0D871">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神河镇2026年金河口社区壮大村集体经济项目</w:t>
      </w:r>
      <w:r>
        <w:rPr>
          <w:rFonts w:hint="eastAsia" w:ascii="宋体" w:hAnsi="宋体" w:eastAsia="宋体" w:cs="宋体"/>
          <w:b w:val="0"/>
          <w:bCs w:val="0"/>
          <w:color w:val="auto"/>
          <w:sz w:val="24"/>
          <w:szCs w:val="24"/>
          <w:highlight w:val="none"/>
          <w:lang w:val="en-US" w:eastAsia="zh-CN"/>
        </w:rPr>
        <w:t>（工程量清单全部内容）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8E3628E">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14:paraId="6CC2B3FF">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14:paraId="48E98C6D">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853" w:firstLineChars="236"/>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058ABC76">
      <w:pPr>
        <w:rPr>
          <w:rFonts w:hint="eastAsia" w:ascii="宋体" w:hAnsi="宋体" w:eastAsia="宋体" w:cs="宋体"/>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r>
        <w:rPr>
          <w:rFonts w:hint="eastAsia" w:ascii="宋体" w:hAnsi="宋体" w:eastAsia="宋体" w:cs="宋体"/>
          <w:b/>
          <w:bCs/>
          <w:kern w:val="2"/>
          <w:sz w:val="52"/>
          <w:szCs w:val="52"/>
          <w:u w:val="single"/>
          <w:lang w:val="en-US" w:eastAsia="zh-CN"/>
        </w:rPr>
        <w:br w:type="page"/>
      </w:r>
      <w:bookmarkStart w:id="44" w:name="_Toc296890982"/>
      <w:bookmarkStart w:id="45" w:name="_Toc351203480"/>
      <w:bookmarkStart w:id="46" w:name="_Toc296503025"/>
    </w:p>
    <w:bookmarkEnd w:id="44"/>
    <w:bookmarkEnd w:id="45"/>
    <w:bookmarkEnd w:id="46"/>
    <w:p w14:paraId="565BAB95">
      <w:pPr>
        <w:spacing w:line="254" w:lineRule="auto"/>
        <w:rPr>
          <w:rFonts w:hint="eastAsia" w:ascii="宋体" w:hAnsi="宋体" w:eastAsia="宋体" w:cs="宋体"/>
          <w:sz w:val="21"/>
        </w:rPr>
      </w:pPr>
    </w:p>
    <w:p w14:paraId="7208BAE1">
      <w:pPr>
        <w:jc w:val="center"/>
        <w:rPr>
          <w:rFonts w:hint="eastAsia"/>
          <w:b/>
          <w:bCs/>
          <w:sz w:val="52"/>
          <w:szCs w:val="52"/>
          <w:lang w:eastAsia="zh-CN"/>
        </w:rPr>
      </w:pPr>
      <w:r>
        <w:rPr>
          <w:rFonts w:hint="eastAsia"/>
          <w:b/>
          <w:bCs/>
          <w:sz w:val="52"/>
          <w:szCs w:val="52"/>
          <w:lang w:eastAsia="zh-CN"/>
        </w:rPr>
        <w:t>合同主要条款</w:t>
      </w:r>
    </w:p>
    <w:p w14:paraId="38F8CA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8"/>
          <w:szCs w:val="28"/>
          <w:lang w:eastAsia="zh-CN"/>
        </w:rPr>
        <w:t>（</w:t>
      </w:r>
      <w:r>
        <w:rPr>
          <w:rFonts w:hint="eastAsia"/>
          <w:sz w:val="24"/>
          <w:szCs w:val="24"/>
          <w:lang w:eastAsia="zh-CN"/>
        </w:rPr>
        <w:t>本合同仅供参考，合同签订双方可根据项目具体情况进行调整）</w:t>
      </w:r>
    </w:p>
    <w:p w14:paraId="532F56E2">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eastAsia="zh-CN"/>
        </w:rPr>
        <w:t>承包范围：</w:t>
      </w:r>
    </w:p>
    <w:p w14:paraId="040323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lang w:eastAsia="zh-CN"/>
        </w:rPr>
        <w:t>工期：</w:t>
      </w:r>
      <w:r>
        <w:rPr>
          <w:rFonts w:hint="eastAsia"/>
          <w:sz w:val="24"/>
          <w:szCs w:val="24"/>
          <w:lang w:val="en-US" w:eastAsia="zh-CN"/>
        </w:rPr>
        <w:t xml:space="preserve">签订合同后 </w:t>
      </w:r>
      <w:r>
        <w:rPr>
          <w:rFonts w:hint="eastAsia"/>
          <w:sz w:val="24"/>
          <w:szCs w:val="24"/>
          <w:u w:val="single"/>
          <w:lang w:val="en-US" w:eastAsia="zh-CN"/>
        </w:rPr>
        <w:t xml:space="preserve">    </w:t>
      </w:r>
      <w:r>
        <w:rPr>
          <w:rFonts w:hint="eastAsia"/>
          <w:sz w:val="24"/>
          <w:szCs w:val="24"/>
          <w:u w:val="none"/>
          <w:lang w:val="en-US" w:eastAsia="zh-CN"/>
        </w:rPr>
        <w:t xml:space="preserve"> 日历天内。</w:t>
      </w:r>
    </w:p>
    <w:p w14:paraId="15085A6F">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工程质量：合格</w:t>
      </w:r>
    </w:p>
    <w:p w14:paraId="3739824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承发包方式：包公包料、包工期、包质量、包安全文明施工的施工总承包。</w:t>
      </w:r>
    </w:p>
    <w:p w14:paraId="05B0A60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本工程严禁转包，不得肢解分包。</w:t>
      </w:r>
    </w:p>
    <w:p w14:paraId="7C7DF50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适用法律和法规：《中华人民共和国建筑法》、《中华人民共和国合同法》、《中华人民共和国政府采购法》、国务院《建设工程质量管理条例》、国务院《建设工程安全生产管理条例》等国家、地方部门有关法律法规。</w:t>
      </w:r>
    </w:p>
    <w:p w14:paraId="3D5A1FA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安全生产</w:t>
      </w:r>
    </w:p>
    <w:p w14:paraId="42990D5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787B8CA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2、乙方为实施本合同工程所需人员、机械设备及其它物品向保险公司足额投保，保险费用纳入工程总价之中，由乙方支付。</w:t>
      </w:r>
    </w:p>
    <w:p w14:paraId="062936E0">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合同价款、支付、调整及竣工结算</w:t>
      </w:r>
    </w:p>
    <w:p w14:paraId="596C572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本工程合同价款为：</w:t>
      </w:r>
    </w:p>
    <w:p w14:paraId="0B04CD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大写：</w:t>
      </w:r>
      <w:r>
        <w:rPr>
          <w:rFonts w:hint="eastAsia"/>
          <w:sz w:val="24"/>
          <w:szCs w:val="24"/>
          <w:u w:val="single"/>
          <w:lang w:val="en-US" w:eastAsia="zh-CN"/>
        </w:rPr>
        <w:t xml:space="preserve">                  </w:t>
      </w:r>
      <w:r>
        <w:rPr>
          <w:rFonts w:hint="eastAsia"/>
          <w:sz w:val="24"/>
          <w:szCs w:val="24"/>
          <w:u w:val="none"/>
          <w:lang w:val="en-US" w:eastAsia="zh-CN"/>
        </w:rPr>
        <w:t>人民币；（</w:t>
      </w:r>
      <w:r>
        <w:rPr>
          <w:rFonts w:hint="default" w:ascii="Arial" w:hAnsi="Arial" w:cs="Arial"/>
          <w:sz w:val="24"/>
          <w:szCs w:val="24"/>
          <w:u w:val="none"/>
          <w:lang w:val="en-US" w:eastAsia="zh-CN"/>
        </w:rPr>
        <w:t>¥</w:t>
      </w:r>
      <w:r>
        <w:rPr>
          <w:rFonts w:hint="eastAsia" w:asciiTheme="minorEastAsia" w:hAnsiTheme="minorEastAsia" w:cstheme="minorEastAsia"/>
          <w:sz w:val="24"/>
          <w:szCs w:val="24"/>
          <w:u w:val="none"/>
          <w:lang w:val="en-US" w:eastAsia="zh-CN"/>
        </w:rPr>
        <w:t>：</w:t>
      </w:r>
      <w:r>
        <w:rPr>
          <w:rFonts w:hint="eastAsia"/>
          <w:sz w:val="24"/>
          <w:szCs w:val="24"/>
          <w:u w:val="single"/>
          <w:lang w:val="en-US" w:eastAsia="zh-CN"/>
        </w:rPr>
        <w:t xml:space="preserve">            </w:t>
      </w:r>
      <w:r>
        <w:rPr>
          <w:rFonts w:hint="eastAsia"/>
          <w:sz w:val="24"/>
          <w:szCs w:val="24"/>
          <w:u w:val="none"/>
          <w:lang w:val="en-US" w:eastAsia="zh-CN"/>
        </w:rPr>
        <w:t>元）。</w:t>
      </w:r>
    </w:p>
    <w:p w14:paraId="4027E22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工程款的支付</w:t>
      </w:r>
    </w:p>
    <w:p w14:paraId="1D7ACF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按工程进度拨付工程款，具体以合同约定。</w:t>
      </w:r>
    </w:p>
    <w:p w14:paraId="5A2910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合同价款的调整</w:t>
      </w:r>
    </w:p>
    <w:p w14:paraId="2AB169C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3.1承包人在报价时已考虑了施工期间可能出现的政策、施工环境和市场的变化可能影响工程造价的因素，除发生下述情况按实调整外，承包人不得再以其他任何原因提出调整工程造价。</w:t>
      </w:r>
    </w:p>
    <w:p w14:paraId="56EBA1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3.1.1发包人工地代表确认的工程量增减</w:t>
      </w:r>
    </w:p>
    <w:p w14:paraId="12CAE82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3.1.1发包人工地代表确认的涉及变更或工程洽谈</w:t>
      </w:r>
    </w:p>
    <w:p w14:paraId="00DCF7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3.2合同价款调整计算办法</w:t>
      </w:r>
    </w:p>
    <w:p w14:paraId="3EC3F98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发包人指定或暂定单价的材料和设备，按发包人现场签署的认质认价单进行合同价款的调整；但承包人投标时根据市场行情自主报价的材料和设备的实际采购价格与原报价有差异的不予调整。</w:t>
      </w:r>
    </w:p>
    <w:p w14:paraId="05E1F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4、竣工结算</w:t>
      </w:r>
    </w:p>
    <w:p w14:paraId="23FB1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4.1 工程通过竣工验收并交付使用后承包人与发包人递交竣工结算报告及完整的结算资料，发包人收到承包人递交的竣工结算报告及完整的结算资料后进行初审，并提出修改意见。</w:t>
      </w:r>
    </w:p>
    <w:p w14:paraId="0CCCDF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4.2 审计或造价咨询机构对工程竣工价款的最终审定应在双方对初审结论达成共识后；工程竣工结算价款经审计或造价咨询机构审核确定后，按以上工程款支付方式支付</w:t>
      </w:r>
    </w:p>
    <w:p w14:paraId="764AEC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sz w:val="24"/>
          <w:szCs w:val="24"/>
          <w:u w:val="none"/>
          <w:lang w:val="en-US" w:eastAsia="zh-CN"/>
        </w:rPr>
      </w:pPr>
      <w:r>
        <w:rPr>
          <w:rFonts w:hint="eastAsia"/>
          <w:sz w:val="24"/>
          <w:szCs w:val="24"/>
          <w:u w:val="none"/>
          <w:lang w:val="en-US" w:eastAsia="zh-CN"/>
        </w:rPr>
        <w:t>九、承包人采购的材料、设备均应满足设计和规范要求的质量等级和环保要求，并应向发包人和监理机构提供产品合格证明和检验资料，因材料质量引起的工程质量、环境污染问题，由承包人承担所造成的一切损失。</w:t>
      </w:r>
    </w:p>
    <w:p w14:paraId="7B1CB6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甲方（签章）：</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乙方（签章）</w:t>
      </w:r>
    </w:p>
    <w:p w14:paraId="21ABAE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Arial" w:hAnsi="Arial" w:eastAsia="宋体" w:cs="Arial"/>
          <w:i w:val="0"/>
          <w:caps w:val="0"/>
          <w:color w:val="333333"/>
          <w:spacing w:val="0"/>
          <w:sz w:val="24"/>
          <w:szCs w:val="24"/>
          <w:lang w:val="en-US" w:eastAsia="zh-CN"/>
        </w:rPr>
      </w:pP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p>
    <w:p w14:paraId="1CEBCF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合同签订地：</w:t>
      </w:r>
    </w:p>
    <w:p w14:paraId="63B3F620">
      <w:pPr>
        <w:rPr>
          <w:rFonts w:hint="eastAsia" w:ascii="宋体" w:hAnsi="宋体" w:eastAsia="宋体" w:cs="宋体"/>
          <w:sz w:val="24"/>
          <w:szCs w:val="24"/>
        </w:rPr>
      </w:pPr>
    </w:p>
    <w:p w14:paraId="2DEB01DA">
      <w:pPr>
        <w:rPr>
          <w:rFonts w:hint="eastAsia" w:ascii="宋体" w:hAnsi="宋体" w:eastAsia="宋体" w:cs="宋体"/>
          <w:sz w:val="24"/>
          <w:szCs w:val="24"/>
        </w:rPr>
      </w:pPr>
      <w:r>
        <w:rPr>
          <w:rFonts w:hint="eastAsia" w:ascii="宋体" w:hAnsi="宋体" w:eastAsia="宋体" w:cs="宋体"/>
          <w:sz w:val="24"/>
          <w:szCs w:val="24"/>
        </w:rPr>
        <w:br w:type="page"/>
      </w:r>
    </w:p>
    <w:p w14:paraId="57064202">
      <w:pPr>
        <w:ind w:firstLine="480" w:firstLineChars="200"/>
        <w:rPr>
          <w:rFonts w:hint="eastAsia" w:ascii="宋体" w:hAnsi="宋体" w:eastAsia="宋体" w:cs="宋体"/>
          <w:sz w:val="24"/>
          <w:szCs w:val="24"/>
        </w:rPr>
      </w:pPr>
    </w:p>
    <w:p w14:paraId="35D1EFC5">
      <w:pPr>
        <w:rPr>
          <w:rFonts w:hint="eastAsia" w:ascii="宋体" w:hAnsi="宋体" w:eastAsia="宋体" w:cs="宋体"/>
          <w:color w:val="333333"/>
          <w:sz w:val="30"/>
          <w:szCs w:val="30"/>
          <w:u w:val="none"/>
        </w:rPr>
      </w:pPr>
    </w:p>
    <w:p w14:paraId="51FE8445">
      <w:pPr>
        <w:numPr>
          <w:ilvl w:val="0"/>
          <w:numId w:val="6"/>
        </w:numPr>
        <w:ind w:left="0" w:leftChars="0" w:firstLine="853" w:firstLineChars="236"/>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磋商响应文件格式</w:t>
      </w: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bCs w:val="0"/>
          <w:color w:val="auto"/>
          <w:kern w:val="2"/>
          <w:sz w:val="32"/>
          <w:szCs w:val="32"/>
          <w:highlight w:val="none"/>
          <w:lang w:val="en-US" w:eastAsia="zh-CN" w:bidi="ar-SA"/>
        </w:rPr>
      </w:pPr>
    </w:p>
    <w:p w14:paraId="5288A347">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神河镇2026年金河口社区壮</w:t>
      </w:r>
    </w:p>
    <w:p w14:paraId="1541DDD6">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大村集体经济项目</w:t>
      </w:r>
    </w:p>
    <w:p w14:paraId="63CE0D8E">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14:paraId="70BBDD93">
      <w:pPr>
        <w:spacing w:line="440" w:lineRule="exact"/>
        <w:jc w:val="cente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SXFD20260615006</w:t>
      </w:r>
    </w:p>
    <w:p w14:paraId="5123B653">
      <w:pPr>
        <w:spacing w:line="440" w:lineRule="exact"/>
        <w:jc w:val="center"/>
        <w:rPr>
          <w:rFonts w:hint="eastAsia" w:ascii="宋体" w:hAnsi="宋体" w:eastAsia="宋体" w:cs="宋体"/>
          <w:b w:val="0"/>
          <w:bCs/>
          <w:color w:val="auto"/>
          <w:highlight w:val="none"/>
          <w:lang w:eastAsia="zh-CN"/>
        </w:rPr>
      </w:pPr>
    </w:p>
    <w:p w14:paraId="1FA4E367">
      <w:pPr>
        <w:spacing w:line="440" w:lineRule="exact"/>
        <w:rPr>
          <w:rFonts w:hint="eastAsia" w:ascii="宋体" w:hAnsi="宋体" w:eastAsia="宋体" w:cs="宋体"/>
          <w:b w:val="0"/>
          <w:bCs/>
          <w:color w:val="auto"/>
          <w:sz w:val="160"/>
          <w:szCs w:val="56"/>
          <w:highlight w:val="none"/>
        </w:rPr>
      </w:pPr>
    </w:p>
    <w:p w14:paraId="11643015">
      <w:pPr>
        <w:spacing w:line="240" w:lineRule="auto"/>
        <w:rPr>
          <w:rFonts w:hint="eastAsia" w:ascii="宋体" w:hAnsi="宋体" w:eastAsia="宋体" w:cs="宋体"/>
          <w:b w:val="0"/>
          <w:bCs/>
          <w:color w:val="auto"/>
          <w:sz w:val="21"/>
          <w:szCs w:val="15"/>
          <w:highlight w:val="none"/>
        </w:rPr>
      </w:pPr>
    </w:p>
    <w:p w14:paraId="5C9E2819">
      <w:pPr>
        <w:pStyle w:val="7"/>
        <w:rPr>
          <w:rFonts w:hint="eastAsia" w:ascii="宋体" w:hAnsi="宋体" w:eastAsia="宋体" w:cs="宋体"/>
          <w:b w:val="0"/>
          <w:bCs/>
          <w:color w:val="auto"/>
          <w:sz w:val="52"/>
          <w:szCs w:val="15"/>
          <w:highlight w:val="none"/>
        </w:rPr>
      </w:pPr>
    </w:p>
    <w:p w14:paraId="09EF45B6">
      <w:pPr>
        <w:spacing w:line="240" w:lineRule="auto"/>
        <w:rPr>
          <w:rFonts w:hint="eastAsia" w:ascii="宋体" w:hAnsi="宋体" w:eastAsia="宋体" w:cs="宋体"/>
          <w:b w:val="0"/>
          <w:bCs/>
          <w:color w:val="auto"/>
          <w:sz w:val="21"/>
          <w:szCs w:val="15"/>
          <w:highlight w:val="none"/>
        </w:rPr>
      </w:pPr>
    </w:p>
    <w:p w14:paraId="4E596B87">
      <w:pPr>
        <w:rPr>
          <w:rFonts w:hint="eastAsia" w:ascii="宋体" w:hAnsi="宋体" w:eastAsia="宋体" w:cs="宋体"/>
          <w:b w:val="0"/>
          <w:bCs/>
          <w:color w:val="auto"/>
          <w:highlight w:val="none"/>
        </w:rPr>
      </w:pPr>
    </w:p>
    <w:p w14:paraId="1BDF039D">
      <w:pPr>
        <w:spacing w:line="440" w:lineRule="exact"/>
        <w:rPr>
          <w:rFonts w:hint="eastAsia" w:ascii="宋体" w:hAnsi="宋体" w:eastAsia="宋体" w:cs="宋体"/>
          <w:b w:val="0"/>
          <w:bCs/>
          <w:color w:val="auto"/>
          <w:highlight w:val="none"/>
        </w:rPr>
      </w:pPr>
    </w:p>
    <w:p w14:paraId="2F0B4BE7">
      <w:pPr>
        <w:spacing w:line="480" w:lineRule="auto"/>
        <w:ind w:firstLine="1280" w:firstLineChars="400"/>
        <w:rPr>
          <w:rFonts w:hint="eastAsia" w:ascii="宋体" w:hAnsi="宋体" w:eastAsia="宋体" w:cs="宋体"/>
          <w:b w:val="0"/>
          <w:bCs/>
          <w:color w:val="auto"/>
          <w:sz w:val="32"/>
          <w:szCs w:val="18"/>
          <w:highlight w:val="none"/>
          <w:lang w:eastAsia="zh-CN"/>
        </w:rPr>
      </w:pPr>
    </w:p>
    <w:p w14:paraId="369A01BB">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14:paraId="1F94B3B4">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14:paraId="69B8DB71">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CBAA6A">
      <w:pPr>
        <w:pageBreakBefore w:val="0"/>
        <w:kinsoku/>
        <w:overflowPunct/>
        <w:topLinePunct w:val="0"/>
        <w:bidi w:val="0"/>
        <w:spacing w:line="480" w:lineRule="exact"/>
        <w:ind w:right="0" w:rightChars="0"/>
        <w:jc w:val="center"/>
        <w:rPr>
          <w:rFonts w:hint="eastAsia" w:ascii="宋体" w:hAnsi="宋体" w:eastAsia="宋体" w:cs="宋体"/>
          <w:b/>
          <w:bCs/>
          <w:color w:val="auto"/>
          <w:sz w:val="28"/>
          <w:szCs w:val="28"/>
          <w:highlight w:val="none"/>
          <w:u w:val="none"/>
          <w:lang w:val="en-US" w:eastAsia="zh-CN"/>
        </w:rPr>
      </w:pPr>
      <w:r>
        <w:rPr>
          <w:rFonts w:hint="eastAsia" w:ascii="宋体" w:hAnsi="宋体" w:eastAsia="宋体" w:cs="宋体"/>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旬阳市神河镇人民政府</w:t>
      </w:r>
      <w:r>
        <w:rPr>
          <w:rFonts w:hint="eastAsia" w:ascii="宋体" w:hAnsi="宋体" w:eastAsia="宋体" w:cs="宋体"/>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根据贵方为</w:t>
      </w:r>
      <w:r>
        <w:rPr>
          <w:rFonts w:hint="eastAsia" w:ascii="宋体" w:hAnsi="宋体" w:eastAsia="宋体" w:cs="宋体"/>
          <w:sz w:val="24"/>
          <w:szCs w:val="24"/>
          <w:u w:val="single"/>
        </w:rPr>
        <w:t xml:space="preserve">    （采购项目名称）（项目编号）</w:t>
      </w:r>
      <w:r>
        <w:rPr>
          <w:rFonts w:hint="eastAsia" w:ascii="宋体" w:hAnsi="宋体" w:eastAsia="宋体" w:cs="宋体"/>
          <w:sz w:val="24"/>
          <w:szCs w:val="24"/>
        </w:rPr>
        <w:t>招标采购的竞争性</w:t>
      </w:r>
      <w:r>
        <w:rPr>
          <w:rFonts w:hint="eastAsia" w:ascii="宋体" w:hAnsi="宋体" w:eastAsia="宋体" w:cs="宋体"/>
          <w:sz w:val="24"/>
          <w:szCs w:val="24"/>
          <w:lang w:eastAsia="zh-CN"/>
        </w:rPr>
        <w:t>磋商</w:t>
      </w:r>
      <w:r>
        <w:rPr>
          <w:rFonts w:hint="eastAsia" w:ascii="宋体" w:hAnsi="宋体" w:eastAsia="宋体" w:cs="宋体"/>
          <w:sz w:val="24"/>
          <w:szCs w:val="24"/>
        </w:rPr>
        <w:t>公告，</w:t>
      </w:r>
      <w:r>
        <w:rPr>
          <w:rFonts w:hint="eastAsia" w:ascii="宋体" w:hAnsi="宋体" w:eastAsia="宋体" w:cs="宋体"/>
          <w:sz w:val="24"/>
          <w:szCs w:val="24"/>
          <w:u w:val="single"/>
        </w:rPr>
        <w:t xml:space="preserve">        （姓名、职务）</w:t>
      </w:r>
      <w:r>
        <w:rPr>
          <w:rFonts w:hint="eastAsia" w:ascii="宋体" w:hAnsi="宋体" w:eastAsia="宋体" w:cs="宋体"/>
          <w:sz w:val="24"/>
          <w:szCs w:val="24"/>
        </w:rPr>
        <w:t>经正式授权并代表投标人</w:t>
      </w:r>
      <w:r>
        <w:rPr>
          <w:rFonts w:hint="eastAsia" w:ascii="宋体" w:hAnsi="宋体" w:eastAsia="宋体" w:cs="宋体"/>
          <w:sz w:val="24"/>
          <w:szCs w:val="24"/>
          <w:u w:val="single"/>
        </w:rPr>
        <w:t xml:space="preserve">              （投标人名称、地址）</w:t>
      </w:r>
      <w:r>
        <w:rPr>
          <w:rFonts w:hint="eastAsia" w:ascii="宋体" w:hAnsi="宋体" w:eastAsia="宋体" w:cs="宋体"/>
          <w:sz w:val="24"/>
          <w:szCs w:val="24"/>
        </w:rPr>
        <w:t>，提交响应文件</w:t>
      </w:r>
      <w:r>
        <w:rPr>
          <w:rFonts w:hint="eastAsia" w:ascii="宋体" w:hAnsi="宋体" w:eastAsia="宋体" w:cs="宋体"/>
          <w:color w:val="000000" w:themeColor="text1"/>
          <w:sz w:val="24"/>
          <w:szCs w:val="24"/>
          <w14:textFill>
            <w14:solidFill>
              <w14:schemeClr w14:val="tx1"/>
            </w14:solidFill>
          </w14:textFill>
        </w:rPr>
        <w:t>正本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份，电子文件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在此，签字代表宣布同意如下：</w:t>
      </w:r>
    </w:p>
    <w:p w14:paraId="46567011">
      <w:pPr>
        <w:pageBreakBefore w:val="0"/>
        <w:numPr>
          <w:ilvl w:val="0"/>
          <w:numId w:val="11"/>
        </w:numPr>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所附报价表中规定的应提交和交付的总报价为</w:t>
      </w:r>
      <w:r>
        <w:rPr>
          <w:rFonts w:hint="eastAsia" w:ascii="宋体" w:hAnsi="宋体" w:eastAsia="宋体" w:cs="宋体"/>
          <w:sz w:val="24"/>
          <w:szCs w:val="24"/>
          <w:u w:val="single"/>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2、我们将按竞争性</w:t>
      </w:r>
      <w:r>
        <w:rPr>
          <w:rFonts w:hint="eastAsia" w:ascii="宋体" w:hAnsi="宋体" w:eastAsia="宋体" w:cs="宋体"/>
          <w:sz w:val="24"/>
          <w:szCs w:val="24"/>
          <w:lang w:eastAsia="zh-CN"/>
        </w:rPr>
        <w:t>磋商</w:t>
      </w:r>
      <w:r>
        <w:rPr>
          <w:rFonts w:hint="eastAsia" w:ascii="宋体" w:hAnsi="宋体" w:eastAsia="宋体" w:cs="宋体"/>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3、我们已详细审查全部竞争性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4、本</w:t>
      </w:r>
      <w:r>
        <w:rPr>
          <w:rFonts w:hint="eastAsia" w:ascii="宋体" w:hAnsi="宋体" w:eastAsia="宋体" w:cs="宋体"/>
          <w:sz w:val="24"/>
          <w:szCs w:val="24"/>
          <w:lang w:eastAsia="zh-CN"/>
        </w:rPr>
        <w:t>磋商</w:t>
      </w:r>
      <w:r>
        <w:rPr>
          <w:rFonts w:hint="eastAsia" w:ascii="宋体" w:hAnsi="宋体" w:eastAsia="宋体" w:cs="宋体"/>
          <w:sz w:val="24"/>
          <w:szCs w:val="24"/>
        </w:rPr>
        <w:t>有效期为自</w:t>
      </w:r>
      <w:r>
        <w:rPr>
          <w:rFonts w:hint="eastAsia" w:ascii="宋体" w:hAnsi="宋体" w:eastAsia="宋体" w:cs="宋体"/>
          <w:sz w:val="24"/>
          <w:szCs w:val="24"/>
          <w:lang w:eastAsia="zh-CN"/>
        </w:rPr>
        <w:t>磋商</w:t>
      </w:r>
      <w:r>
        <w:rPr>
          <w:rFonts w:hint="eastAsia" w:ascii="宋体" w:hAnsi="宋体" w:eastAsia="宋体" w:cs="宋体"/>
          <w:sz w:val="24"/>
          <w:szCs w:val="24"/>
        </w:rPr>
        <w:t>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5、我们完全理解并同意贵方在竞争性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文件中的有关拒绝</w:t>
      </w:r>
      <w:r>
        <w:rPr>
          <w:rFonts w:hint="eastAsia" w:ascii="宋体" w:hAnsi="宋体" w:eastAsia="宋体" w:cs="宋体"/>
          <w:sz w:val="24"/>
          <w:szCs w:val="24"/>
          <w:lang w:eastAsia="zh-CN"/>
        </w:rPr>
        <w:t>磋商</w:t>
      </w:r>
      <w:r>
        <w:rPr>
          <w:rFonts w:hint="eastAsia" w:ascii="宋体" w:hAnsi="宋体" w:eastAsia="宋体" w:cs="宋体"/>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6、我们完全理解并完全响应贵方在竞争性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7、我们同意提供按照贵方可能要求的与其</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9、与本</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color w:val="000000" w:themeColor="text1"/>
          <w:sz w:val="24"/>
          <w:szCs w:val="24"/>
          <w14:textFill>
            <w14:solidFill>
              <w14:schemeClr w14:val="tx1"/>
            </w14:solidFill>
          </w14:textFill>
        </w:rPr>
        <w:t>单位名称及</w:t>
      </w:r>
      <w:r>
        <w:rPr>
          <w:rFonts w:hint="eastAsia" w:ascii="宋体" w:hAnsi="宋体" w:eastAsia="宋体" w:cs="宋体"/>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签字或盖章</w:t>
      </w:r>
      <w:r>
        <w:rPr>
          <w:rFonts w:hint="eastAsia" w:ascii="宋体" w:hAnsi="宋体" w:eastAsia="宋体" w:cs="宋体"/>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宋体" w:hAnsi="宋体" w:eastAsia="宋体" w:cs="宋体"/>
        </w:rPr>
      </w:pPr>
    </w:p>
    <w:p w14:paraId="7F0BF61C">
      <w:pPr>
        <w:pageBreakBefore w:val="0"/>
        <w:numPr>
          <w:ilvl w:val="0"/>
          <w:numId w:val="12"/>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宋体" w:hAnsi="宋体" w:eastAsia="宋体" w:cs="宋体"/>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w:t>
      </w:r>
      <w:r>
        <w:rPr>
          <w:rFonts w:hint="eastAsia" w:ascii="宋体" w:hAnsi="宋体" w:eastAsia="宋体" w:cs="宋体"/>
          <w:b/>
          <w:sz w:val="22"/>
          <w:szCs w:val="6"/>
          <w:lang w:val="en-US" w:eastAsia="zh-CN"/>
        </w:rPr>
        <w:t>一）报价表</w:t>
      </w:r>
    </w:p>
    <w:p w14:paraId="25CD5C6F">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cs="宋体"/>
          <w:b/>
          <w:sz w:val="22"/>
          <w:szCs w:val="6"/>
          <w:lang w:eastAsia="zh-CN"/>
        </w:rPr>
      </w:pPr>
      <w:r>
        <w:rPr>
          <w:rFonts w:hint="eastAsia" w:ascii="宋体" w:hAnsi="宋体" w:eastAsia="宋体" w:cs="宋体"/>
          <w:b/>
          <w:sz w:val="22"/>
          <w:szCs w:val="6"/>
          <w:lang w:eastAsia="zh-CN"/>
        </w:rPr>
        <w:t>项目名称：</w:t>
      </w:r>
      <w:r>
        <w:rPr>
          <w:rFonts w:hint="eastAsia" w:ascii="宋体" w:hAnsi="宋体" w:cs="宋体"/>
          <w:b/>
          <w:sz w:val="22"/>
          <w:szCs w:val="6"/>
          <w:lang w:eastAsia="zh-CN"/>
        </w:rPr>
        <w:t>神河镇2026年金河口社区壮大村集体经济项目</w:t>
      </w:r>
    </w:p>
    <w:p w14:paraId="48353602">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项目编号：</w:t>
      </w:r>
      <w:r>
        <w:rPr>
          <w:rFonts w:hint="eastAsia" w:ascii="宋体" w:hAnsi="宋体" w:cs="宋体"/>
          <w:b/>
          <w:sz w:val="22"/>
          <w:szCs w:val="6"/>
          <w:lang w:eastAsia="zh-CN"/>
        </w:rPr>
        <w:t>SXFD20260615006</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或盖章</w:t>
      </w:r>
      <w:r>
        <w:rPr>
          <w:rFonts w:hint="eastAsia" w:ascii="宋体" w:hAnsi="宋体" w:eastAsia="宋体" w:cs="宋体"/>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宋体" w:hAnsi="宋体" w:eastAsia="宋体" w:cs="宋体"/>
          <w:b/>
          <w:sz w:val="24"/>
          <w:szCs w:val="24"/>
        </w:rPr>
      </w:pPr>
      <w:r>
        <w:rPr>
          <w:rFonts w:hint="eastAsia" w:ascii="宋体" w:hAnsi="宋体" w:eastAsia="宋体" w:cs="宋体"/>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eastAsia="宋体" w:cs="宋体"/>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已标价工程量清单</w:t>
      </w:r>
    </w:p>
    <w:p w14:paraId="7972F2CC">
      <w:pP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资格证明文件</w:t>
      </w:r>
    </w:p>
    <w:p w14:paraId="3DF937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旬阳市神河镇人民政府</w:t>
            </w:r>
            <w:r>
              <w:rPr>
                <w:rFonts w:hint="eastAsia" w:ascii="宋体" w:hAnsi="宋体" w:eastAsia="宋体" w:cs="宋体"/>
                <w:color w:val="auto"/>
                <w:kern w:val="0"/>
                <w:sz w:val="24"/>
                <w:highlight w:val="none"/>
                <w:lang w:eastAsia="zh-CN"/>
              </w:rPr>
              <w:t>、陕西方得项目咨询有限公司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268E18FC">
            <w:pPr>
              <w:tabs>
                <w:tab w:val="left" w:pos="210"/>
              </w:tabs>
              <w:spacing w:line="320" w:lineRule="exact"/>
              <w:jc w:val="center"/>
              <w:rPr>
                <w:rFonts w:hint="eastAsia" w:ascii="宋体" w:hAnsi="宋体" w:eastAsia="宋体" w:cs="宋体"/>
                <w:color w:val="auto"/>
                <w:kern w:val="0"/>
                <w:sz w:val="24"/>
                <w:highlight w:val="none"/>
              </w:rPr>
            </w:pPr>
          </w:p>
          <w:p w14:paraId="2451C21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021EFDCC">
            <w:pPr>
              <w:tabs>
                <w:tab w:val="left" w:pos="210"/>
              </w:tabs>
              <w:spacing w:line="320" w:lineRule="exact"/>
              <w:jc w:val="center"/>
              <w:rPr>
                <w:rFonts w:hint="eastAsia" w:ascii="宋体" w:hAnsi="宋体" w:eastAsia="宋体" w:cs="宋体"/>
                <w:color w:val="auto"/>
                <w:kern w:val="0"/>
                <w:sz w:val="24"/>
                <w:highlight w:val="none"/>
              </w:rPr>
            </w:pPr>
          </w:p>
          <w:p w14:paraId="1272F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DEB5BD0">
            <w:pPr>
              <w:tabs>
                <w:tab w:val="left" w:pos="210"/>
              </w:tabs>
              <w:spacing w:line="320" w:lineRule="exact"/>
              <w:jc w:val="center"/>
              <w:rPr>
                <w:rFonts w:hint="eastAsia" w:ascii="宋体" w:hAnsi="宋体" w:eastAsia="宋体" w:cs="宋体"/>
                <w:color w:val="auto"/>
                <w:kern w:val="0"/>
                <w:sz w:val="24"/>
                <w:highlight w:val="none"/>
              </w:rPr>
            </w:pPr>
          </w:p>
          <w:p w14:paraId="0936919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宋体" w:hAnsi="宋体" w:eastAsia="宋体" w:cs="宋体"/>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宋体" w:hAnsi="宋体" w:eastAsia="宋体" w:cs="宋体"/>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宋体" w:hAnsi="宋体" w:eastAsia="宋体" w:cs="宋体"/>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宋体" w:hAnsi="宋体" w:eastAsia="宋体" w:cs="宋体"/>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宋体" w:hAnsi="宋体" w:eastAsia="宋体" w:cs="宋体"/>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宋体" w:hAnsi="宋体" w:eastAsia="宋体" w:cs="宋体"/>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宋体" w:hAnsi="宋体" w:eastAsia="宋体" w:cs="宋体"/>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宋体" w:hAnsi="宋体" w:eastAsia="宋体" w:cs="宋体"/>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05263FD6">
            <w:pPr>
              <w:tabs>
                <w:tab w:val="left" w:pos="210"/>
              </w:tabs>
              <w:spacing w:line="320" w:lineRule="exact"/>
              <w:jc w:val="center"/>
              <w:rPr>
                <w:rFonts w:hint="eastAsia" w:ascii="宋体" w:hAnsi="宋体" w:eastAsia="宋体" w:cs="宋体"/>
                <w:color w:val="auto"/>
                <w:kern w:val="0"/>
                <w:sz w:val="24"/>
                <w:highlight w:val="none"/>
              </w:rPr>
            </w:pPr>
          </w:p>
          <w:p w14:paraId="0EF4A966">
            <w:pPr>
              <w:tabs>
                <w:tab w:val="left" w:pos="210"/>
              </w:tabs>
              <w:spacing w:line="320" w:lineRule="exact"/>
              <w:jc w:val="center"/>
              <w:rPr>
                <w:rFonts w:hint="eastAsia" w:ascii="宋体" w:hAnsi="宋体" w:eastAsia="宋体" w:cs="宋体"/>
                <w:color w:val="auto"/>
                <w:kern w:val="0"/>
                <w:sz w:val="24"/>
                <w:highlight w:val="none"/>
              </w:rPr>
            </w:pPr>
          </w:p>
          <w:p w14:paraId="5FF40CDD">
            <w:pPr>
              <w:tabs>
                <w:tab w:val="left" w:pos="210"/>
              </w:tabs>
              <w:spacing w:line="320" w:lineRule="exact"/>
              <w:jc w:val="center"/>
              <w:rPr>
                <w:rFonts w:hint="eastAsia" w:ascii="宋体" w:hAnsi="宋体" w:eastAsia="宋体" w:cs="宋体"/>
                <w:color w:val="auto"/>
                <w:kern w:val="0"/>
                <w:sz w:val="24"/>
                <w:highlight w:val="none"/>
              </w:rPr>
            </w:pPr>
          </w:p>
          <w:p w14:paraId="4239503B">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0F5CB22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宋体" w:hAnsi="宋体" w:eastAsia="宋体" w:cs="宋体"/>
          <w:color w:val="auto"/>
          <w:sz w:val="24"/>
          <w:highlight w:val="none"/>
        </w:rPr>
      </w:pPr>
    </w:p>
    <w:p w14:paraId="609F0605">
      <w:pPr>
        <w:spacing w:line="480" w:lineRule="auto"/>
        <w:jc w:val="center"/>
        <w:rPr>
          <w:rFonts w:hint="eastAsia" w:ascii="宋体" w:hAnsi="宋体" w:eastAsia="宋体" w:cs="宋体"/>
          <w:b/>
          <w:color w:val="auto"/>
          <w:spacing w:val="4"/>
          <w:sz w:val="30"/>
          <w:szCs w:val="30"/>
          <w:highlight w:val="none"/>
          <w:lang w:eastAsia="zh-CN"/>
        </w:rPr>
      </w:pPr>
    </w:p>
    <w:p w14:paraId="7F843205">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14:paraId="42DAB23F">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14:paraId="6C0556C2">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宋体" w:hAnsi="宋体" w:eastAsia="宋体" w:cs="宋体"/>
          <w:b/>
          <w:color w:val="auto"/>
          <w:spacing w:val="4"/>
          <w:sz w:val="30"/>
          <w:szCs w:val="30"/>
          <w:highlight w:val="none"/>
          <w:lang w:eastAsia="zh-CN"/>
        </w:rPr>
      </w:pPr>
    </w:p>
    <w:p w14:paraId="6D3196F7">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14:paraId="02FAA4CD">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14:paraId="4EF8F89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14:paraId="270F4231">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》（项目编号：）（标段名称：）（标段编号：）</w:t>
      </w:r>
      <w:r>
        <w:rPr>
          <w:rFonts w:hint="eastAsia" w:ascii="宋体" w:hAnsi="宋体" w:eastAsia="宋体" w:cs="宋体"/>
          <w:color w:val="000000"/>
          <w:sz w:val="24"/>
          <w:szCs w:val="24"/>
        </w:rPr>
        <w:t>的投标人，在此郑重声明：</w:t>
      </w:r>
    </w:p>
    <w:p w14:paraId="2158468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14:paraId="0F870AD2">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14:paraId="439F531A">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14:paraId="36714C5B">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0237F04D">
      <w:pPr>
        <w:spacing w:line="360" w:lineRule="auto"/>
        <w:ind w:firstLine="480" w:firstLineChars="200"/>
        <w:jc w:val="left"/>
        <w:rPr>
          <w:rFonts w:hint="eastAsia" w:ascii="宋体" w:hAnsi="宋体" w:eastAsia="宋体" w:cs="宋体"/>
          <w:color w:val="000000"/>
          <w:sz w:val="24"/>
          <w:szCs w:val="24"/>
        </w:rPr>
      </w:pPr>
    </w:p>
    <w:p w14:paraId="15576B59">
      <w:pPr>
        <w:spacing w:line="288" w:lineRule="auto"/>
        <w:ind w:firstLine="480" w:firstLineChars="200"/>
        <w:jc w:val="left"/>
        <w:rPr>
          <w:rFonts w:hint="eastAsia" w:ascii="宋体" w:hAnsi="宋体" w:eastAsia="宋体" w:cs="宋体"/>
          <w:color w:val="000000"/>
          <w:sz w:val="24"/>
          <w:szCs w:val="24"/>
        </w:rPr>
      </w:pPr>
    </w:p>
    <w:p w14:paraId="665D4E31">
      <w:pPr>
        <w:spacing w:line="288" w:lineRule="auto"/>
        <w:ind w:firstLine="480" w:firstLineChars="200"/>
        <w:jc w:val="left"/>
        <w:rPr>
          <w:rFonts w:hint="eastAsia" w:ascii="宋体" w:hAnsi="宋体" w:eastAsia="宋体" w:cs="宋体"/>
          <w:color w:val="000000"/>
          <w:sz w:val="24"/>
          <w:szCs w:val="24"/>
        </w:rPr>
      </w:pPr>
    </w:p>
    <w:p w14:paraId="186B579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14:paraId="0C64CE37">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150EBE">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52C1F684">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14:paraId="763069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14:paraId="6B0075A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14:paraId="0BD6B95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392BC62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宋体" w:hAnsi="宋体" w:eastAsia="宋体" w:cs="宋体"/>
          <w:sz w:val="24"/>
          <w:szCs w:val="24"/>
        </w:rPr>
      </w:pPr>
    </w:p>
    <w:p w14:paraId="1A7BC0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2A45F2DB">
      <w:pPr>
        <w:spacing w:line="360" w:lineRule="auto"/>
        <w:ind w:firstLine="480" w:firstLineChars="200"/>
        <w:rPr>
          <w:rFonts w:hint="eastAsia" w:ascii="宋体" w:hAnsi="宋体" w:eastAsia="宋体" w:cs="宋体"/>
          <w:sz w:val="24"/>
          <w:szCs w:val="24"/>
        </w:rPr>
      </w:pPr>
    </w:p>
    <w:p w14:paraId="1D9D45B6">
      <w:pPr>
        <w:rPr>
          <w:rFonts w:hint="eastAsia" w:ascii="宋体" w:hAnsi="宋体" w:eastAsia="宋体" w:cs="宋体"/>
          <w:b/>
          <w:sz w:val="24"/>
          <w:szCs w:val="24"/>
        </w:rPr>
      </w:pPr>
    </w:p>
    <w:p w14:paraId="23E0DAA3">
      <w:pPr>
        <w:spacing w:line="360" w:lineRule="auto"/>
        <w:ind w:firstLine="480" w:firstLineChars="200"/>
        <w:rPr>
          <w:rFonts w:hint="eastAsia" w:ascii="宋体" w:hAnsi="宋体" w:eastAsia="宋体" w:cs="宋体"/>
          <w:color w:val="auto"/>
          <w:sz w:val="24"/>
          <w:szCs w:val="24"/>
          <w:highlight w:val="none"/>
        </w:rPr>
      </w:pPr>
    </w:p>
    <w:p w14:paraId="0073E51F">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14:paraId="7E79DD9B">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3"/>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注：</w:t>
      </w:r>
      <w:r>
        <w:rPr>
          <w:rFonts w:hint="eastAsia" w:ascii="宋体" w:hAnsi="宋体" w:eastAsia="宋体" w:cs="宋体"/>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4"/>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3DC0DCD9">
      <w:pPr>
        <w:spacing w:line="520" w:lineRule="exact"/>
        <w:ind w:left="0" w:leftChars="0"/>
        <w:jc w:val="center"/>
        <w:rPr>
          <w:rFonts w:hint="eastAsia" w:ascii="宋体" w:hAnsi="宋体" w:eastAsia="宋体" w:cs="宋体"/>
          <w:b/>
          <w:color w:val="000000"/>
          <w:kern w:val="0"/>
          <w:sz w:val="40"/>
          <w:szCs w:val="40"/>
          <w:highlight w:val="none"/>
          <w:lang w:eastAsia="zh-CN"/>
        </w:rPr>
      </w:pPr>
      <w:r>
        <w:rPr>
          <w:rFonts w:hint="eastAsia" w:ascii="宋体" w:hAnsi="宋体" w:cs="宋体"/>
          <w:b/>
          <w:color w:val="auto"/>
          <w:spacing w:val="4"/>
          <w:sz w:val="32"/>
          <w:szCs w:val="32"/>
          <w:highlight w:val="none"/>
          <w:lang w:val="en-US" w:eastAsia="zh-CN"/>
        </w:rPr>
        <w:t>四</w:t>
      </w:r>
      <w:r>
        <w:rPr>
          <w:rFonts w:hint="eastAsia" w:ascii="宋体" w:hAnsi="宋体" w:eastAsia="宋体" w:cs="宋体"/>
          <w:b/>
          <w:color w:val="auto"/>
          <w:spacing w:val="4"/>
          <w:sz w:val="32"/>
          <w:szCs w:val="32"/>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宋体" w:hAnsi="宋体" w:eastAsia="宋体" w:cs="宋体"/>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宋体" w:hAnsi="宋体" w:eastAsia="宋体" w:cs="宋体"/>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宋体" w:hAnsi="宋体" w:eastAsia="宋体" w:cs="宋体"/>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宋体" w:hAnsi="宋体" w:eastAsia="宋体" w:cs="宋体"/>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宋体" w:hAnsi="宋体" w:eastAsia="宋体" w:cs="宋体"/>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宋体" w:hAnsi="宋体" w:eastAsia="宋体" w:cs="宋体"/>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宋体" w:hAnsi="宋体" w:eastAsia="宋体" w:cs="宋体"/>
                <w:color w:val="000000"/>
                <w:kern w:val="0"/>
                <w:sz w:val="24"/>
                <w:szCs w:val="20"/>
                <w:highlight w:val="none"/>
              </w:rPr>
            </w:pPr>
          </w:p>
        </w:tc>
      </w:tr>
    </w:tbl>
    <w:p w14:paraId="3CA0C71B">
      <w:pPr>
        <w:bidi w:val="0"/>
        <w:rPr>
          <w:rFonts w:hint="eastAsia" w:ascii="宋体" w:hAnsi="宋体" w:eastAsia="宋体" w:cs="宋体"/>
          <w:color w:val="000000"/>
          <w:kern w:val="0"/>
          <w:sz w:val="32"/>
          <w:szCs w:val="32"/>
          <w:highlight w:val="none"/>
        </w:rPr>
      </w:pPr>
    </w:p>
    <w:p w14:paraId="47E7320B">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14:paraId="01B8287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14:paraId="33983637">
      <w:pPr>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br w:type="page"/>
      </w:r>
    </w:p>
    <w:p w14:paraId="290E4F98">
      <w:pPr>
        <w:pStyle w:val="4"/>
        <w:rPr>
          <w:rFonts w:hint="eastAsia" w:ascii="宋体" w:hAnsi="宋体" w:eastAsia="宋体" w:cs="宋体"/>
          <w:lang w:val="en-US" w:eastAsia="zh-CN"/>
        </w:rPr>
      </w:pPr>
    </w:p>
    <w:p w14:paraId="5D6CD771">
      <w:pPr>
        <w:numPr>
          <w:ilvl w:val="0"/>
          <w:numId w:val="0"/>
        </w:numPr>
        <w:jc w:val="center"/>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14:paraId="00F60846">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rPr>
        <w:t>施工方案</w:t>
      </w:r>
    </w:p>
    <w:p w14:paraId="77F40451">
      <w:pPr>
        <w:pStyle w:val="21"/>
        <w:widowControl w:val="0"/>
        <w:numPr>
          <w:ilvl w:val="0"/>
          <w:numId w:val="0"/>
        </w:numPr>
        <w:spacing w:line="360" w:lineRule="auto"/>
        <w:jc w:val="both"/>
        <w:rPr>
          <w:rFonts w:hint="eastAsia" w:ascii="宋体" w:hAnsi="宋体" w:eastAsia="宋体" w:cs="宋体"/>
        </w:rPr>
      </w:pPr>
    </w:p>
    <w:p w14:paraId="7067845A">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14:paraId="7BB43306">
      <w:pPr>
        <w:ind w:firstLine="241" w:firstLineChars="100"/>
        <w:rPr>
          <w:rFonts w:hint="eastAsia" w:ascii="宋体" w:hAnsi="宋体" w:eastAsia="宋体" w:cs="宋体"/>
          <w:b/>
          <w:bCs/>
          <w:sz w:val="24"/>
          <w:szCs w:val="24"/>
          <w:lang w:val="en-US" w:eastAsia="zh-CN"/>
        </w:rPr>
      </w:pPr>
    </w:p>
    <w:p w14:paraId="063A462F">
      <w:pPr>
        <w:pStyle w:val="21"/>
        <w:rPr>
          <w:rFonts w:hint="eastAsia" w:ascii="宋体" w:hAnsi="宋体" w:eastAsia="宋体" w:cs="宋体"/>
          <w:lang w:val="en-US" w:eastAsia="zh-CN"/>
        </w:rPr>
      </w:pPr>
    </w:p>
    <w:p w14:paraId="6918724E">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14:paraId="623E9D3C">
      <w:pPr>
        <w:ind w:firstLine="241" w:firstLineChars="100"/>
        <w:rPr>
          <w:rFonts w:hint="eastAsia" w:ascii="宋体" w:hAnsi="宋体" w:eastAsia="宋体" w:cs="宋体"/>
          <w:b/>
          <w:bCs/>
          <w:sz w:val="24"/>
          <w:szCs w:val="24"/>
          <w:lang w:val="en-US" w:eastAsia="zh-CN"/>
        </w:rPr>
      </w:pPr>
    </w:p>
    <w:p w14:paraId="4115D733">
      <w:pPr>
        <w:pStyle w:val="21"/>
        <w:rPr>
          <w:rFonts w:hint="eastAsia" w:ascii="宋体" w:hAnsi="宋体" w:eastAsia="宋体" w:cs="宋体"/>
          <w:lang w:val="en-US" w:eastAsia="zh-CN"/>
        </w:rPr>
      </w:pPr>
    </w:p>
    <w:p w14:paraId="14939313">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14:paraId="283AA314">
      <w:pPr>
        <w:pStyle w:val="6"/>
        <w:rPr>
          <w:rFonts w:hint="eastAsia" w:ascii="宋体" w:hAnsi="宋体" w:eastAsia="宋体" w:cs="宋体"/>
          <w:b/>
          <w:bCs/>
          <w:sz w:val="24"/>
          <w:szCs w:val="24"/>
          <w:lang w:val="en-US" w:eastAsia="zh-CN"/>
        </w:rPr>
      </w:pPr>
    </w:p>
    <w:p w14:paraId="0E09ADE6">
      <w:pPr>
        <w:pStyle w:val="6"/>
        <w:rPr>
          <w:rFonts w:hint="eastAsia" w:ascii="宋体" w:hAnsi="宋体" w:eastAsia="宋体" w:cs="宋体"/>
          <w:b/>
          <w:bCs/>
          <w:sz w:val="24"/>
          <w:szCs w:val="24"/>
          <w:lang w:val="en-US" w:eastAsia="zh-CN"/>
        </w:rPr>
      </w:pPr>
    </w:p>
    <w:p w14:paraId="7A02124E">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14:paraId="537D8AB5">
      <w:pPr>
        <w:pStyle w:val="6"/>
        <w:numPr>
          <w:ilvl w:val="0"/>
          <w:numId w:val="0"/>
        </w:numPr>
        <w:ind w:leftChars="0"/>
        <w:rPr>
          <w:rFonts w:hint="eastAsia" w:ascii="宋体" w:hAnsi="宋体" w:eastAsia="宋体" w:cs="宋体"/>
          <w:color w:val="auto"/>
          <w:sz w:val="24"/>
          <w:szCs w:val="22"/>
          <w:highlight w:val="none"/>
          <w:lang w:val="en-US" w:eastAsia="zh-CN"/>
        </w:rPr>
      </w:pPr>
    </w:p>
    <w:p w14:paraId="15559431">
      <w:pPr>
        <w:pStyle w:val="6"/>
        <w:numPr>
          <w:ilvl w:val="0"/>
          <w:numId w:val="0"/>
        </w:numPr>
        <w:ind w:firstLine="241" w:firstLineChars="100"/>
        <w:rPr>
          <w:rFonts w:hint="eastAsia" w:ascii="宋体" w:hAnsi="宋体" w:eastAsia="宋体" w:cs="宋体"/>
          <w:b/>
          <w:bCs/>
          <w:sz w:val="24"/>
          <w:szCs w:val="24"/>
          <w:lang w:val="en-US" w:eastAsia="zh-CN"/>
        </w:rPr>
      </w:pPr>
    </w:p>
    <w:p w14:paraId="3CDE2B4F">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宋体" w:hAnsi="宋体" w:eastAsia="宋体" w:cs="宋体"/>
          <w:b/>
          <w:bCs/>
          <w:sz w:val="24"/>
          <w:szCs w:val="24"/>
          <w:lang w:val="en-US" w:eastAsia="zh-CN"/>
        </w:rPr>
      </w:pPr>
    </w:p>
    <w:p w14:paraId="60664001">
      <w:pPr>
        <w:pStyle w:val="6"/>
        <w:numPr>
          <w:ilvl w:val="0"/>
          <w:numId w:val="0"/>
        </w:numPr>
        <w:ind w:leftChars="0" w:firstLine="241" w:firstLineChars="100"/>
        <w:rPr>
          <w:rFonts w:hint="eastAsia" w:ascii="宋体" w:hAnsi="宋体" w:eastAsia="宋体" w:cs="宋体"/>
          <w:b/>
          <w:bCs/>
          <w:sz w:val="24"/>
          <w:szCs w:val="24"/>
          <w:lang w:val="en-US" w:eastAsia="zh-CN"/>
        </w:rPr>
      </w:pPr>
    </w:p>
    <w:p w14:paraId="14C03F6C">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bCs/>
          <w:sz w:val="28"/>
          <w:szCs w:val="28"/>
        </w:rPr>
      </w:pPr>
      <w:bookmarkStart w:id="47" w:name="_GoBack"/>
      <w:bookmarkEnd w:id="47"/>
      <w:r>
        <w:rPr>
          <w:rFonts w:hint="eastAsia" w:ascii="宋体" w:hAnsi="宋体" w:eastAsia="宋体" w:cs="宋体"/>
          <w:sz w:val="24"/>
          <w:szCs w:val="24"/>
          <w:lang w:val="en-US" w:eastAsia="zh-CN"/>
        </w:rPr>
        <w:br w:type="page"/>
      </w: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14:paraId="36D1BC8C">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53779EAB">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4A2C4ED2">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14:paraId="215375FD">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44AA03F1">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6A56427A">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003344B">
            <w:pPr>
              <w:rPr>
                <w:rFonts w:hint="eastAsia" w:ascii="宋体" w:hAnsi="宋体" w:eastAsia="宋体" w:cs="宋体"/>
                <w:bCs/>
                <w:sz w:val="24"/>
                <w:szCs w:val="24"/>
              </w:rPr>
            </w:pPr>
          </w:p>
        </w:tc>
        <w:tc>
          <w:tcPr>
            <w:tcW w:w="1438" w:type="dxa"/>
            <w:noWrap w:val="0"/>
            <w:vAlign w:val="center"/>
          </w:tcPr>
          <w:p w14:paraId="42E44D23">
            <w:pPr>
              <w:rPr>
                <w:rFonts w:hint="eastAsia" w:ascii="宋体" w:hAnsi="宋体" w:eastAsia="宋体" w:cs="宋体"/>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3F9EBD0">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CFCAA28">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AB1C542">
            <w:pPr>
              <w:rPr>
                <w:rFonts w:hint="eastAsia" w:ascii="宋体" w:hAnsi="宋体" w:eastAsia="宋体" w:cs="宋体"/>
                <w:bCs/>
                <w:sz w:val="24"/>
                <w:szCs w:val="24"/>
              </w:rPr>
            </w:pPr>
          </w:p>
        </w:tc>
        <w:tc>
          <w:tcPr>
            <w:tcW w:w="1438" w:type="dxa"/>
            <w:noWrap w:val="0"/>
            <w:vAlign w:val="center"/>
          </w:tcPr>
          <w:p w14:paraId="2EA1C394">
            <w:pPr>
              <w:rPr>
                <w:rFonts w:hint="eastAsia" w:ascii="宋体" w:hAnsi="宋体" w:eastAsia="宋体" w:cs="宋体"/>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F818D2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47D0F89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F33AF9E">
            <w:pPr>
              <w:rPr>
                <w:rFonts w:hint="eastAsia" w:ascii="宋体" w:hAnsi="宋体" w:eastAsia="宋体" w:cs="宋体"/>
                <w:bCs/>
                <w:sz w:val="24"/>
                <w:szCs w:val="24"/>
              </w:rPr>
            </w:pPr>
          </w:p>
        </w:tc>
        <w:tc>
          <w:tcPr>
            <w:tcW w:w="1438" w:type="dxa"/>
            <w:noWrap w:val="0"/>
            <w:vAlign w:val="center"/>
          </w:tcPr>
          <w:p w14:paraId="2170D415">
            <w:pPr>
              <w:rPr>
                <w:rFonts w:hint="eastAsia" w:ascii="宋体" w:hAnsi="宋体" w:eastAsia="宋体" w:cs="宋体"/>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B1B2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FB2BC0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D247287">
            <w:pPr>
              <w:rPr>
                <w:rFonts w:hint="eastAsia" w:ascii="宋体" w:hAnsi="宋体" w:eastAsia="宋体" w:cs="宋体"/>
                <w:bCs/>
                <w:sz w:val="24"/>
                <w:szCs w:val="24"/>
              </w:rPr>
            </w:pPr>
          </w:p>
        </w:tc>
        <w:tc>
          <w:tcPr>
            <w:tcW w:w="1438" w:type="dxa"/>
            <w:noWrap w:val="0"/>
            <w:vAlign w:val="center"/>
          </w:tcPr>
          <w:p w14:paraId="020CD221">
            <w:pPr>
              <w:rPr>
                <w:rFonts w:hint="eastAsia" w:ascii="宋体" w:hAnsi="宋体" w:eastAsia="宋体" w:cs="宋体"/>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C941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75706D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527F7AF">
            <w:pPr>
              <w:rPr>
                <w:rFonts w:hint="eastAsia" w:ascii="宋体" w:hAnsi="宋体" w:eastAsia="宋体" w:cs="宋体"/>
                <w:bCs/>
                <w:sz w:val="24"/>
                <w:szCs w:val="24"/>
              </w:rPr>
            </w:pPr>
          </w:p>
        </w:tc>
        <w:tc>
          <w:tcPr>
            <w:tcW w:w="1438" w:type="dxa"/>
            <w:noWrap w:val="0"/>
            <w:vAlign w:val="center"/>
          </w:tcPr>
          <w:p w14:paraId="626799FC">
            <w:pPr>
              <w:rPr>
                <w:rFonts w:hint="eastAsia" w:ascii="宋体" w:hAnsi="宋体" w:eastAsia="宋体" w:cs="宋体"/>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35BF6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1DF54B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CEC875F">
            <w:pPr>
              <w:rPr>
                <w:rFonts w:hint="eastAsia" w:ascii="宋体" w:hAnsi="宋体" w:eastAsia="宋体" w:cs="宋体"/>
                <w:bCs/>
                <w:sz w:val="24"/>
                <w:szCs w:val="24"/>
              </w:rPr>
            </w:pPr>
          </w:p>
        </w:tc>
        <w:tc>
          <w:tcPr>
            <w:tcW w:w="1438" w:type="dxa"/>
            <w:noWrap w:val="0"/>
            <w:vAlign w:val="center"/>
          </w:tcPr>
          <w:p w14:paraId="566F241A">
            <w:pPr>
              <w:rPr>
                <w:rFonts w:hint="eastAsia" w:ascii="宋体" w:hAnsi="宋体" w:eastAsia="宋体" w:cs="宋体"/>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81061F4">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7D90F2E">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3F3101AB">
            <w:pPr>
              <w:rPr>
                <w:rFonts w:hint="eastAsia" w:ascii="宋体" w:hAnsi="宋体" w:eastAsia="宋体" w:cs="宋体"/>
                <w:bCs/>
                <w:sz w:val="24"/>
                <w:szCs w:val="24"/>
              </w:rPr>
            </w:pPr>
          </w:p>
        </w:tc>
        <w:tc>
          <w:tcPr>
            <w:tcW w:w="1438" w:type="dxa"/>
            <w:noWrap w:val="0"/>
            <w:vAlign w:val="center"/>
          </w:tcPr>
          <w:p w14:paraId="308A059D">
            <w:pPr>
              <w:rPr>
                <w:rFonts w:hint="eastAsia" w:ascii="宋体" w:hAnsi="宋体" w:eastAsia="宋体" w:cs="宋体"/>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2850A0B">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688B48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097C58C">
            <w:pPr>
              <w:rPr>
                <w:rFonts w:hint="eastAsia" w:ascii="宋体" w:hAnsi="宋体" w:eastAsia="宋体" w:cs="宋体"/>
                <w:bCs/>
                <w:sz w:val="24"/>
                <w:szCs w:val="24"/>
              </w:rPr>
            </w:pPr>
          </w:p>
        </w:tc>
        <w:tc>
          <w:tcPr>
            <w:tcW w:w="1438" w:type="dxa"/>
            <w:noWrap w:val="0"/>
            <w:vAlign w:val="center"/>
          </w:tcPr>
          <w:p w14:paraId="05608F45">
            <w:pPr>
              <w:rPr>
                <w:rFonts w:hint="eastAsia" w:ascii="宋体" w:hAnsi="宋体" w:eastAsia="宋体" w:cs="宋体"/>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D2BB02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9782199">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76F2F54">
            <w:pPr>
              <w:rPr>
                <w:rFonts w:hint="eastAsia" w:ascii="宋体" w:hAnsi="宋体" w:eastAsia="宋体" w:cs="宋体"/>
                <w:bCs/>
                <w:sz w:val="24"/>
                <w:szCs w:val="24"/>
              </w:rPr>
            </w:pPr>
          </w:p>
        </w:tc>
        <w:tc>
          <w:tcPr>
            <w:tcW w:w="1438" w:type="dxa"/>
            <w:noWrap w:val="0"/>
            <w:vAlign w:val="center"/>
          </w:tcPr>
          <w:p w14:paraId="5AFA1FB3">
            <w:pPr>
              <w:rPr>
                <w:rFonts w:hint="eastAsia" w:ascii="宋体" w:hAnsi="宋体" w:eastAsia="宋体" w:cs="宋体"/>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136988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213C8C8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7CAE236D">
            <w:pPr>
              <w:rPr>
                <w:rFonts w:hint="eastAsia" w:ascii="宋体" w:hAnsi="宋体" w:eastAsia="宋体" w:cs="宋体"/>
                <w:bCs/>
                <w:sz w:val="24"/>
                <w:szCs w:val="24"/>
              </w:rPr>
            </w:pPr>
          </w:p>
        </w:tc>
        <w:tc>
          <w:tcPr>
            <w:tcW w:w="1438" w:type="dxa"/>
            <w:noWrap w:val="0"/>
            <w:vAlign w:val="center"/>
          </w:tcPr>
          <w:p w14:paraId="29AD5FE9">
            <w:pPr>
              <w:rPr>
                <w:rFonts w:hint="eastAsia" w:ascii="宋体" w:hAnsi="宋体" w:eastAsia="宋体" w:cs="宋体"/>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AA38D13">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13B97CB0">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CF21BDF">
            <w:pPr>
              <w:rPr>
                <w:rFonts w:hint="eastAsia" w:ascii="宋体" w:hAnsi="宋体" w:eastAsia="宋体" w:cs="宋体"/>
                <w:bCs/>
                <w:sz w:val="24"/>
                <w:szCs w:val="24"/>
              </w:rPr>
            </w:pPr>
          </w:p>
        </w:tc>
        <w:tc>
          <w:tcPr>
            <w:tcW w:w="1438" w:type="dxa"/>
            <w:noWrap w:val="0"/>
            <w:vAlign w:val="center"/>
          </w:tcPr>
          <w:p w14:paraId="0F3E587A">
            <w:pPr>
              <w:rPr>
                <w:rFonts w:hint="eastAsia" w:ascii="宋体" w:hAnsi="宋体" w:eastAsia="宋体" w:cs="宋体"/>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65C2D405">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64AEFF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88D2C1F">
            <w:pPr>
              <w:rPr>
                <w:rFonts w:hint="eastAsia" w:ascii="宋体" w:hAnsi="宋体" w:eastAsia="宋体" w:cs="宋体"/>
                <w:bCs/>
                <w:sz w:val="24"/>
                <w:szCs w:val="24"/>
              </w:rPr>
            </w:pPr>
          </w:p>
        </w:tc>
        <w:tc>
          <w:tcPr>
            <w:tcW w:w="1438" w:type="dxa"/>
            <w:noWrap w:val="0"/>
            <w:vAlign w:val="center"/>
          </w:tcPr>
          <w:p w14:paraId="1AA9414A">
            <w:pPr>
              <w:rPr>
                <w:rFonts w:hint="eastAsia" w:ascii="宋体" w:hAnsi="宋体" w:eastAsia="宋体" w:cs="宋体"/>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A3A7D86">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EEB4F6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E00101D">
            <w:pPr>
              <w:rPr>
                <w:rFonts w:hint="eastAsia" w:ascii="宋体" w:hAnsi="宋体" w:eastAsia="宋体" w:cs="宋体"/>
                <w:bCs/>
                <w:sz w:val="24"/>
                <w:szCs w:val="24"/>
              </w:rPr>
            </w:pPr>
          </w:p>
        </w:tc>
        <w:tc>
          <w:tcPr>
            <w:tcW w:w="1438" w:type="dxa"/>
            <w:noWrap w:val="0"/>
            <w:vAlign w:val="center"/>
          </w:tcPr>
          <w:p w14:paraId="2A38523D">
            <w:pPr>
              <w:rPr>
                <w:rFonts w:hint="eastAsia" w:ascii="宋体" w:hAnsi="宋体" w:eastAsia="宋体" w:cs="宋体"/>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32AAFFA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11857EF">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BF4AC2E">
            <w:pPr>
              <w:rPr>
                <w:rFonts w:hint="eastAsia" w:ascii="宋体" w:hAnsi="宋体" w:eastAsia="宋体" w:cs="宋体"/>
                <w:bCs/>
                <w:sz w:val="24"/>
                <w:szCs w:val="24"/>
              </w:rPr>
            </w:pPr>
          </w:p>
        </w:tc>
        <w:tc>
          <w:tcPr>
            <w:tcW w:w="1438" w:type="dxa"/>
            <w:noWrap w:val="0"/>
            <w:vAlign w:val="center"/>
          </w:tcPr>
          <w:p w14:paraId="567205EC">
            <w:pPr>
              <w:rPr>
                <w:rFonts w:hint="eastAsia" w:ascii="宋体" w:hAnsi="宋体" w:eastAsia="宋体" w:cs="宋体"/>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宋体" w:hAnsi="宋体" w:eastAsia="宋体" w:cs="宋体"/>
                <w:bCs/>
                <w:sz w:val="24"/>
                <w:szCs w:val="24"/>
              </w:rPr>
            </w:pPr>
          </w:p>
        </w:tc>
        <w:tc>
          <w:tcPr>
            <w:tcW w:w="1438" w:type="dxa"/>
            <w:tcBorders>
              <w:bottom w:val="double" w:color="auto" w:sz="4" w:space="0"/>
            </w:tcBorders>
            <w:noWrap w:val="0"/>
            <w:vAlign w:val="center"/>
          </w:tcPr>
          <w:p w14:paraId="6C8268B3">
            <w:pPr>
              <w:rPr>
                <w:rFonts w:hint="eastAsia" w:ascii="宋体" w:hAnsi="宋体" w:eastAsia="宋体" w:cs="宋体"/>
                <w:bCs/>
                <w:sz w:val="24"/>
                <w:szCs w:val="24"/>
              </w:rPr>
            </w:pPr>
          </w:p>
        </w:tc>
      </w:tr>
    </w:tbl>
    <w:p w14:paraId="2C1BD67E">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cs="宋体"/>
          <w:bCs/>
          <w:sz w:val="24"/>
          <w:szCs w:val="24"/>
          <w:lang w:val="en-US" w:eastAsia="zh-CN"/>
        </w:rPr>
        <w:t>五</w:t>
      </w:r>
      <w:r>
        <w:rPr>
          <w:rFonts w:hint="eastAsia" w:ascii="宋体" w:hAnsi="宋体" w:eastAsia="宋体" w:cs="宋体"/>
          <w:bCs/>
          <w:sz w:val="24"/>
          <w:szCs w:val="24"/>
          <w:lang w:val="en-US" w:eastAsia="zh-CN"/>
        </w:rPr>
        <w:t xml:space="preserve">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14:paraId="2D79B7A7">
      <w:pPr>
        <w:rPr>
          <w:rFonts w:hint="eastAsia" w:ascii="宋体" w:hAnsi="宋体" w:eastAsia="宋体" w:cs="宋体"/>
          <w:lang w:val="en-US" w:eastAsia="zh-CN"/>
        </w:rPr>
      </w:pPr>
    </w:p>
    <w:p w14:paraId="0A1E9A62">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14:paraId="5440953F">
      <w:pPr>
        <w:numPr>
          <w:ilvl w:val="0"/>
          <w:numId w:val="0"/>
        </w:numPr>
        <w:jc w:val="center"/>
        <w:rPr>
          <w:rFonts w:hint="eastAsia" w:ascii="宋体" w:hAnsi="宋体" w:eastAsia="宋体" w:cs="宋体"/>
          <w:color w:val="auto"/>
          <w:sz w:val="24"/>
          <w:highlight w:val="none"/>
          <w:shd w:val="clear" w:color="auto" w:fill="auto"/>
        </w:rPr>
      </w:pPr>
    </w:p>
    <w:p w14:paraId="33929F2E">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14:paraId="1668FECF">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14:paraId="74010FC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14:paraId="3F09CA0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313E88EB">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14:paraId="78FFFD16">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35774840">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14:paraId="55FD4AD2">
      <w:pPr>
        <w:rPr>
          <w:rFonts w:hint="eastAsia" w:ascii="宋体" w:hAnsi="宋体" w:eastAsia="宋体" w:cs="宋体"/>
          <w:color w:val="auto"/>
          <w:sz w:val="24"/>
          <w:szCs w:val="24"/>
          <w:highlight w:val="none"/>
        </w:rPr>
      </w:pPr>
    </w:p>
    <w:p w14:paraId="6A702EC2">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28D845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3C2F22E9">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14:paraId="79E00246">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宋体" w:hAnsi="宋体" w:eastAsia="宋体" w:cs="宋体"/>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D502AFA">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3D502AFA">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10C0016">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610C0016">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C1FD8C6"/>
    <w:multiLevelType w:val="singleLevel"/>
    <w:tmpl w:val="CC1FD8C6"/>
    <w:lvl w:ilvl="0" w:tentative="0">
      <w:start w:val="1"/>
      <w:numFmt w:val="decimal"/>
      <w:suff w:val="nothing"/>
      <w:lvlText w:val="%1、"/>
      <w:lvlJc w:val="left"/>
    </w:lvl>
  </w:abstractNum>
  <w:abstractNum w:abstractNumId="2">
    <w:nsid w:val="D0FB5535"/>
    <w:multiLevelType w:val="singleLevel"/>
    <w:tmpl w:val="D0FB5535"/>
    <w:lvl w:ilvl="0" w:tentative="0">
      <w:start w:val="3"/>
      <w:numFmt w:val="decimal"/>
      <w:lvlText w:val="%1."/>
      <w:lvlJc w:val="left"/>
      <w:pPr>
        <w:tabs>
          <w:tab w:val="left" w:pos="312"/>
        </w:tabs>
      </w:p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06FFBF8E"/>
    <w:multiLevelType w:val="singleLevel"/>
    <w:tmpl w:val="06FFBF8E"/>
    <w:lvl w:ilvl="0" w:tentative="0">
      <w:start w:val="1"/>
      <w:numFmt w:val="chineseCounting"/>
      <w:suff w:val="nothing"/>
      <w:lvlText w:val="%1、"/>
      <w:lvlJc w:val="left"/>
      <w:rPr>
        <w:rFonts w:hint="eastAsia"/>
      </w:rPr>
    </w:lvl>
  </w:abstractNum>
  <w:abstractNum w:abstractNumId="5">
    <w:nsid w:val="0C3BD727"/>
    <w:multiLevelType w:val="singleLevel"/>
    <w:tmpl w:val="0C3BD727"/>
    <w:lvl w:ilvl="0" w:tentative="0">
      <w:start w:val="1"/>
      <w:numFmt w:val="decimal"/>
      <w:suff w:val="nothing"/>
      <w:lvlText w:val="%1、"/>
      <w:lvlJc w:val="left"/>
    </w:lvl>
  </w:abstractNum>
  <w:abstractNum w:abstractNumId="6">
    <w:nsid w:val="13E5FFB0"/>
    <w:multiLevelType w:val="singleLevel"/>
    <w:tmpl w:val="13E5FFB0"/>
    <w:lvl w:ilvl="0" w:tentative="0">
      <w:start w:val="2"/>
      <w:numFmt w:val="chineseCounting"/>
      <w:suff w:val="nothing"/>
      <w:lvlText w:val="%1、"/>
      <w:lvlJc w:val="left"/>
      <w:rPr>
        <w:rFonts w:hint="eastAsia"/>
      </w:rPr>
    </w:lvl>
  </w:abstractNum>
  <w:abstractNum w:abstractNumId="7">
    <w:nsid w:val="27D8AFBE"/>
    <w:multiLevelType w:val="singleLevel"/>
    <w:tmpl w:val="27D8AFBE"/>
    <w:lvl w:ilvl="0" w:tentative="0">
      <w:start w:val="2"/>
      <w:numFmt w:val="decimal"/>
      <w:suff w:val="nothing"/>
      <w:lvlText w:val="%1、"/>
      <w:lvlJc w:val="left"/>
    </w:lvl>
  </w:abstractNum>
  <w:abstractNum w:abstractNumId="8">
    <w:nsid w:val="27FE6E64"/>
    <w:multiLevelType w:val="singleLevel"/>
    <w:tmpl w:val="27FE6E64"/>
    <w:lvl w:ilvl="0" w:tentative="0">
      <w:start w:val="1"/>
      <w:numFmt w:val="chineseCounting"/>
      <w:suff w:val="space"/>
      <w:lvlText w:val="第%1章"/>
      <w:lvlJc w:val="left"/>
      <w:rPr>
        <w:rFonts w:hint="eastAsia"/>
      </w:rPr>
    </w:lvl>
  </w:abstractNum>
  <w:abstractNum w:abstractNumId="9">
    <w:nsid w:val="4F653CA2"/>
    <w:multiLevelType w:val="singleLevel"/>
    <w:tmpl w:val="4F653CA2"/>
    <w:lvl w:ilvl="0" w:tentative="0">
      <w:start w:val="1"/>
      <w:numFmt w:val="chineseCounting"/>
      <w:suff w:val="nothing"/>
      <w:lvlText w:val="%1、"/>
      <w:lvlJc w:val="left"/>
      <w:rPr>
        <w:rFonts w:hint="eastAsia"/>
      </w:rPr>
    </w:lvl>
  </w:abstractNum>
  <w:abstractNum w:abstractNumId="10">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11">
    <w:nsid w:val="5A13EC30"/>
    <w:multiLevelType w:val="singleLevel"/>
    <w:tmpl w:val="5A13EC30"/>
    <w:lvl w:ilvl="0" w:tentative="0">
      <w:start w:val="1"/>
      <w:numFmt w:val="decimal"/>
      <w:suff w:val="nothing"/>
      <w:lvlText w:val="%1、"/>
      <w:lvlJc w:val="left"/>
    </w:lvl>
  </w:abstractNum>
  <w:abstractNum w:abstractNumId="12">
    <w:nsid w:val="62373507"/>
    <w:multiLevelType w:val="singleLevel"/>
    <w:tmpl w:val="62373507"/>
    <w:lvl w:ilvl="0" w:tentative="0">
      <w:start w:val="6"/>
      <w:numFmt w:val="chineseCounting"/>
      <w:suff w:val="space"/>
      <w:lvlText w:val="第%1章"/>
      <w:lvlJc w:val="left"/>
      <w:rPr>
        <w:rFonts w:hint="eastAsia"/>
      </w:rPr>
    </w:lvl>
  </w:abstractNum>
  <w:abstractNum w:abstractNumId="13">
    <w:nsid w:val="74AA74BA"/>
    <w:multiLevelType w:val="singleLevel"/>
    <w:tmpl w:val="74AA74BA"/>
    <w:lvl w:ilvl="0" w:tentative="0">
      <w:start w:val="1"/>
      <w:numFmt w:val="decimal"/>
      <w:suff w:val="space"/>
      <w:lvlText w:val="%1."/>
      <w:lvlJc w:val="left"/>
    </w:lvl>
  </w:abstractNum>
  <w:num w:numId="1">
    <w:abstractNumId w:val="8"/>
  </w:num>
  <w:num w:numId="2">
    <w:abstractNumId w:val="10"/>
  </w:num>
  <w:num w:numId="3">
    <w:abstractNumId w:val="3"/>
  </w:num>
  <w:num w:numId="4">
    <w:abstractNumId w:val="0"/>
  </w:num>
  <w:num w:numId="5">
    <w:abstractNumId w:val="4"/>
  </w:num>
  <w:num w:numId="6">
    <w:abstractNumId w:val="12"/>
  </w:num>
  <w:num w:numId="7">
    <w:abstractNumId w:val="9"/>
  </w:num>
  <w:num w:numId="8">
    <w:abstractNumId w:val="5"/>
  </w:num>
  <w:num w:numId="9">
    <w:abstractNumId w:val="1"/>
  </w:num>
  <w:num w:numId="10">
    <w:abstractNumId w:val="2"/>
  </w:num>
  <w:num w:numId="11">
    <w:abstractNumId w:val="11"/>
  </w:num>
  <w:num w:numId="12">
    <w:abstractNumId w:val="6"/>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16D63FE"/>
    <w:rsid w:val="0221107B"/>
    <w:rsid w:val="02293D79"/>
    <w:rsid w:val="04B66043"/>
    <w:rsid w:val="054D3881"/>
    <w:rsid w:val="07F62324"/>
    <w:rsid w:val="0BE114CF"/>
    <w:rsid w:val="0C252478"/>
    <w:rsid w:val="0F9367B7"/>
    <w:rsid w:val="0FEC19DA"/>
    <w:rsid w:val="10161DBA"/>
    <w:rsid w:val="10190546"/>
    <w:rsid w:val="13196AAF"/>
    <w:rsid w:val="141E3DEE"/>
    <w:rsid w:val="165F3F75"/>
    <w:rsid w:val="16734728"/>
    <w:rsid w:val="198033E4"/>
    <w:rsid w:val="19B340EB"/>
    <w:rsid w:val="19E567DE"/>
    <w:rsid w:val="19F45B80"/>
    <w:rsid w:val="1A977699"/>
    <w:rsid w:val="1BBE78A5"/>
    <w:rsid w:val="1BE97CE7"/>
    <w:rsid w:val="1C107CCC"/>
    <w:rsid w:val="1D4B75E8"/>
    <w:rsid w:val="2086759A"/>
    <w:rsid w:val="21A615D2"/>
    <w:rsid w:val="21A801C4"/>
    <w:rsid w:val="23136C4A"/>
    <w:rsid w:val="2361513F"/>
    <w:rsid w:val="23781553"/>
    <w:rsid w:val="246F652F"/>
    <w:rsid w:val="251441E0"/>
    <w:rsid w:val="267E32B6"/>
    <w:rsid w:val="27B76BDB"/>
    <w:rsid w:val="293920A9"/>
    <w:rsid w:val="29B33362"/>
    <w:rsid w:val="2A9860B3"/>
    <w:rsid w:val="2B1367DC"/>
    <w:rsid w:val="2DA252C0"/>
    <w:rsid w:val="2ECD1C83"/>
    <w:rsid w:val="2FA07EE4"/>
    <w:rsid w:val="30AC555B"/>
    <w:rsid w:val="32A777DC"/>
    <w:rsid w:val="32FC6A5F"/>
    <w:rsid w:val="33AE4093"/>
    <w:rsid w:val="358E54E5"/>
    <w:rsid w:val="35E623C9"/>
    <w:rsid w:val="360D3DFA"/>
    <w:rsid w:val="36321AB2"/>
    <w:rsid w:val="388365F5"/>
    <w:rsid w:val="39FA5C2B"/>
    <w:rsid w:val="3AAD1707"/>
    <w:rsid w:val="3C58774C"/>
    <w:rsid w:val="3D215A50"/>
    <w:rsid w:val="3F721126"/>
    <w:rsid w:val="40047D02"/>
    <w:rsid w:val="40703D80"/>
    <w:rsid w:val="414D571D"/>
    <w:rsid w:val="41C6026D"/>
    <w:rsid w:val="43FB7987"/>
    <w:rsid w:val="45594965"/>
    <w:rsid w:val="46A55988"/>
    <w:rsid w:val="494B2817"/>
    <w:rsid w:val="4B147F67"/>
    <w:rsid w:val="4BC40C25"/>
    <w:rsid w:val="4E042EBA"/>
    <w:rsid w:val="50335E04"/>
    <w:rsid w:val="51CF2B48"/>
    <w:rsid w:val="52FE08FA"/>
    <w:rsid w:val="53AA59D4"/>
    <w:rsid w:val="549D0AD3"/>
    <w:rsid w:val="54AC3CB6"/>
    <w:rsid w:val="58B678D8"/>
    <w:rsid w:val="5999544A"/>
    <w:rsid w:val="5B3A26EB"/>
    <w:rsid w:val="5B4A291C"/>
    <w:rsid w:val="5B907E1E"/>
    <w:rsid w:val="5B977B3E"/>
    <w:rsid w:val="62542747"/>
    <w:rsid w:val="65077AE2"/>
    <w:rsid w:val="65553461"/>
    <w:rsid w:val="65EB7404"/>
    <w:rsid w:val="66D02156"/>
    <w:rsid w:val="66DC0AFB"/>
    <w:rsid w:val="675D5EDF"/>
    <w:rsid w:val="676C6B1B"/>
    <w:rsid w:val="6ACA1932"/>
    <w:rsid w:val="6BD11E9E"/>
    <w:rsid w:val="6BF0394F"/>
    <w:rsid w:val="6C556DC2"/>
    <w:rsid w:val="6E49116B"/>
    <w:rsid w:val="6E7B158C"/>
    <w:rsid w:val="6F384B1F"/>
    <w:rsid w:val="6F4A043A"/>
    <w:rsid w:val="6F555096"/>
    <w:rsid w:val="713E08C0"/>
    <w:rsid w:val="717007BD"/>
    <w:rsid w:val="736A0B5A"/>
    <w:rsid w:val="74AD0971"/>
    <w:rsid w:val="756866DA"/>
    <w:rsid w:val="766A1C7F"/>
    <w:rsid w:val="76EA6EDD"/>
    <w:rsid w:val="777F175A"/>
    <w:rsid w:val="78442439"/>
    <w:rsid w:val="78574E72"/>
    <w:rsid w:val="7C4B2553"/>
    <w:rsid w:val="7D625DA6"/>
    <w:rsid w:val="7D82379F"/>
    <w:rsid w:val="7D9122BB"/>
    <w:rsid w:val="7D951CD7"/>
    <w:rsid w:val="7DC237B7"/>
    <w:rsid w:val="7E8900A7"/>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12202</Words>
  <Characters>12988</Characters>
  <Lines>0</Lines>
  <Paragraphs>0</Paragraphs>
  <TotalTime>1</TotalTime>
  <ScaleCrop>false</ScaleCrop>
  <LinksUpToDate>false</LinksUpToDate>
  <CharactersWithSpaces>13097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2026-06-22T01:07:19Z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