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版本号：RX--HZ-（2026）第31号20260825001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汉中市南郑区中小学幼儿园电力扩容提升项目（铁峪九年制学校）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RX--HZ-（2026）第31号</w:t>
      </w:r>
      <w:r>
        <w:br/>
      </w:r>
      <w:r>
        <w:br/>
      </w:r>
      <w:r>
        <w:br/>
      </w:r>
    </w:p>
    <w:p>
      <w:pPr>
        <w:pStyle w:val="null3"/>
        <w:jc w:val="center"/>
        <w:outlineLvl w:val="2"/>
      </w:pPr>
      <w:r>
        <w:rPr>
          <w:rFonts w:ascii="仿宋_GB2312" w:hAnsi="仿宋_GB2312" w:cs="仿宋_GB2312" w:eastAsia="仿宋_GB2312"/>
          <w:sz w:val="28"/>
          <w:b/>
        </w:rPr>
        <w:t>汉中市南郑区铁峪九年制学校</w:t>
      </w:r>
    </w:p>
    <w:p>
      <w:pPr>
        <w:pStyle w:val="null3"/>
        <w:jc w:val="center"/>
        <w:outlineLvl w:val="2"/>
      </w:pPr>
      <w:r>
        <w:rPr>
          <w:rFonts w:ascii="仿宋_GB2312" w:hAnsi="仿宋_GB2312" w:cs="仿宋_GB2312" w:eastAsia="仿宋_GB2312"/>
          <w:sz w:val="28"/>
          <w:b/>
        </w:rPr>
        <w:t>瑞信国际项目管理有限公司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瑞信国际项目管理有限公司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汉中市南郑区铁峪九年制学校</w:t>
      </w:r>
      <w:r>
        <w:rPr>
          <w:rFonts w:ascii="仿宋_GB2312" w:hAnsi="仿宋_GB2312" w:cs="仿宋_GB2312" w:eastAsia="仿宋_GB2312"/>
        </w:rPr>
        <w:t>委托，拟对</w:t>
      </w:r>
      <w:r>
        <w:rPr>
          <w:rFonts w:ascii="仿宋_GB2312" w:hAnsi="仿宋_GB2312" w:cs="仿宋_GB2312" w:eastAsia="仿宋_GB2312"/>
        </w:rPr>
        <w:t>汉中市南郑区中小学幼儿园电力扩容提升项目（铁峪九年制学校）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RX--HZ-（2026）第31号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汉中市南郑区中小学幼儿园电力扩容提升项目（铁峪九年制学校）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新做400KVA杆架变一台，增加配电箱，室外电缆敷设，开挖混凝土路面并恢复（具体内容详见本项目设计方案及工程量清单）。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采购包1（汉中市南郑区中小学幼儿园电力扩容提升项目（铁峪九年制学校））：属于专门面向中小企业采购。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为具有独立承担民事责任能力的企业法人、事业法人、其他组织，提供营业执照复印件（事业单位须提供事业单位法人证、组织机构代码证等证明文件；其他组织应提供合法证明文件）【注：提供加盖公章的复印件，供应商需在本项目电子化交易系统中按要求上传相关证明文件并签章】：具有独立承担民事责任的能力：供应商为具有独立承担民事责任能力的企业法人、事业法人、其他组织，提供营业执照复印件（事业单位须提供事业单位法人证、组织机构代码证等证明文件；其他组织应提供合法证明文件），供应商需在本项目电子化交易系统中按要求上传相关证明文件并签章；</w:t>
      </w:r>
    </w:p>
    <w:p>
      <w:pPr>
        <w:pStyle w:val="null3"/>
      </w:pPr>
      <w:r>
        <w:rPr>
          <w:rFonts w:ascii="仿宋_GB2312" w:hAnsi="仿宋_GB2312" w:cs="仿宋_GB2312" w:eastAsia="仿宋_GB2312"/>
        </w:rPr>
        <w:t>2、具有履行合同所必需的设备和专业技术能力：（1）供应商须具备建设行政主管部门核发的[电力工程施工总承包]三级（含三级）及以上资质等级；（2）供应商须具备有效的《承装（修、试）电力设施许可证》[（承装类、承试类三级（10千伏以下）]及以上设施许可证等级，具有合法的安全生产许可证且所要求的证件均在有效期内【注：提供加盖公章的证照复印件，供应商需在本项目电子化交易系统中按要求上传相关证明文件并签章】：具有履行合同所必需的设备和专业技术能力：（1）供应商须具备建设行政主管部门核发的[电力工程施工总承包]三级（含三级）及以上资质等级；（2）供应商须具备有效的《承装（修、试）电力设施许可证》[（承装类、承试类三级（10千伏以下）]及以上设施许可证等级，具有合法的安全生产许可证且所要求的证件均在有效期内，供应商需在本项目电子化交易系统中按要求上传相关证明文件并签章；</w:t>
      </w:r>
    </w:p>
    <w:p>
      <w:pPr>
        <w:pStyle w:val="null3"/>
      </w:pPr>
      <w:r>
        <w:rPr>
          <w:rFonts w:ascii="仿宋_GB2312" w:hAnsi="仿宋_GB2312" w:cs="仿宋_GB2312" w:eastAsia="仿宋_GB2312"/>
        </w:rPr>
        <w:t>3、拟派项目负责人执业资格和专业要求：拟派项目负责人须具备[机电工程专业]注册建造师二级（含二级）及以上执业资格和安全生产考核合格B证，且无在建项目、无不良信用记录【注：①提供项目负责人证照复印件（注册证、安全生产考核合格B证、身份证及单位缴纳社保证明）确认在有效期内并加盖单位公章；②提供项目负责人“无不良信用”承诺函；③提供项目负责人“无在建工程”声明函。供应商需在本项目电子化交易系统中按要求上传相关证明文件并签章】：拟派项目负责人执业资格和专业要求：拟派项目负责人须具备[机电工程专业]注册建造师二级（含二级）及以上执业资格和安全生产考核合格B证，且无在建项目、无不良信用记录，供应商需在本项目电子化交易系统中按要求上传相关证明文件并签章；</w:t>
      </w:r>
    </w:p>
    <w:p>
      <w:pPr>
        <w:pStyle w:val="null3"/>
      </w:pPr>
      <w:r>
        <w:rPr>
          <w:rFonts w:ascii="仿宋_GB2312" w:hAnsi="仿宋_GB2312" w:cs="仿宋_GB2312" w:eastAsia="仿宋_GB2312"/>
        </w:rPr>
        <w:t>4、供应商应授权合法的人员参加本次竞争性磋商活动：其中法定代表人直接参加的，须出具法人身份证，并与营业执照上信息一致；授权代表参加的，须出具法定代表人授权书及被授权人身份证【注：提供加盖公章的证照复印件,供应商需在本项目电子化交易系统中按要求上传相关证明文件并签章】：供应商应授权合法的人员参加本次竞争性磋商活动：其中法定代表人直接参加的，须出具法人身份证，并与营业执照上信息一致；授权代表参加的，须出具法定代表人授权书及被授权人身份证，供应商需在本项目电子化交易系统中按要求上传相关证明文件并签章；</w:t>
      </w:r>
    </w:p>
    <w:p>
      <w:pPr>
        <w:pStyle w:val="null3"/>
      </w:pPr>
      <w:r>
        <w:rPr>
          <w:rFonts w:ascii="仿宋_GB2312" w:hAnsi="仿宋_GB2312" w:cs="仿宋_GB2312" w:eastAsia="仿宋_GB2312"/>
        </w:rPr>
        <w:t>5、本项目不接受联合体磋商，单位负责人为同一人或者存在控股、管理关系的不同单位不得同时参与本项目磋商响应【注：提供“供应商非联合体”声明函，供应商需在本项目电子化交易系统中按要求上传相关证明文件并签章】：本项目不接受联合体磋商，单位负责人为同一人或者存在控股、管理关系的不同单位不得同时参与本项目磋商响应；</w:t>
      </w:r>
    </w:p>
    <w:p>
      <w:pPr>
        <w:pStyle w:val="null3"/>
      </w:pPr>
      <w:r>
        <w:rPr>
          <w:rFonts w:ascii="仿宋_GB2312" w:hAnsi="仿宋_GB2312" w:cs="仿宋_GB2312" w:eastAsia="仿宋_GB2312"/>
        </w:rPr>
        <w:t>6、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注：拟参与本项目磋商响应的供应商应按照汉中市财政局《关于全面推行政府采购供应商基本资格条件承诺制的通知》（汉财办采管〔2024〕20号）文件要求，提供满足相应条件的资格承诺函）【注：按照汉中市财政局《关于全面推行政府采购投标人基本资格条件承诺制的通知》（汉财办采管〔2024〕20号）文件要求，提供满足相应条件的资格承诺函（格式详见附件），供应商需在本项目电子化交易系统中按要求上传相关证明文件并签章】：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注：拟参与本项目磋商响应的供应商应按照汉中市财政局《关于全面推行政府采购供应商基本资格条件承诺制的通知》（汉财办采管〔2024〕20号）文件要求，提供满足相应条件的资格承诺函），供应商需在本项目电子化交易系统中按要求上传相关证明文件并签章；</w:t>
      </w:r>
    </w:p>
    <w:p>
      <w:pPr>
        <w:pStyle w:val="null3"/>
      </w:pPr>
      <w:r>
        <w:rPr>
          <w:rFonts w:ascii="仿宋_GB2312" w:hAnsi="仿宋_GB2312" w:cs="仿宋_GB2312" w:eastAsia="仿宋_GB2312"/>
        </w:rPr>
        <w:t>7、供应商按规定缴纳了磋商保证金或提供磋商担保函【注：供应商需在本项目电子化交易系统中按要求上传相关证明文件并签章】：供应商按规定缴纳了磋商保证金或提供磋商担保函，供应商需在本项目电子化交易系统中按要求上传相关证明文件并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汉中市南郑区铁峪九年制学校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陕西省汉中市南郑区新集镇岳岭村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汉中市南郑区铁峪九年制学校经办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18609165239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瑞信国际项目管理有限公司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陕西省西安市市本级陕西省咸阳市西咸新区秦汉新城兰池大道中段18号秦汉新城规划展览中心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19991330642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汉中市南郑区政府采购管理股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开户名称：瑞信国际项目管理有限公司</w:t>
            </w:r>
          </w:p>
          <w:p>
            <w:pPr>
              <w:pStyle w:val="null3"/>
            </w:pPr>
            <w:r>
              <w:rPr>
                <w:rFonts w:ascii="仿宋_GB2312" w:hAnsi="仿宋_GB2312" w:cs="仿宋_GB2312" w:eastAsia="仿宋_GB2312"/>
              </w:rPr>
              <w:t>开户银行：建设银行咸阳人民东路支行</w:t>
            </w:r>
          </w:p>
          <w:p>
            <w:pPr>
              <w:pStyle w:val="null3"/>
            </w:pPr>
            <w:r>
              <w:rPr>
                <w:rFonts w:ascii="仿宋_GB2312" w:hAnsi="仿宋_GB2312" w:cs="仿宋_GB2312" w:eastAsia="仿宋_GB2312"/>
              </w:rPr>
              <w:t>银行账号：61050163400000000068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采购代理服务费的金额按照国家计委颁发的《采购代理服务收费管理暂行办法》（计价格〔2002〕1980号）、国家发展改革委办公厅颁发的《关于采购代理服务收费有关问题的通知》（发改办价格〔2003〕857号）、《国家发展改革委关于降低部分建设项目收费标准规范收费行为等有关问题的通知》（发改价格〔2011〕534号）的有关规定执行或双方合同约定。</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汉中市南郑区铁峪九年制学校</w:t>
      </w:r>
      <w:r>
        <w:rPr>
          <w:rFonts w:ascii="仿宋_GB2312" w:hAnsi="仿宋_GB2312" w:cs="仿宋_GB2312" w:eastAsia="仿宋_GB2312"/>
        </w:rPr>
        <w:t>和</w:t>
      </w:r>
      <w:r>
        <w:rPr>
          <w:rFonts w:ascii="仿宋_GB2312" w:hAnsi="仿宋_GB2312" w:cs="仿宋_GB2312" w:eastAsia="仿宋_GB2312"/>
        </w:rPr>
        <w:t>瑞信国际项目管理有限公司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汉中市南郑区铁峪九年制学校</w:t>
      </w:r>
      <w:r>
        <w:rPr>
          <w:rFonts w:ascii="仿宋_GB2312" w:hAnsi="仿宋_GB2312" w:cs="仿宋_GB2312" w:eastAsia="仿宋_GB2312"/>
        </w:rPr>
        <w:t>负责解释。除上述磋商文件内容，其他内容由</w:t>
      </w:r>
      <w:r>
        <w:rPr>
          <w:rFonts w:ascii="仿宋_GB2312" w:hAnsi="仿宋_GB2312" w:cs="仿宋_GB2312" w:eastAsia="仿宋_GB2312"/>
        </w:rPr>
        <w:t>瑞信国际项目管理有限公司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汉中市南郑区铁峪九年制学校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瑞信国际项目管理有限公司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符合国家及行业现行技术规范标准，具体内容甲乙双方合同内约定或按照建设工程施工合同范本（GF—2017—0201）内容执行。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瑞信国际项目管理有限公司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瑞信国际项目管理有限公司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瑞信国际项目管理有限公司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联系电话：19991330642</w:t>
      </w:r>
    </w:p>
    <w:p>
      <w:pPr>
        <w:pStyle w:val="null3"/>
      </w:pPr>
      <w:r>
        <w:rPr>
          <w:rFonts w:ascii="仿宋_GB2312" w:hAnsi="仿宋_GB2312" w:cs="仿宋_GB2312" w:eastAsia="仿宋_GB2312"/>
        </w:rPr>
        <w:t>地址：陕西省西安市市本级陕西省咸阳市西咸新区秦汉新城兰池大道中段18号秦汉新城规划展览中心</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530,000.00</w:t>
      </w:r>
    </w:p>
    <w:p>
      <w:pPr>
        <w:pStyle w:val="null3"/>
      </w:pPr>
      <w:r>
        <w:rPr>
          <w:rFonts w:ascii="仿宋_GB2312" w:hAnsi="仿宋_GB2312" w:cs="仿宋_GB2312" w:eastAsia="仿宋_GB2312"/>
        </w:rPr>
        <w:t>采购包最高限价（元）: 477,550.29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汉中市南郑区中小学幼儿园电力扩容提升项目（铁峪九年制学校）</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530,000.00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标的名称：汉中市南郑区中小学幼儿园电力扩容提升项目（铁峪九年制学校）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1.工程概况</w:t>
            </w:r>
            <w:r>
              <w:rPr>
                <w:rFonts w:ascii="仿宋_GB2312" w:hAnsi="仿宋_GB2312" w:cs="仿宋_GB2312" w:eastAsia="仿宋_GB2312"/>
                <w:sz w:val="24"/>
              </w:rPr>
              <w:t>：</w:t>
            </w:r>
            <w:r>
              <w:rPr>
                <w:rFonts w:ascii="仿宋_GB2312" w:hAnsi="仿宋_GB2312" w:cs="仿宋_GB2312" w:eastAsia="仿宋_GB2312"/>
                <w:sz w:val="24"/>
              </w:rPr>
              <w:t>新做</w:t>
            </w:r>
            <w:r>
              <w:rPr>
                <w:rFonts w:ascii="仿宋_GB2312" w:hAnsi="仿宋_GB2312" w:cs="仿宋_GB2312" w:eastAsia="仿宋_GB2312"/>
                <w:sz w:val="24"/>
              </w:rPr>
              <w:t>400KVA杆架变一台，增加配电箱，室外电缆敷设，开挖混凝土路面并恢复（具体内容详见本项目设计方案及工程量清单）</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2.施工范围：本项目设计文件及工程量清单范围内全部工程内容。</w:t>
            </w:r>
          </w:p>
          <w:p>
            <w:pPr>
              <w:pStyle w:val="null3"/>
              <w:jc w:val="left"/>
            </w:pPr>
            <w:r>
              <w:rPr>
                <w:rFonts w:ascii="仿宋_GB2312" w:hAnsi="仿宋_GB2312" w:cs="仿宋_GB2312" w:eastAsia="仿宋_GB2312"/>
                <w:sz w:val="24"/>
              </w:rPr>
              <w:t>3.施工地点</w:t>
            </w:r>
            <w:r>
              <w:rPr>
                <w:rFonts w:ascii="仿宋_GB2312" w:hAnsi="仿宋_GB2312" w:cs="仿宋_GB2312" w:eastAsia="仿宋_GB2312"/>
                <w:sz w:val="24"/>
              </w:rPr>
              <w:t>：位于</w:t>
            </w:r>
            <w:r>
              <w:rPr>
                <w:rFonts w:ascii="仿宋_GB2312" w:hAnsi="仿宋_GB2312" w:cs="仿宋_GB2312" w:eastAsia="仿宋_GB2312"/>
                <w:sz w:val="24"/>
              </w:rPr>
              <w:t>汉中市南郑区铁峪九年制学校院内</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计划工期</w:t>
            </w:r>
            <w:r>
              <w:rPr>
                <w:rFonts w:ascii="仿宋_GB2312" w:hAnsi="仿宋_GB2312" w:cs="仿宋_GB2312" w:eastAsia="仿宋_GB2312"/>
                <w:sz w:val="24"/>
              </w:rPr>
              <w:t>（合同履行期限）：合同签订后</w:t>
            </w:r>
            <w:r>
              <w:rPr>
                <w:rFonts w:ascii="仿宋_GB2312" w:hAnsi="仿宋_GB2312" w:cs="仿宋_GB2312" w:eastAsia="仿宋_GB2312"/>
                <w:sz w:val="24"/>
              </w:rPr>
              <w:t>45日历天（具体服务起止日期可随合同签订时间相应顺延）</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工程质量</w:t>
            </w:r>
            <w:r>
              <w:rPr>
                <w:rFonts w:ascii="仿宋_GB2312" w:hAnsi="仿宋_GB2312" w:cs="仿宋_GB2312" w:eastAsia="仿宋_GB2312"/>
                <w:sz w:val="24"/>
              </w:rPr>
              <w:t>要求</w:t>
            </w:r>
            <w:r>
              <w:rPr>
                <w:rFonts w:ascii="仿宋_GB2312" w:hAnsi="仿宋_GB2312" w:cs="仿宋_GB2312" w:eastAsia="仿宋_GB2312"/>
                <w:sz w:val="24"/>
              </w:rPr>
              <w:t>：交工验收的质量评定：合格；竣工验收的质量评定：合格</w:t>
            </w:r>
            <w:r>
              <w:rPr>
                <w:rFonts w:ascii="仿宋_GB2312" w:hAnsi="仿宋_GB2312" w:cs="仿宋_GB2312" w:eastAsia="仿宋_GB2312"/>
                <w:sz w:val="24"/>
              </w:rPr>
              <w:t>；</w:t>
            </w:r>
            <w:r>
              <w:rPr>
                <w:rFonts w:ascii="仿宋_GB2312" w:hAnsi="仿宋_GB2312" w:cs="仿宋_GB2312" w:eastAsia="仿宋_GB2312"/>
                <w:sz w:val="24"/>
              </w:rPr>
              <w:t>质量达到合格标准，并满足国家相关标准、规范及有关技术文件要求。</w:t>
            </w:r>
          </w:p>
          <w:p>
            <w:pPr>
              <w:pStyle w:val="null3"/>
              <w:jc w:val="left"/>
            </w:pPr>
            <w:r>
              <w:rPr>
                <w:rFonts w:ascii="仿宋_GB2312" w:hAnsi="仿宋_GB2312" w:cs="仿宋_GB2312" w:eastAsia="仿宋_GB2312"/>
                <w:sz w:val="24"/>
              </w:rPr>
              <w:t>6.安全目标：无安全责任事故发生。</w:t>
            </w:r>
          </w:p>
          <w:p>
            <w:pPr>
              <w:pStyle w:val="null3"/>
              <w:jc w:val="left"/>
            </w:pPr>
            <w:r>
              <w:rPr>
                <w:rFonts w:ascii="仿宋_GB2312" w:hAnsi="仿宋_GB2312" w:cs="仿宋_GB2312" w:eastAsia="仿宋_GB2312"/>
                <w:sz w:val="24"/>
              </w:rPr>
              <w:t>7.工程</w:t>
            </w:r>
            <w:r>
              <w:rPr>
                <w:rFonts w:ascii="仿宋_GB2312" w:hAnsi="仿宋_GB2312" w:cs="仿宋_GB2312" w:eastAsia="仿宋_GB2312"/>
                <w:sz w:val="24"/>
              </w:rPr>
              <w:t>质保</w:t>
            </w:r>
            <w:r>
              <w:rPr>
                <w:rFonts w:ascii="仿宋_GB2312" w:hAnsi="仿宋_GB2312" w:cs="仿宋_GB2312" w:eastAsia="仿宋_GB2312"/>
                <w:sz w:val="24"/>
              </w:rPr>
              <w:t>期：</w:t>
            </w:r>
            <w:r>
              <w:rPr>
                <w:rFonts w:ascii="仿宋_GB2312" w:hAnsi="仿宋_GB2312" w:cs="仿宋_GB2312" w:eastAsia="仿宋_GB2312"/>
                <w:sz w:val="24"/>
              </w:rPr>
              <w:t>2</w:t>
            </w:r>
            <w:r>
              <w:rPr>
                <w:rFonts w:ascii="仿宋_GB2312" w:hAnsi="仿宋_GB2312" w:cs="仿宋_GB2312" w:eastAsia="仿宋_GB2312"/>
                <w:sz w:val="24"/>
              </w:rPr>
              <w:t>年</w:t>
            </w:r>
            <w:r>
              <w:rPr>
                <w:rFonts w:ascii="仿宋_GB2312" w:hAnsi="仿宋_GB2312" w:cs="仿宋_GB2312" w:eastAsia="仿宋_GB2312"/>
                <w:sz w:val="24"/>
              </w:rPr>
              <w:t>（自工程竣工验收合格之日起计算，</w:t>
            </w:r>
            <w:r>
              <w:rPr>
                <w:rFonts w:ascii="仿宋_GB2312" w:hAnsi="仿宋_GB2312" w:cs="仿宋_GB2312" w:eastAsia="仿宋_GB2312"/>
                <w:sz w:val="24"/>
              </w:rPr>
              <w:t>若该质量</w:t>
            </w:r>
            <w:r>
              <w:rPr>
                <w:rFonts w:ascii="仿宋_GB2312" w:hAnsi="仿宋_GB2312" w:cs="仿宋_GB2312" w:eastAsia="仿宋_GB2312"/>
                <w:sz w:val="24"/>
              </w:rPr>
              <w:t>保修期</w:t>
            </w:r>
            <w:r>
              <w:rPr>
                <w:rFonts w:ascii="仿宋_GB2312" w:hAnsi="仿宋_GB2312" w:cs="仿宋_GB2312" w:eastAsia="仿宋_GB2312"/>
                <w:sz w:val="24"/>
              </w:rPr>
              <w:t>小于国家标准，则以国家</w:t>
            </w:r>
            <w:r>
              <w:rPr>
                <w:rFonts w:ascii="仿宋_GB2312" w:hAnsi="仿宋_GB2312" w:cs="仿宋_GB2312" w:eastAsia="仿宋_GB2312"/>
                <w:sz w:val="24"/>
              </w:rPr>
              <w:t>最新</w:t>
            </w:r>
            <w:r>
              <w:rPr>
                <w:rFonts w:ascii="仿宋_GB2312" w:hAnsi="仿宋_GB2312" w:cs="仿宋_GB2312" w:eastAsia="仿宋_GB2312"/>
                <w:sz w:val="24"/>
              </w:rPr>
              <w:t>标准为准</w:t>
            </w:r>
            <w:r>
              <w:rPr>
                <w:rFonts w:ascii="仿宋_GB2312" w:hAnsi="仿宋_GB2312" w:cs="仿宋_GB2312" w:eastAsia="仿宋_GB2312"/>
                <w:sz w:val="24"/>
              </w:rPr>
              <w:t>）。</w:t>
            </w:r>
          </w:p>
          <w:p>
            <w:pPr>
              <w:pStyle w:val="null3"/>
            </w:pPr>
            <w:r>
              <w:rPr>
                <w:rFonts w:ascii="仿宋_GB2312" w:hAnsi="仿宋_GB2312" w:cs="仿宋_GB2312" w:eastAsia="仿宋_GB2312"/>
                <w:sz w:val="24"/>
              </w:rPr>
              <w:t>8.其他权利与义务：满足竞争性磋商文件要求。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1.JGJ 310-2013《教育建筑电气设计规范》； 2.GB 50099-2011《中小学校设计规范》； 3.GB 50052-2009《供配电系统设计规范》； 4.GB 50054-2011《低压配电设计规范》； 5.GB 50217-2018《电力工程电缆设计标准》； 6.GB 50168-2018《电气装置安装工程 电缆线路施工及验收标准》； 7.GB 50173-2014《电气装置安装工程 66kV及以下架空电力线路施工及验收规范》； 8.GB 50303-2015《建筑电气工程施工质量验收规范》； 9.GB 50169-2016《电气装置安装工程 接地装置施工及验收规范》； 10.GB 50150-2016《电气装置安装工程 电气设备交接试验标准》； 11.CJJ 1-2008《城镇道路工程施工与质量验收规范》； 12.GB 50204-2015《混凝土结构工程施工质量验收规范》； 13.《陕西省建设工程工程量清单计价标准》+通用安装/市政消耗量定额(2025)。 注：本工程须执行国家、行业及陕西省现行有效的工程建设标准强制性条文及上述规范标准。当标准有更新时，按最新版本执行。未列明的但涉及本工程施工的相关规范、规程亦须遵照执行。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1.本项目工程概述： （1）本工程为汉中市南郑区中小学幼儿园电力扩容提升项目（铁峪九年制学校）。主要内容包含：新做400KVA杆架变一台，增加配电箱，室外电缆敷设，开挖混凝土路面并恢复。 2.编制依据： （1）《陕西省工程建设标准之建设工程工程量清单计价标准》（2025）； （2）《陕西省工程建设标准之工程量计算标准》（2025）； （3）《陕西省建设工程费用规则（2025）》。 3.有关问题说明： 公租房中挖电缆沟、破混凝土、打墙洞暂定综合单价550元/项，结算时据实调整。 4.编制软件：广联达云计价平台GCCP7.0。 5.磋商报价要求： （1）本项目设有最高限价，金额：¥477,550.29元（大写：肆拾柒万柒仟伍佰伍拾元贰角玖分），供应商的磋商响应报价超过最高限价的，视为未响应竞争性磋商文件要求，其磋商响应文件按无效响应处理。（2）供应商各轮次磋商总报价不得超过采购预算金额（最高限价），且满足磋商文件中不正当竞争预防措施（实质性要求）内容。 6.其他：（1）本采购项目的材料、设备、施工须达到所涉及的现行中华人民共和国以及省、自治区、直辖市或行业的工程建设标准、规范的要求；（2）该项工程项目的材料、设备、施工除须达到以上标准外，还应满足方案设计要求和采购人在竞争性磋商文件中的有关要求；（3）该工程项目的材料、设备、施工如无上述1、2条的标准，在材料、设备的订货采购和施工安装时，应出具生产厂家或施工安装企业在技术监督部门已备案企业标准，并经采购人批准后方可实施。</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1.项目名称：汉中市南郑区中小学幼儿园电力扩容提升项目（铁峪九年制学校）； 2.为顺利推进政府采购电子化交易平台应用工作，供应商务必在开标（磋商会议）截止时间30分钟前，通过项目电子化交易系统进行签到，如未进行签到，产生的一切后果由供应商自行承担。 3.供应商应认真核实本项目的工程量清单。磋商响应报价是供应商响应本项目要求的全部工作内容的价格体现，包括施工机械使用费、人工费、材料与设备费、其他(运杂费、质检费、安装费、缺陷修复费、保险费，以及合同明示或暗示的风险、责任和义务等)，以及管理费、税金、利润等所有费用，并符合建设工程计价规则。磋商文件未列明，而供应商认为应当计取的费用均应列入报价中。报价时不论是否计取，采购人均按已计取对待。各供应商所有分项报价（与最后磋商报价比例一致）同比例下浮。 4.签名是指手写签名或者加盖名章，盖章是指加盖单位公章。 5.本项目所属行业为建筑业。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供应商为具有独立承担民事责任能力的企业法人、事业法人、其他组织，提供营业执照复印件（事业单位须提供事业单位法人证、组织机构代码证等证明文件；其他组织应提供合法证明文件）【注：提供加盖公章的复印件，供应商需在本项目电子化交易系统中按要求上传相关证明文件并签章】</w:t>
            </w:r>
          </w:p>
        </w:tc>
        <w:tc>
          <w:tcPr>
            <w:tcW w:type="dxa" w:w="3322"/>
          </w:tcPr>
          <w:p>
            <w:pPr>
              <w:pStyle w:val="null3"/>
            </w:pPr>
            <w:r>
              <w:rPr>
                <w:rFonts w:ascii="仿宋_GB2312" w:hAnsi="仿宋_GB2312" w:cs="仿宋_GB2312" w:eastAsia="仿宋_GB2312"/>
              </w:rPr>
              <w:t>具有独立承担民事责任的能力：供应商为具有独立承担民事责任能力的企业法人、事业法人、其他组织，提供营业执照复印件（事业单位须提供事业单位法人证、组织机构代码证等证明文件；其他组织应提供合法证明文件），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行合同所必需的设备和专业技术能力：（1）供应商须具备建设行政主管部门核发的[电力工程施工总承包]三级（含三级）及以上资质等级；（2）供应商须具备有效的《承装（修、试）电力设施许可证》[（承装类、承试类三级（10千伏以下）]及以上设施许可证等级，具有合法的安全生产许可证且所要求的证件均在有效期内【注：提供加盖公章的证照复印件，供应商需在本项目电子化交易系统中按要求上传相关证明文件并签章】</w:t>
            </w:r>
          </w:p>
        </w:tc>
        <w:tc>
          <w:tcPr>
            <w:tcW w:type="dxa" w:w="3322"/>
          </w:tcPr>
          <w:p>
            <w:pPr>
              <w:pStyle w:val="null3"/>
            </w:pPr>
            <w:r>
              <w:rPr>
                <w:rFonts w:ascii="仿宋_GB2312" w:hAnsi="仿宋_GB2312" w:cs="仿宋_GB2312" w:eastAsia="仿宋_GB2312"/>
              </w:rPr>
              <w:t>具有履行合同所必需的设备和专业技术能力：（1）供应商须具备建设行政主管部门核发的[电力工程施工总承包]三级（含三级）及以上资质等级；（2）供应商须具备有效的《承装（修、试）电力设施许可证》[（承装类、承试类三级（10千伏以下）]及以上设施许可证等级，具有合法的安全生产许可证且所要求的证件均在有效期内，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执业资格和专业要求：拟派项目负责人须具备[机电工程专业]注册建造师二级（含二级）及以上执业资格和安全生产考核合格B证，且无在建项目、无不良信用记录【注：①提供项目负责人证照复印件（注册证、安全生产考核合格B证、身份证及单位缴纳社保证明）确认在有效期内并加盖单位公章；②提供项目负责人“无不良信用”承诺函；③提供项目负责人“无在建工程”声明函。供应商需在本项目电子化交易系统中按要求上传相关证明文件并签章】</w:t>
            </w:r>
          </w:p>
        </w:tc>
        <w:tc>
          <w:tcPr>
            <w:tcW w:type="dxa" w:w="3322"/>
          </w:tcPr>
          <w:p>
            <w:pPr>
              <w:pStyle w:val="null3"/>
            </w:pPr>
            <w:r>
              <w:rPr>
                <w:rFonts w:ascii="仿宋_GB2312" w:hAnsi="仿宋_GB2312" w:cs="仿宋_GB2312" w:eastAsia="仿宋_GB2312"/>
              </w:rPr>
              <w:t>拟派项目负责人执业资格和专业要求：拟派项目负责人须具备[机电工程专业]注册建造师二级（含二级）及以上执业资格和安全生产考核合格B证，且无在建项目、无不良信用记录，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授权合法的人员参加本次竞争性磋商活动：其中法定代表人直接参加的，须出具法人身份证，并与营业执照上信息一致；授权代表参加的，须出具法定代表人授权书及被授权人身份证【注：提供加盖公章的证照复印件,供应商需在本项目电子化交易系统中按要求上传相关证明文件并签章】</w:t>
            </w:r>
          </w:p>
        </w:tc>
        <w:tc>
          <w:tcPr>
            <w:tcW w:type="dxa" w:w="3322"/>
          </w:tcPr>
          <w:p>
            <w:pPr>
              <w:pStyle w:val="null3"/>
            </w:pPr>
            <w:r>
              <w:rPr>
                <w:rFonts w:ascii="仿宋_GB2312" w:hAnsi="仿宋_GB2312" w:cs="仿宋_GB2312" w:eastAsia="仿宋_GB2312"/>
              </w:rPr>
              <w:t>供应商应授权合法的人员参加本次竞争性磋商活动：其中法定代表人直接参加的，须出具法人身份证，并与营业执照上信息一致；授权代表参加的，须出具法定代表人授权书及被授权人身份证，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注：提供“供应商非联合体”声明函，供应商需在本项目电子化交易系统中按要求上传相关证明文件并签章】</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注：拟参与本项目磋商响应的供应商应按照汉中市财政局《关于全面推行政府采购供应商基本资格条件承诺制的通知》（汉财办采管〔2024〕20号）文件要求，提供满足相应条件的资格承诺函）【注：按照汉中市财政局《关于全面推行政府采购投标人基本资格条件承诺制的通知》（汉财办采管〔2024〕20号）文件要求，提供满足相应条件的资格承诺函（格式详见附件），供应商需在本项目电子化交易系统中按要求上传相关证明文件并签章】</w:t>
            </w:r>
          </w:p>
        </w:tc>
        <w:tc>
          <w:tcPr>
            <w:tcW w:type="dxa" w:w="3322"/>
          </w:tcPr>
          <w:p>
            <w:pPr>
              <w:pStyle w:val="null3"/>
            </w:pPr>
            <w:r>
              <w:rPr>
                <w:rFonts w:ascii="仿宋_GB2312" w:hAnsi="仿宋_GB2312" w:cs="仿宋_GB2312" w:eastAsia="仿宋_GB2312"/>
              </w:rPr>
              <w:t>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注：拟参与本项目磋商响应的供应商应按照汉中市财政局《关于全面推行政府采购供应商基本资格条件承诺制的通知》（汉财办采管〔2024〕20号）文件要求，提供满足相应条件的资格承诺函），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供应商按规定缴纳了磋商保证金或提供磋商担保函【注：供应商需在本项目电子化交易系统中按要求上传相关证明文件并签章】</w:t>
            </w:r>
          </w:p>
        </w:tc>
        <w:tc>
          <w:tcPr>
            <w:tcW w:type="dxa" w:w="3322"/>
          </w:tcPr>
          <w:p>
            <w:pPr>
              <w:pStyle w:val="null3"/>
            </w:pPr>
            <w:r>
              <w:rPr>
                <w:rFonts w:ascii="仿宋_GB2312" w:hAnsi="仿宋_GB2312" w:cs="仿宋_GB2312" w:eastAsia="仿宋_GB2312"/>
              </w:rPr>
              <w:t>供应商按规定缴纳了磋商保证金或提供磋商担保函，供应商需在本项目电子化交易系统中按要求上传相关证明文件并签章。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磋商响应报价</w:t>
            </w:r>
          </w:p>
        </w:tc>
        <w:tc>
          <w:tcPr>
            <w:tcW w:type="dxa" w:w="3322"/>
          </w:tcPr>
          <w:p>
            <w:pPr>
              <w:pStyle w:val="null3"/>
            </w:pPr>
            <w:r>
              <w:rPr>
                <w:rFonts w:ascii="仿宋_GB2312" w:hAnsi="仿宋_GB2312" w:cs="仿宋_GB2312" w:eastAsia="仿宋_GB2312"/>
              </w:rPr>
              <w:t>只能有一个有效报价，不得提交选择性报价，且报价不超过采购预算（最高限价）；</w:t>
            </w:r>
          </w:p>
        </w:tc>
        <w:tc>
          <w:tcPr>
            <w:tcW w:type="dxa" w:w="1661"/>
          </w:tcPr>
          <w:p>
            <w:pPr>
              <w:pStyle w:val="null3"/>
            </w:pPr>
            <w:r>
              <w:rPr>
                <w:rFonts w:ascii="仿宋_GB2312" w:hAnsi="仿宋_GB2312" w:cs="仿宋_GB2312" w:eastAsia="仿宋_GB2312"/>
              </w:rPr>
              <w:t>已标价工程量清单 报价函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供应商响应文件未附有违背法律法规和政府规章规定的其他条件；供应商响应文件符合竞争性磋商文件中规定的其他实质性要求。</w:t>
            </w:r>
          </w:p>
        </w:tc>
        <w:tc>
          <w:tcPr>
            <w:tcW w:type="dxa" w:w="1661"/>
          </w:tcPr>
          <w:p>
            <w:pPr>
              <w:pStyle w:val="null3"/>
            </w:pPr>
            <w:r>
              <w:rPr>
                <w:rFonts w:ascii="仿宋_GB2312" w:hAnsi="仿宋_GB2312" w:cs="仿宋_GB2312" w:eastAsia="仿宋_GB2312"/>
              </w:rPr>
              <w:t>已标价工程量清单 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①施工方案；</w:t>
            </w:r>
          </w:p>
        </w:tc>
        <w:tc>
          <w:tcPr>
            <w:tcW w:type="dxa" w:w="2492"/>
          </w:tcPr>
          <w:p>
            <w:pPr>
              <w:pStyle w:val="null3"/>
            </w:pPr>
            <w:r>
              <w:rPr>
                <w:rFonts w:ascii="仿宋_GB2312" w:hAnsi="仿宋_GB2312" w:cs="仿宋_GB2312" w:eastAsia="仿宋_GB2312"/>
              </w:rPr>
              <w:t>一、评审内容：供应商针对项目编制完善的施工方案，内容包含：①工程重难点及解决措施；②各类工程施工方法；③施工质量通病防治措施。 二、评审标准： 1、完整性：（1）完整性强：全面涵盖上述三大板块；内容系统、逻辑严密形成闭环，无关键环节遗漏；（2）较完整：基本包含三大板块，但某一板块仅列出常见问题，缺少对应具体防治做法或存在少量非关键细节缺失、板块衔接不畅；（3）缺乏完整性：缺失核心板块（如未提及校园施工安全、杆架变安装、电缆过路保护等），无法支撑项目科学实施，存在明显不完善之处。 2、针对性：（1）针对性强：方案完全切合本项目实际（铁峪九年制学校校园环境、400kVA杆架变、室外电缆敷设、混凝土路面破复等），施工方法符合相关规范要求，质量通病防治针对本项目特点制定；（2）具有一定针对性：方案结构基本完整，能大致契合本项目要求，但对本项目特定难点分析不足，或存在不适用内容等；（3）缺乏针对性：明显套用其他项目模板，未结合本项目实际和本项目采购需求等关键信息，存在“万能型”描述。 3、可实施性：（1）可实施性强：施工方法步骤清晰、参数明确，重难点解决措施有具体技术支撑（如校园施工采用封闭式围挡、错峰施工），通病防治有具体检查节点和验收标准，可落地、可检查；（2）具有一定可实施性：方法基本可行，措施基本能执行，但部分表述模糊（如“加强安全管理”“注意电缆保护”），缺少关键参数或节点控制，或存在一处表述模糊、难以执行的内容（如施工顺序不合理、通病防治措施缺乏操作性）；（3）缺乏可实施性：方案内容空洞，施工方法泛泛而谈，重难点解决措施无具体技术路径（如仅提“保证质量”无具体措施），通病防治流于形式，存在逻辑漏洞、常识错误或违反强制性条文等。 三、赋分标准：（1）根据供应商响应程度及评审内容要求，以上评审内容均完整、针对性强且实施性强的，得满分9分；（2）其中每有一条评审内容缺项的，扣3分；（3）对应扣分规则：I、完整性：①完整性强（不扣分）；②较完整（一处缺陷扣1分）；③缺乏完整性（一处缺陷扣1分）。II、针对性：①针对性强（不扣分）；②具有一定针对性（一处缺陷扣1分）；③缺乏针对性（一处缺陷扣1分）。III、可实施性强（不扣分）；②具有一定可实施性（一处缺陷扣1分）；③缺乏可实施性（一处缺陷扣1分）。扣完为止。[注：评审标准中所指“缺陷”，包含内容细节缺失、表述笼统、工艺/措施与本项目实际施工内容不匹配、技术逻辑错误、管控标准不明确、违反相关强制性条文等情形。具体详见评审标准内容]。 注：未提供此项者不得分。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附件1：综合评分明细表：①施工方案.pdf</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②资源配置计划；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一、评审内容：供应商针对本项目编制完善的资源配置计划，内容包含：①劳动力资源配置计划；②施工机械设备投入计划；③主要施工材料供应计划。 二、评审标准：1、完整性：（1）完整性强：计划全面覆盖劳动力、机械设备、材料供应三大内容；各计划中均明确具体时间节点、数量/规格及进场安排，无关键环节遗漏；（2）较完整：基本覆盖三大内容，但在某一计划中缺少部分时间节点或数量明细，仅存在少量非关键性细节缺失；或对三大内容虽涉及，但存在明显缺失项，影响整体实施预判；（3）缺乏完整性：缺失多个关键环节或核心内容，无法支撑项目顺利推进，存在明显不完善之处。 2、针对性：（1）针对性强：资源配置计划完全切合本项目实际施工规模、工程概况及工期要求；劳动力工种搭配（含高压作业专项人员）、机械型号选择、材料规格均精准响应本项目需求；（2）具有一定针对性：计划基本完整，能大致切合本项目实际情况，对关键资源的配置针对性较强；或计划中多数内容能够切合本项目，但存在至少一处明显不适用（如未考虑校园施工需避开教学时段的人员排班等）；（3）缺乏针对性：计划明显套用其他项目模板，未结合本项目实际施工需求及工程概况，未提及关键信息，存在“万能型”描述。 3、可实施性：（1）可实施性强：工作流程完善，资源配置科学合理，；机械设备功率满足工况，可落地性强；（2）具有一定可实施性：工作流程基本完善，资源配置基本合理，能切合项目实际情况，基本可落地执行；或计划中存在表述模糊、难以执行或不够科学合理的内容（如仅提“按需进场”未明确具体时间节点，或材料供应周期与施工进度脱节）；（3）缺乏可实施性：计划内容空洞，资源配置不合理，存在逻辑漏洞、常识错误或明显不合理。 三、赋分标准：（1）根据供应商响应程度及评审内容要求，以上评审内容均完整、针对性强且实施性强的，得满分6分；（2）其中每有一条评审内容缺项的，扣2分；（3）对应扣分规则：I、完整性：①完整性强（不扣分）；②较完整（一处缺陷扣0.5分）；③缺乏完整性（一处缺陷扣0.5分）。II、针对性：①针对性强（不扣分）；②具有一定针对性（一处缺陷扣0.5分）；③缺乏针对性（一处缺陷扣0.5分）。III、可实施性：①可实施性强（不扣分）；②具有一定可实施性（一处缺陷扣0.5分）；③缺乏可实施性（一处缺陷扣0.5分）。扣完为止。[注：评审标准中所指“缺陷”，包含内容细节缺失、表述笼统、资源配置与本项目实际施工内容不匹配、技术逻辑错误、管控标准不明确等情形。具体详见评审标准内容]。 注：未提供此项者不得分。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附件2：综合评分明细表：②资源配置计划.pdf</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③施工进度计划；</w:t>
            </w:r>
          </w:p>
        </w:tc>
        <w:tc>
          <w:tcPr>
            <w:tcW w:type="dxa" w:w="2492"/>
          </w:tcPr>
          <w:p>
            <w:pPr>
              <w:pStyle w:val="null3"/>
            </w:pPr>
            <w:r>
              <w:rPr>
                <w:rFonts w:ascii="仿宋_GB2312" w:hAnsi="仿宋_GB2312" w:cs="仿宋_GB2312" w:eastAsia="仿宋_GB2312"/>
              </w:rPr>
              <w:t>一、评审内容：供应商针对项目编制完善的施工进度计划，内容包含：①施工进度计划图表：提供横道图或网络图，关键线路清晰，明确标注关键节点工期；②进度计划保证措施：含组织保障、技术保障、资源保障等主要保障措施；③工期保证措施：包含但不限于工期延误预警机制、校园教学时段施工限制应对方案、不可抗力（如雨天无法正常施工）下的赶工措施。 二、评审标准： 1、完整性强：包含清晰的施工进度横道图/网络图（关键线路一目了然），并配有详细的进度保证措施及工期保证措施，内容全面、系统，无遗漏；（2）较完整：基本包含上述三项内容，图表清晰，但在保证措施部分仅列出标题或简述，缺少少量非关键性细节；或图表或措施存在轻微缺失（如仅有文字描述无图表，或仅有图表但保证措施缺乏资源匹配说明）、关键线路标识不清，影响对整体工期的判断；（3）缺乏完整性：缺失核心内容（如无进度图、无任何保证措施、未提及校园施工关键节点），无法支撑项目工期预判，存在明显不完善之处。 2、针对性：（1）针对性强：进度计划完全契合本项目校园施工环境（需避开教学时间、学生活动区域封闭管理）、工程内容及工期要求；保证措施和工期措施针对本项目特点制定，切实可行；（2）具有一定的针对性：计划基本契合本项目工期要求，对常规进度保证措施有针对性，但对本项目特殊节点的针对性略显不足；或计划中存在明显不适用本项目的内容等 ；（3）缺乏针对性：明显套用其他项目模板，未结合本项目实际工程量、工期要求及现场条件，存在“放之四海而皆准”的通用描述（如仅提“合理安排工期”未明确具体节点）。 3、可实施性：（1）可实施性强：进度计划逻辑严密，工序衔接顺畅，资源配置（劳动力、设备、材料）与进度匹配；保证措施和工期措施具体明确，科学可行；（2）具有一定的可实施性：计划基本合理，能保证总工期，措施基本可行，但部分细节有待优化；或计划中存在表述模糊、难以执行或不够科学合理的内容（如关键线路上存在逻辑漏洞、工期保证措施空洞无物，如仅提“加强管理”无具体抓手）；（3）缺乏可实施性：计划内容空洞，工序安排混乱，存在常识性错误（如混凝土养护期未留足、杆架变安装与电缆敷设顺序颠倒等），或措施无法保障工期目标实现（如未考虑汉中地区雨季对路面施工的影响、未预留供电部门验收送电时间等）。 三、赋分标准：（1）根据供应商响应程度及评审内容要求，以上评审内容均完整、针对性强且实施性强的，得满分9分；（2）其中每有一条评审内容缺项的，扣3分；（3）对应扣分规则：I、完整性：①完整性强（不扣分）；②较完整（一处缺陷扣1分）；③缺乏完整性（一处缺陷扣1分）。II、针对性：①针对性强（不扣分）；②具有一定针对性（一处缺陷扣1分）；③缺乏针对性（一处缺陷扣1分）。III、可实施性：①可实施性强（不扣分）；②具有一定可实施性（一处缺陷扣1分）；③缺乏可实施性（一处缺陷扣1分）。扣完为止。[注：评审标准中所指“缺陷”，包含内容细节缺失、表述笼统、工艺/措施与本项目实际施工内容不匹配、技术逻辑错误、管控标准不明确等情形。具体详见评审标准内容]。 注：未提供此项者不得分。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附件3：综合评分明细表：③施工进度计划.pdf</w:t>
            </w:r>
          </w:p>
        </w:tc>
      </w:tr>
      <w:tr>
        <w:tc>
          <w:tcPr>
            <w:tcW w:type="dxa" w:w="831"/>
            <w:vMerge/>
          </w:tcPr>
          <w:p/>
        </w:tc>
        <w:tc>
          <w:tcPr>
            <w:tcW w:type="dxa" w:w="1661"/>
          </w:tcPr>
          <w:p>
            <w:pPr>
              <w:pStyle w:val="null3"/>
            </w:pPr>
            <w:r>
              <w:rPr>
                <w:rFonts w:ascii="仿宋_GB2312" w:hAnsi="仿宋_GB2312" w:cs="仿宋_GB2312" w:eastAsia="仿宋_GB2312"/>
              </w:rPr>
              <w:t>④质量保证措施；</w:t>
            </w:r>
          </w:p>
        </w:tc>
        <w:tc>
          <w:tcPr>
            <w:tcW w:type="dxa" w:w="2492"/>
          </w:tcPr>
          <w:p>
            <w:pPr>
              <w:pStyle w:val="null3"/>
            </w:pPr>
            <w:r>
              <w:rPr>
                <w:rFonts w:ascii="仿宋_GB2312" w:hAnsi="仿宋_GB2312" w:cs="仿宋_GB2312" w:eastAsia="仿宋_GB2312"/>
              </w:rPr>
              <w:t>一、评审内容：供应商针对项目编制完善的质量保证措施，内容包含 ：①质量目标管理体系；②施工质量检验制度；③确保质量的技术组织措施。 二、评审标准： 1、完整性：（1）完整性强：全面涵盖质量目标管理体系、施工质量检验制度、确保质量的技术组织措施三大板块；内容系统、逻辑闭环（目标→责任→检验→措施→改进），无关键模块缺失；（2）较完整：基本包含三大板块，但在某一板块中仅列出条目，缺少具体操作流程或实施细则（如仅提“加强检验”未明确检验频次及责任人，或仅列“质量控制点”未明确验收标准），仅缺少量非关键性细节；或存在明显缺失，各板块内容衔接不畅，影响整体质量管控的预判；（3）缺乏完整性：缺失核心板块（如无检验制度、无技术措施、未明确质量目标），无法支撑项目质量目标的实现，存在明显不完善之处。 2、针对性：（1）针对性强：质量目标明确且量化，检验制度和技术措施完全针对本项目特点制定；（2）具有一定的针对性：质量目标基本明确，制度和技术措施能大致契合本项目要求，但对本项目特殊质量风险点的针对性略显不足；或计划中存在明显不适用本项目的内容（如检验制度照搬其他施工场地标准，未结合校园施工“短工期、高安全”特点等）；（3）缺乏针对性：明显套用其他项目模板，未结合本项目实际，存在“通用化”描述（如仅提“保证工程质量”“符合规范要求”无具体针对性内容）。 3、可实施性：（1）质量目标可考核（有明确的量化指标及验收依据），检验制度有明确的检验频次、责任人、记录表单等；技术组织措施具体明确，可落地、可检查；（2）具有一定的可实施性：制度基本可行，措施基本能执行，但部分细节有待细化（如检验节点描述模糊“适时检验”、技术措施缺乏具体操作步骤“注意电缆保护”）；或计划中存在表述模糊、难以执行或不够科学合理的内容等；（3）内容空洞，无实际操作指引（如仅提“加强质量管理”无具体措施），或存在逻辑漏洞（如检验制度与施工工序不匹配），无法有效保障质量；或违反强制性条文等情形。 三、赋分标准：（1）根据供应商响应程度及评审内容要求，以上评审内容均完整、针对性强且实施性强的，得满分9分； （2）其中每有一条评审内容缺项的，扣3分；（3）对应扣分规则：I、完整性：①完整性强（不扣分）；②较完整（一处缺陷扣1分）；③缺乏完整性（一处缺陷扣1分）。II、针对性：①针对性强（不扣分）；②具有一定针对性（一处缺陷扣1分）；③缺乏针对性（一处缺陷扣1分）。III、可实施性：①可实施性强（不扣分）；②具有一定可实施性（一处缺陷扣1分）；③缺乏可实施性（一处缺陷扣1分）。扣完为止。[注：评审标准中所指“缺陷”，包含内容细节缺失、表述笼统、工艺/措施与本项目实际施工内容不匹配、技术逻辑错误、管控标准不明确、违反相关强制性条文等情形。具体详见评审标准内容]。 注：未提供此项者不得分。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附件4：综合评分明细表：④质量保证措施.pdf</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⑤安全文明施工措施；</w:t>
            </w:r>
          </w:p>
        </w:tc>
        <w:tc>
          <w:tcPr>
            <w:tcW w:type="dxa" w:w="2492"/>
          </w:tcPr>
          <w:p>
            <w:pPr>
              <w:pStyle w:val="null3"/>
            </w:pPr>
            <w:r>
              <w:rPr>
                <w:rFonts w:ascii="仿宋_GB2312" w:hAnsi="仿宋_GB2312" w:cs="仿宋_GB2312" w:eastAsia="仿宋_GB2312"/>
              </w:rPr>
              <w:t>一、评审内容：供应商针对项目编制完整的安全文明施工措施，内容包含：①安全生产管理制度：包含但不限于校园施工封闭管理、高压作业许可、临时用电安全、特种作业人员持证上岗、安全教育培训及安全技术交底等制度等；②安全文明施工措施：包含但不限于校园封闭围挡、杆架变临近教学区防触电/防攀爬措施、电缆沟开挖防坠落警示、路面切割降尘、施工噪音控制、建筑垃圾当日清运、成品保护（保护校园原有设施）等；③安全应急预案：包含但不限于触电、高空坠落、物体打击、火灾、极端天气及校园突发群体事件专项应急预案，明确应急组织、响应流程、物资储备及校方联动机制等。 二、评审标准：1、完整性：（1）完整性强：全面涵盖安全生产管理制度、安全文明施工措施、安全应急预案三大板块；内容系统、逻辑闭环（制度→措施→预案→联动），无关键模块缺失；（2）较完整：基本包含三大板块，但在某一板块中仅列出框架，缺少具体操作流程或人员职责；或存在明显缺失，各板块内容衔接不畅，影响整体安全管控的预判；（3）缺乏完整性：缺失核心板块，无法支撑项目安全目标的实现，存在明显不完善之处。 2、针对性：（1）针对性强：安全管理制度明确且量化，文明施工措施和应急预案完全针对本项目特点制定；（2）具有一定的针对性：制度、措施和预案能大致契合本项目要求，但对本项目特殊安全风险点的针对性略显不足；或计划中存在明显不适用本项目的内容；（3）缺乏针对性：明显套用其他项目模板，未结合本项目实际，存在“通用化”描述（如仅提“注意安全”“文明施工”无具体针对性内容）。3、可实施性：（1）可实施性强：安全管理制度可考核，文明施工措施有明确的实施标准；应急预案有明确的应急组织、响应流程、物资储备等，可落地、可检查；（2）具有一定的可实施性：制度基本可行，措施和预案基本能执行，但部分细节有待优化（如应急预案中应急小组人员不明确、文明施工措施中责任分工模糊）；或计划中存在表述模糊、难以执行或不够科学合理的内容；（3）内容空洞，流程不完善，措施和预案不符合现场实际（如应急物资清单缺失、文明施工措施违背环保法规），存在逻辑漏洞、常识错误或合理性差等情形。 三、赋分标准：（1）根据供应商响应程度及评审内容要求，以上评审内容均完整、针对性强且实施性强的，得满分9分； （2）其中每有一条评审内容缺项的，扣3分；（3）对应扣分规则：I、完整性：①完整性强（不扣分）；②较完整（一处缺陷扣1分）；③缺乏完整性（一处缺陷扣1分）。II、针对性：①针对性强（不扣分）；②具有一定针对性（一处缺陷扣1分）；③缺乏针对性（一处缺陷扣1分）。III、可实施性：①可实施性强（不扣分）；②具有一定可实施性（一处缺陷扣1分）；③缺乏可实施性（一处缺陷扣1分）。扣完为止。[注：评审标准中所指“缺陷”，包含内容细节缺失、表述笼统、工艺/措施与本项目实际施工内容不匹配、技术逻辑错误、管控标准不明确等情形。具体详见评审标准内容]。 注：未提供此项者不得分。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附件5：综合评分明细表：⑤安全文明施工措施.pdf</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⑥项目管理机构；</w:t>
            </w:r>
          </w:p>
        </w:tc>
        <w:tc>
          <w:tcPr>
            <w:tcW w:type="dxa" w:w="2492"/>
          </w:tcPr>
          <w:p>
            <w:pPr>
              <w:pStyle w:val="null3"/>
            </w:pPr>
            <w:r>
              <w:rPr>
                <w:rFonts w:ascii="仿宋_GB2312" w:hAnsi="仿宋_GB2312" w:cs="仿宋_GB2312" w:eastAsia="仿宋_GB2312"/>
              </w:rPr>
              <w:t>一、评审内容：供应商针对项目编制科学的项目管理机构，内容包含：①项目经理资格；②关键岗位配置；③同类项目经验；④管理制度完备性。 二、评审标准： 1、项目经理资格（1分）： ①拟派项目经理具备机电工程或电力工程相关专业中级（含）及以上职称的，得1分； 评审依据：需提供职称证书扫描件，否则不得分； 2、关键岗位配置（6分）： 拟派项目管理机构中，同时配备以下人员得此项满分，每缺一人扣1分，扣完为止： ① 项目总工/技术负责人（须具备与工程相适应专业中级及以上职称）； ② 专职安全员（具备安全生产考核合格证（C类）C证）； ③ 施工员、质量员、资料员、材料员（提供岗位证书）。 评审依据：需提供证书扫描件及近六个月在本单位社保缴纳证明，否则不得分。 3、同类项目经验（3分）： ①拟派项目经理近3年（2023年——至今）每承担过1个已完成的类似工程项目（需提供合同协议书及竣工验收证明，时间以竣工验收证明为准，两项缺一不可，否则不得分），每提供1个得1分，最高得3分。 评审依据：时间以竣工验收证明为准。 4、管理制度完备性（3分）：提供针对本项目的组织机构岗位职责及管理制度文件，内容包含但不限于： ①岗位责任制度：明确项目经理、技术负责人、安全员等关键岗位在校园施工封闭管理、杆架变安装、电缆敷设等工序中的质量与安全职责； ②质量安全例会制度：明确每周召开例会，分析校园施工安全及质量隐患； ③人员考勤与奖惩制度：明确施工现场关键岗位人员考勤及违反校园施工规定的处罚措施。评审依据：三项内容齐全得3分，每缺一项制度扣1分，未提供或内容严重缺失的不得分。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附件6：综合评分明细表：⑥项目管理机构.pdf</w:t>
            </w:r>
          </w:p>
        </w:tc>
      </w:tr>
      <w:tr>
        <w:tc>
          <w:tcPr>
            <w:tcW w:type="dxa" w:w="831"/>
            <w:vMerge/>
          </w:tcPr>
          <w:p/>
        </w:tc>
        <w:tc>
          <w:tcPr>
            <w:tcW w:type="dxa" w:w="1661"/>
          </w:tcPr>
          <w:p>
            <w:pPr>
              <w:pStyle w:val="null3"/>
            </w:pPr>
            <w:r>
              <w:rPr>
                <w:rFonts w:ascii="仿宋_GB2312" w:hAnsi="仿宋_GB2312" w:cs="仿宋_GB2312" w:eastAsia="仿宋_GB2312"/>
              </w:rPr>
              <w:t>⑦绿色文明施工及环境保护措施；</w:t>
            </w:r>
          </w:p>
        </w:tc>
        <w:tc>
          <w:tcPr>
            <w:tcW w:type="dxa" w:w="2492"/>
          </w:tcPr>
          <w:p>
            <w:pPr>
              <w:pStyle w:val="null3"/>
            </w:pPr>
            <w:r>
              <w:rPr>
                <w:rFonts w:ascii="仿宋_GB2312" w:hAnsi="仿宋_GB2312" w:cs="仿宋_GB2312" w:eastAsia="仿宋_GB2312"/>
              </w:rPr>
              <w:t>一、评审内容：供应商针对本项目编制完善的绿色文明施工及环境保护措施，体现环保、节能、节材理念，特别关注本项目工程内容与采购需求，包含但不限于：①环境保护与降尘降噪：针对各类工程施工环节，制定专项降尘、降噪、防异味等措施；②资源节约与循环利用：施工过程中对水、电、建筑材料的节约与循环利用方案；③场地复原及周边生态保护：施工结束后对施工区的清理、复原及周边生态保护承诺。 二、评审标准：1、完整性：（1）完整性强：全面涵盖环境保护（降尘、降噪、防异味）、资源节约（水、电、建材循环利用）、场地复原及生态保护三大板块；针对本项目施工特点制定了专项措施，无遗漏；（2）较完整：基本包含三大板块，但在某一板块中仅列出原则性承诺，缺少具体的清理或复垦步骤，仅缺少量非关键性细节；或存在明显缺失，各板块内容衔接不畅，影响整体绿色施工的预判；（3）缺乏完整性：缺失核心板块，无法支撑项目绿色施工目标的实现，存在明显不完善之处。 2、针对性：（1）针对性强：措施完全切合本项目施工要求的实际情况（如针对校园施工制定避开教学时段的降噪措施、针对电缆沟开挖制定土方覆盖防扬尘措施、针对混凝土路面破复制定废料回收利用方案）；（2）具有一定的针对性：措施能大致契合本项目要求，但对本项目特殊环境风险的针对性略显不足；或计划中存在明显不适用本项目的内容；（3）缺乏针对性：明显套用其他工程项目模板，未结合本项目实际，存在"放之四海而皆准"的描述。 3、可实施性：（1）可实施性强：工作流程完善，措施具体明确，实施步骤清晰，科学量化，可落地、可检查；（2）具有一定的可实施性：措施基本可行，能大致执行，但部分细节不够明确，有待优化；或计划中存在表述模糊、难以执行或不够科学合理的内容（如仅写"加强环保管理"而无具体抓手，或资源循环利用方案成本过高/过低不符合实际）；（3）缺乏可实施性：方案内容空洞，工作流程不完善，实施标准不利于采购需求的实现，存在逻辑漏洞、常识错误等。 三、赋分标准：（1）根据供应商响应程度及评审内容要求，以上评审内容均完整、针对性强且实施性强的，得满分3分； （2）其中每有一条评审内容缺项的，扣1分； （3）对应扣分规则：I、完整性：①完整性强（不扣分）；②较完整（一处缺陷扣0.5分）；③缺乏完整性（一处缺陷扣0.5分）。II、针对性：①针对性强（不扣分）；②具有一定针对性（一处缺陷扣0.5分）；③缺乏针对性（一处缺陷扣0.5分）。III、可实施性：①可实施性强（不扣分）；②具有一定可实施性（一处缺陷扣0.5分）；③缺乏可实施性（一处缺陷扣0.5分）。扣完为止。[注：评审标准中所指"缺陷"，包含内容细节缺失、表述笼统、工艺/措施与本项目实际施工内容不匹配、技术逻辑错误、管控标准不明确等情形。具体详见评审标准内容]。 注：未提供此项者不得分。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附件7：综合评分明细表：⑦绿色文明施工及环境保护措施.pdf</w:t>
            </w:r>
          </w:p>
        </w:tc>
      </w:tr>
      <w:tr>
        <w:tc>
          <w:tcPr>
            <w:tcW w:type="dxa" w:w="831"/>
            <w:vMerge/>
          </w:tcPr>
          <w:p/>
        </w:tc>
        <w:tc>
          <w:tcPr>
            <w:tcW w:type="dxa" w:w="1661"/>
          </w:tcPr>
          <w:p>
            <w:pPr>
              <w:pStyle w:val="null3"/>
            </w:pPr>
            <w:r>
              <w:rPr>
                <w:rFonts w:ascii="仿宋_GB2312" w:hAnsi="仿宋_GB2312" w:cs="仿宋_GB2312" w:eastAsia="仿宋_GB2312"/>
              </w:rPr>
              <w:t>⑧服务承诺；</w:t>
            </w:r>
          </w:p>
        </w:tc>
        <w:tc>
          <w:tcPr>
            <w:tcW w:type="dxa" w:w="2492"/>
          </w:tcPr>
          <w:p>
            <w:pPr>
              <w:pStyle w:val="null3"/>
            </w:pPr>
            <w:r>
              <w:rPr>
                <w:rFonts w:ascii="仿宋_GB2312" w:hAnsi="仿宋_GB2312" w:cs="仿宋_GB2312" w:eastAsia="仿宋_GB2312"/>
              </w:rPr>
              <w:t>一、评审内容：供应商针对本项目编制完善的服务承诺，内容包含：①校园施工保障承诺：针对校园封闭施工特点，制定专项保障方案（明确施工区域全封闭围挡及警示标识设置、与学生活动区域的安全隔离措施、施工时段严格避开教学及课间活动时间、材料设备进出校园的管控流程等）；②质量与质保承诺：提供明确的质保期（≥2年）及专项保障措施（如每季度一次校园用电设施巡检计划、24小时内到场响应、杆架变及配电箱故障处理流程、电缆路径标识维护、路面恢复质量保修等）；③配合验收与移交承诺：明确配合供电部门验收、校方竣工验收及竣工资料移交的具体时限与标准。 二、评审标准：1、承诺内容完整详细，满足上述评审内容要求，无遗漏；2、承诺内容针对性强，完全切合本项目实际情况，承诺条款具体且有约束力；3、承诺条款可实施性强，能做到可量化、可考核，保障措施具体明确，承诺内容可落地、可验证。 三、赋分标准：（1）根据供应商响应文件及评审要求，上述承诺均按评审内容及评审标准要求提供，得满分6分； （2）其中每有一条评审内容缺项的，扣2分； 注：承诺响应内容不符合评审标准要求或未提供此项者不得分。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附件8：综合评分明细表：⑧服务承诺.pdf</w:t>
            </w:r>
          </w:p>
        </w:tc>
      </w:tr>
      <w:tr>
        <w:tc>
          <w:tcPr>
            <w:tcW w:type="dxa" w:w="831"/>
            <w:vMerge/>
          </w:tcPr>
          <w:p/>
        </w:tc>
        <w:tc>
          <w:tcPr>
            <w:tcW w:type="dxa" w:w="1661"/>
          </w:tcPr>
          <w:p>
            <w:pPr>
              <w:pStyle w:val="null3"/>
            </w:pPr>
            <w:r>
              <w:rPr>
                <w:rFonts w:ascii="仿宋_GB2312" w:hAnsi="仿宋_GB2312" w:cs="仿宋_GB2312" w:eastAsia="仿宋_GB2312"/>
              </w:rPr>
              <w:t>⑨类似业绩；</w:t>
            </w:r>
          </w:p>
        </w:tc>
        <w:tc>
          <w:tcPr>
            <w:tcW w:type="dxa" w:w="2492"/>
          </w:tcPr>
          <w:p>
            <w:pPr>
              <w:pStyle w:val="null3"/>
            </w:pPr>
            <w:r>
              <w:rPr>
                <w:rFonts w:ascii="仿宋_GB2312" w:hAnsi="仿宋_GB2312" w:cs="仿宋_GB2312" w:eastAsia="仿宋_GB2312"/>
              </w:rPr>
              <w:t>供应商提供近三年（2023年——至今）完成类似项目业绩（时间以签订的施工合同时间为准），每提供1个业绩得2分，此项最高得6分；（注：业绩评审需提供加盖公章的项目施工合同复印件，合同须体现项目内容、签订时间及签字盖章页等关键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附件9：综合评分明细表：⑨类似业绩.pdf</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1.本次磋商有磋商最高限价。供应商的磋商总价超过磋商最高限价的视为废标,不再参与下一步评审。 2.有效最低报价为基准价得30分。 3.按（有效最低报价/有效磋商报价）×30的公式计算其得分。 4.磋商报价不完整的,不进入评标标准价的计算,此项得0分。 5.不正当竞争预防措施：在评审过程中,磋商小组认定有可能影响产品质量或者不能诚信履约的,磋商小组应当要求其在评审现场合理的时间内提供成本构成书面说明,并提交相关证明材料。</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详见附件：附件1：综合评分明细表：①施工方案.pdf</w:t>
      </w:r>
    </w:p>
    <w:p>
      <w:pPr>
        <w:pStyle w:val="null3"/>
        <w:ind w:firstLine="960"/>
      </w:pPr>
      <w:r>
        <w:rPr>
          <w:rFonts w:ascii="仿宋_GB2312" w:hAnsi="仿宋_GB2312" w:cs="仿宋_GB2312" w:eastAsia="仿宋_GB2312"/>
        </w:rPr>
        <w:t>详见附件：附件2：综合评分明细表：②资源配置计划.pdf</w:t>
      </w:r>
    </w:p>
    <w:p>
      <w:pPr>
        <w:pStyle w:val="null3"/>
        <w:ind w:firstLine="960"/>
      </w:pPr>
      <w:r>
        <w:rPr>
          <w:rFonts w:ascii="仿宋_GB2312" w:hAnsi="仿宋_GB2312" w:cs="仿宋_GB2312" w:eastAsia="仿宋_GB2312"/>
        </w:rPr>
        <w:t>详见附件：附件3：综合评分明细表：③施工进度计划.pdf</w:t>
      </w:r>
    </w:p>
    <w:p>
      <w:pPr>
        <w:pStyle w:val="null3"/>
        <w:ind w:firstLine="960"/>
      </w:pPr>
      <w:r>
        <w:rPr>
          <w:rFonts w:ascii="仿宋_GB2312" w:hAnsi="仿宋_GB2312" w:cs="仿宋_GB2312" w:eastAsia="仿宋_GB2312"/>
        </w:rPr>
        <w:t>详见附件：附件4：综合评分明细表：④质量保证措施.pdf</w:t>
      </w:r>
    </w:p>
    <w:p>
      <w:pPr>
        <w:pStyle w:val="null3"/>
        <w:ind w:firstLine="960"/>
      </w:pPr>
      <w:r>
        <w:rPr>
          <w:rFonts w:ascii="仿宋_GB2312" w:hAnsi="仿宋_GB2312" w:cs="仿宋_GB2312" w:eastAsia="仿宋_GB2312"/>
        </w:rPr>
        <w:t>详见附件：附件5：综合评分明细表：⑤安全文明施工措施.pdf</w:t>
      </w:r>
    </w:p>
    <w:p>
      <w:pPr>
        <w:pStyle w:val="null3"/>
        <w:ind w:firstLine="960"/>
      </w:pPr>
      <w:r>
        <w:rPr>
          <w:rFonts w:ascii="仿宋_GB2312" w:hAnsi="仿宋_GB2312" w:cs="仿宋_GB2312" w:eastAsia="仿宋_GB2312"/>
        </w:rPr>
        <w:t>详见附件：附件6：综合评分明细表：⑥项目管理机构.pdf</w:t>
      </w:r>
    </w:p>
    <w:p>
      <w:pPr>
        <w:pStyle w:val="null3"/>
        <w:ind w:firstLine="960"/>
      </w:pPr>
      <w:r>
        <w:rPr>
          <w:rFonts w:ascii="仿宋_GB2312" w:hAnsi="仿宋_GB2312" w:cs="仿宋_GB2312" w:eastAsia="仿宋_GB2312"/>
        </w:rPr>
        <w:t>详见附件：附件7：综合评分明细表：⑦绿色文明施工及环境保护措施.pdf</w:t>
      </w:r>
    </w:p>
    <w:p>
      <w:pPr>
        <w:pStyle w:val="null3"/>
        <w:ind w:firstLine="960"/>
      </w:pPr>
      <w:r>
        <w:rPr>
          <w:rFonts w:ascii="仿宋_GB2312" w:hAnsi="仿宋_GB2312" w:cs="仿宋_GB2312" w:eastAsia="仿宋_GB2312"/>
        </w:rPr>
        <w:t>详见附件：附件8：综合评分明细表：⑧服务承诺.pdf</w:t>
      </w:r>
    </w:p>
    <w:p>
      <w:pPr>
        <w:pStyle w:val="null3"/>
        <w:ind w:firstLine="960"/>
      </w:pPr>
      <w:r>
        <w:rPr>
          <w:rFonts w:ascii="仿宋_GB2312" w:hAnsi="仿宋_GB2312" w:cs="仿宋_GB2312" w:eastAsia="仿宋_GB2312"/>
        </w:rPr>
        <w:t>详见附件：附件9：综合评分明细表：⑨类似业绩.pdf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　GF—2017—0201.docx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