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版本号：ZCSP-渭南市-2026-00266.1B120260814001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技师学院学生军事化管理服务项目(二次)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ZCSP-渭南市-2026-00266.1B1</w:t>
      </w:r>
      <w:r>
        <w:br/>
      </w:r>
      <w:r>
        <w:br/>
      </w:r>
      <w:r>
        <w:br/>
      </w:r>
    </w:p>
    <w:p>
      <w:pPr>
        <w:pStyle w:val="null3"/>
        <w:jc w:val="center"/>
        <w:outlineLvl w:val="2"/>
      </w:pPr>
      <w:r>
        <w:rPr>
          <w:rFonts w:ascii="仿宋_GB2312" w:hAnsi="仿宋_GB2312" w:cs="仿宋_GB2312" w:eastAsia="仿宋_GB2312"/>
          <w:sz w:val="28"/>
          <w:b/>
        </w:rPr>
        <w:t>渭南技师学院</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渭南技师学院</w:t>
      </w:r>
      <w:r>
        <w:rPr>
          <w:rFonts w:ascii="仿宋_GB2312" w:hAnsi="仿宋_GB2312" w:cs="仿宋_GB2312" w:eastAsia="仿宋_GB2312"/>
        </w:rPr>
        <w:t>委托，拟对</w:t>
      </w:r>
      <w:r>
        <w:rPr>
          <w:rFonts w:ascii="仿宋_GB2312" w:hAnsi="仿宋_GB2312" w:cs="仿宋_GB2312" w:eastAsia="仿宋_GB2312"/>
        </w:rPr>
        <w:t>技师学院学生军事化管理服务项目(二次)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ZCSP-渭南市-2026-00266.1B1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技师学院学生军事化管理服务项目(二次)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要求教官团队要严格遵守学院《住校教官管理制度》和学院的其他管理制度,满足学生军事化管理服务要求。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采购包1（渭南技师学院学生军事化管理服务项目）：属于专门面向中小企业采购。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1、投标保证金缴纳凭证：投标保证金缴纳凭证</w:t>
      </w:r>
    </w:p>
    <w:p>
      <w:pPr>
        <w:pStyle w:val="null3"/>
      </w:pPr>
      <w:r>
        <w:rPr>
          <w:rFonts w:ascii="仿宋_GB2312" w:hAnsi="仿宋_GB2312" w:cs="仿宋_GB2312" w:eastAsia="仿宋_GB2312"/>
        </w:rPr>
        <w:t>2、信用信息：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3、法定代表人身份证明书或授权委托书：法定代表人参与投标时需提供法定代表人身份证明书；被授权人参与投标时需提供法定代表人身份证明书及法定代表人授权委托书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陕西省渭南市高新区东兴街15号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蔚晓琪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0913-2116190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刘世龙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渭南技师学院</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渭南技师学院</w:t>
      </w:r>
      <w:r>
        <w:rPr>
          <w:rFonts w:ascii="仿宋_GB2312" w:hAnsi="仿宋_GB2312" w:cs="仿宋_GB2312" w:eastAsia="仿宋_GB2312"/>
        </w:rPr>
        <w:t>负责解释。除上述招标文件内容，其他内容由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联系人：刘世龙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要求教官团队要严格遵守学院《住校教官管理制度》和学院的其他管理制度,满足学生军事化管理服务要求。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渭南技师学院学生军事化管理服务</w:t>
            </w:r>
          </w:p>
        </w:tc>
        <w:tc>
          <w:tcPr>
            <w:tcW w:type="dxa" w:w="755"/>
          </w:tcPr>
          <w:p>
            <w:pPr>
              <w:pStyle w:val="null3"/>
              <w:jc w:val="right"/>
            </w:pPr>
            <w:r>
              <w:rPr>
                <w:rFonts w:ascii="仿宋_GB2312" w:hAnsi="仿宋_GB2312" w:cs="仿宋_GB2312" w:eastAsia="仿宋_GB2312"/>
              </w:rPr>
              <w:t>330.00</w:t>
            </w:r>
          </w:p>
        </w:tc>
        <w:tc>
          <w:tcPr>
            <w:tcW w:type="dxa" w:w="755"/>
          </w:tcPr>
          <w:p>
            <w:pPr>
              <w:pStyle w:val="null3"/>
              <w:jc w:val="right"/>
            </w:pPr>
            <w:r>
              <w:rPr>
                <w:rFonts w:ascii="仿宋_GB2312" w:hAnsi="仿宋_GB2312" w:cs="仿宋_GB2312" w:eastAsia="仿宋_GB2312"/>
              </w:rPr>
              <w:t>2,200,000.00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标的名称：渭南技师学院学生军事化管理服务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（一）服务人员要求：</w:t>
            </w:r>
          </w:p>
          <w:p>
            <w:pPr>
              <w:pStyle w:val="null3"/>
            </w:pPr>
            <w:r>
              <w:rPr>
                <w:rFonts w:ascii="仿宋_GB2312" w:hAnsi="仿宋_GB2312" w:cs="仿宋_GB2312" w:eastAsia="仿宋_GB2312"/>
              </w:rPr>
              <w:t>本次服务须包含项目负责人、日常学生管理服务人员及楼内管理服务人员等与本项目有关的其他人员。</w:t>
            </w:r>
          </w:p>
          <w:p>
            <w:pPr>
              <w:pStyle w:val="null3"/>
            </w:pPr>
            <w:r>
              <w:rPr>
                <w:rFonts w:ascii="仿宋_GB2312" w:hAnsi="仿宋_GB2312" w:cs="仿宋_GB2312" w:eastAsia="仿宋_GB2312"/>
              </w:rPr>
              <w:t>1、需配备项目负责人1名，全面负责与采购人进行日常项目对接，调配项目所需服务人员，使服务达到采购人要求，须提供驻校服务，对采购人提出的要求做出及时响应。</w:t>
            </w:r>
          </w:p>
          <w:p>
            <w:pPr>
              <w:pStyle w:val="null3"/>
            </w:pPr>
            <w:r>
              <w:rPr>
                <w:rFonts w:ascii="仿宋_GB2312" w:hAnsi="仿宋_GB2312" w:cs="仿宋_GB2312" w:eastAsia="仿宋_GB2312"/>
              </w:rPr>
              <w:t>2、日常学生管理服务人员应为教官，日常月份（10个月）具体人数以每管理200名学生为一个基数计算，不足200名学生按200名学生计算，确定日常学生管理服务人员（教官）数量。寒假（1个月）不配备日常学生管理服务人员，需提供驻校服务，人数不包含其他现场管理人员。</w:t>
            </w:r>
          </w:p>
          <w:p>
            <w:pPr>
              <w:pStyle w:val="null3"/>
            </w:pPr>
            <w:r>
              <w:rPr>
                <w:rFonts w:ascii="仿宋_GB2312" w:hAnsi="仿宋_GB2312" w:cs="仿宋_GB2312" w:eastAsia="仿宋_GB2312"/>
              </w:rPr>
              <w:t>（1）日常学生管理服务人员须具有以下条件：</w:t>
            </w:r>
          </w:p>
          <w:p>
            <w:pPr>
              <w:pStyle w:val="null3"/>
            </w:pPr>
            <w:r>
              <w:rPr>
                <w:rFonts w:ascii="仿宋_GB2312" w:hAnsi="仿宋_GB2312" w:cs="仿宋_GB2312" w:eastAsia="仿宋_GB2312"/>
              </w:rPr>
              <w:t>①热爱党的教育事业和学生管理工作，热爱学生，善于沟通，责任心强，爱岗敬业，工作主动，乐于奉献，关心学生成长成才。</w:t>
            </w:r>
          </w:p>
          <w:p>
            <w:pPr>
              <w:pStyle w:val="null3"/>
            </w:pPr>
            <w:r>
              <w:rPr>
                <w:rFonts w:ascii="仿宋_GB2312" w:hAnsi="仿宋_GB2312" w:cs="仿宋_GB2312" w:eastAsia="仿宋_GB2312"/>
              </w:rPr>
              <w:t>②严格遵守师德师风规范，具备职业道德，以身作则，言传身教，用爱心、耐心和责任心对待每一位学生。</w:t>
            </w:r>
          </w:p>
          <w:p>
            <w:pPr>
              <w:pStyle w:val="null3"/>
            </w:pPr>
            <w:r>
              <w:rPr>
                <w:rFonts w:ascii="仿宋_GB2312" w:hAnsi="仿宋_GB2312" w:cs="仿宋_GB2312" w:eastAsia="仿宋_GB2312"/>
              </w:rPr>
              <w:t>③思想素质高，政治立场坚定，有较高个人素养和人文素养，处事公平公正（须提供公安机关出具的无犯罪记录证明）。</w:t>
            </w:r>
          </w:p>
          <w:p>
            <w:pPr>
              <w:pStyle w:val="null3"/>
            </w:pPr>
            <w:r>
              <w:rPr>
                <w:rFonts w:ascii="仿宋_GB2312" w:hAnsi="仿宋_GB2312" w:cs="仿宋_GB2312" w:eastAsia="仿宋_GB2312"/>
              </w:rPr>
              <w:t>④必须是身心健康的退伍军人或警校毕业生，能够适应学生准军事化管理高强度工作要求（需提供县级以上医院出具的体检报告）。</w:t>
            </w:r>
          </w:p>
          <w:p>
            <w:pPr>
              <w:pStyle w:val="null3"/>
            </w:pPr>
            <w:r>
              <w:rPr>
                <w:rFonts w:ascii="仿宋_GB2312" w:hAnsi="仿宋_GB2312" w:cs="仿宋_GB2312" w:eastAsia="仿宋_GB2312"/>
              </w:rPr>
              <w:t>⑤上岗前须完整提供相关资料（个人简历、毕业证或退伍证、身份证、荣誉证、无犯罪证明、县级以上医院出具的体检报告、社保缴纳证明等）并提交复印件。由服务公司负责招聘、面试及录用工作，学院对人员资料进行形式核验，核验无误后方可上岗。</w:t>
            </w:r>
          </w:p>
          <w:p>
            <w:pPr>
              <w:pStyle w:val="null3"/>
            </w:pPr>
            <w:r>
              <w:rPr>
                <w:rFonts w:ascii="仿宋_GB2312" w:hAnsi="仿宋_GB2312" w:cs="仿宋_GB2312" w:eastAsia="仿宋_GB2312"/>
              </w:rPr>
              <w:t>3、楼内管理服务人员应为楼管员，日常月份（10个月）具体人数不低于17名，寒假（1个月）不得少于3名，不包含其他现场管理人员，需提供驻校服务。</w:t>
            </w:r>
          </w:p>
          <w:p>
            <w:pPr>
              <w:pStyle w:val="null3"/>
            </w:pPr>
            <w:r>
              <w:rPr>
                <w:rFonts w:ascii="仿宋_GB2312" w:hAnsi="仿宋_GB2312" w:cs="仿宋_GB2312" w:eastAsia="仿宋_GB2312"/>
              </w:rPr>
              <w:t>楼内管理服务人员须具有以下条件：</w:t>
            </w:r>
          </w:p>
          <w:p>
            <w:pPr>
              <w:pStyle w:val="null3"/>
            </w:pPr>
            <w:r>
              <w:rPr>
                <w:rFonts w:ascii="仿宋_GB2312" w:hAnsi="仿宋_GB2312" w:cs="仿宋_GB2312" w:eastAsia="仿宋_GB2312"/>
              </w:rPr>
              <w:t>（1）拥护中华人民共和国宪法，拥护中国共产党领导和社会主义制度。</w:t>
            </w:r>
          </w:p>
          <w:p>
            <w:pPr>
              <w:pStyle w:val="null3"/>
            </w:pPr>
            <w:r>
              <w:rPr>
                <w:rFonts w:ascii="仿宋_GB2312" w:hAnsi="仿宋_GB2312" w:cs="仿宋_GB2312" w:eastAsia="仿宋_GB2312"/>
              </w:rPr>
              <w:t>（2）具有良好的政治素质和道德品行。</w:t>
            </w:r>
          </w:p>
          <w:p>
            <w:pPr>
              <w:pStyle w:val="null3"/>
            </w:pPr>
            <w:r>
              <w:rPr>
                <w:rFonts w:ascii="仿宋_GB2312" w:hAnsi="仿宋_GB2312" w:cs="仿宋_GB2312" w:eastAsia="仿宋_GB2312"/>
              </w:rPr>
              <w:t>（3）具有正常履行职责的身体条件和心理素质，能胜任公寓楼管理工作（需提供县级以上医院出具的体检报告）。达到法定退休年龄的人员，由服务公司与其签订劳务协议并购买足额意外伤害保险。</w:t>
            </w:r>
          </w:p>
          <w:p>
            <w:pPr>
              <w:pStyle w:val="null3"/>
            </w:pPr>
            <w:r>
              <w:rPr>
                <w:rFonts w:ascii="仿宋_GB2312" w:hAnsi="仿宋_GB2312" w:cs="仿宋_GB2312" w:eastAsia="仿宋_GB2312"/>
              </w:rPr>
              <w:t>（4）具有符合职位要求的工作能力，能适应公寓24小时值守工作。</w:t>
            </w:r>
          </w:p>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本次服务内容共包含日常学生管理服务及楼内管理服务。</w:t>
            </w:r>
          </w:p>
          <w:p>
            <w:pPr>
              <w:pStyle w:val="null3"/>
            </w:pPr>
            <w:r>
              <w:rPr>
                <w:rFonts w:ascii="仿宋_GB2312" w:hAnsi="仿宋_GB2312" w:cs="仿宋_GB2312" w:eastAsia="仿宋_GB2312"/>
              </w:rPr>
              <w:t>1、日常学生管理服务内容</w:t>
            </w:r>
          </w:p>
          <w:p>
            <w:pPr>
              <w:pStyle w:val="null3"/>
            </w:pPr>
            <w:r>
              <w:rPr>
                <w:rFonts w:ascii="仿宋_GB2312" w:hAnsi="仿宋_GB2312" w:cs="仿宋_GB2312" w:eastAsia="仿宋_GB2312"/>
              </w:rPr>
              <w:t>（1）每天早上响起床号后，督促学生起床，楼下集合，组织学生出操。</w:t>
            </w:r>
          </w:p>
          <w:p>
            <w:pPr>
              <w:pStyle w:val="null3"/>
            </w:pPr>
            <w:r>
              <w:rPr>
                <w:rFonts w:ascii="仿宋_GB2312" w:hAnsi="仿宋_GB2312" w:cs="仿宋_GB2312" w:eastAsia="仿宋_GB2312"/>
              </w:rPr>
              <w:t>（2）早操结束后，带学生回宿舍整理内务、洗漱、吃早餐。</w:t>
            </w:r>
          </w:p>
          <w:p>
            <w:pPr>
              <w:pStyle w:val="null3"/>
            </w:pPr>
            <w:r>
              <w:rPr>
                <w:rFonts w:ascii="仿宋_GB2312" w:hAnsi="仿宋_GB2312" w:cs="仿宋_GB2312" w:eastAsia="仿宋_GB2312"/>
              </w:rPr>
              <w:t>（3）检查学生仪容仪表，组织学生及时清理宿舍卫生，在指定地点集合、清点人数，对迟到学生进行批评教育，对未到学生查明原因并做好记录，第一时间上报服务公司项目负责人，由其对接学生处核查处理。</w:t>
            </w:r>
          </w:p>
          <w:p>
            <w:pPr>
              <w:pStyle w:val="null3"/>
            </w:pPr>
            <w:r>
              <w:rPr>
                <w:rFonts w:ascii="仿宋_GB2312" w:hAnsi="仿宋_GB2312" w:cs="仿宋_GB2312" w:eastAsia="仿宋_GB2312"/>
              </w:rPr>
              <w:t>（4）每天上午、中午、晚自习上课前十分钟将学生整队带到教学楼，使学生做好课前及晚自习准备。</w:t>
            </w:r>
          </w:p>
          <w:p>
            <w:pPr>
              <w:pStyle w:val="null3"/>
            </w:pPr>
            <w:r>
              <w:rPr>
                <w:rFonts w:ascii="仿宋_GB2312" w:hAnsi="仿宋_GB2312" w:cs="仿宋_GB2312" w:eastAsia="仿宋_GB2312"/>
              </w:rPr>
              <w:t>（5）学生离开公寓前必须确保宿舍内务整洁、楼道卫生干净，督促楼内管理服务人员打扫区域卫生。</w:t>
            </w:r>
          </w:p>
          <w:p>
            <w:pPr>
              <w:pStyle w:val="null3"/>
            </w:pPr>
            <w:r>
              <w:rPr>
                <w:rFonts w:ascii="仿宋_GB2312" w:hAnsi="仿宋_GB2312" w:cs="仿宋_GB2312" w:eastAsia="仿宋_GB2312"/>
              </w:rPr>
              <w:t>（6）学生放学时，在食堂组织有序就餐，不发生拥挤等现象。</w:t>
            </w:r>
          </w:p>
          <w:p>
            <w:pPr>
              <w:pStyle w:val="null3"/>
            </w:pPr>
            <w:r>
              <w:rPr>
                <w:rFonts w:ascii="仿宋_GB2312" w:hAnsi="仿宋_GB2312" w:cs="仿宋_GB2312" w:eastAsia="仿宋_GB2312"/>
              </w:rPr>
              <w:t>（7）学生进入宿舍后，要加强巡查学生吸烟、打架斗殴、赌博、使用大功率电器、携带管制刀具等违纪现象，排查处理突发事件，严禁外来人员进入宿舍，相关情况及时上报服务公司。</w:t>
            </w:r>
          </w:p>
          <w:p>
            <w:pPr>
              <w:pStyle w:val="null3"/>
            </w:pPr>
            <w:r>
              <w:rPr>
                <w:rFonts w:ascii="仿宋_GB2312" w:hAnsi="仿宋_GB2312" w:cs="仿宋_GB2312" w:eastAsia="仿宋_GB2312"/>
              </w:rPr>
              <w:t>（8）配合班主任开展第二课堂活动，训练国旗护卫队，周一早上组织升旗仪式。</w:t>
            </w:r>
          </w:p>
          <w:p>
            <w:pPr>
              <w:pStyle w:val="null3"/>
            </w:pPr>
            <w:r>
              <w:rPr>
                <w:rFonts w:ascii="仿宋_GB2312" w:hAnsi="仿宋_GB2312" w:cs="仿宋_GB2312" w:eastAsia="仿宋_GB2312"/>
              </w:rPr>
              <w:t>（9）课前、课间、课后在教学楼、操场等学生活动区域巡回检查，发现学生吸烟、打架斗殴等不良现象，视情况对违纪学生进行批评教育，情节严重者上报服务公司，由公司统一交由学生处处理。</w:t>
            </w:r>
          </w:p>
          <w:p>
            <w:pPr>
              <w:pStyle w:val="null3"/>
            </w:pPr>
            <w:r>
              <w:rPr>
                <w:rFonts w:ascii="仿宋_GB2312" w:hAnsi="仿宋_GB2312" w:cs="仿宋_GB2312" w:eastAsia="仿宋_GB2312"/>
              </w:rPr>
              <w:t>（10）负责学院大型活动的集合整队工作，保证活动顺利进行。</w:t>
            </w:r>
          </w:p>
          <w:p>
            <w:pPr>
              <w:pStyle w:val="null3"/>
            </w:pPr>
            <w:r>
              <w:rPr>
                <w:rFonts w:ascii="仿宋_GB2312" w:hAnsi="仿宋_GB2312" w:cs="仿宋_GB2312" w:eastAsia="仿宋_GB2312"/>
              </w:rPr>
              <w:t>（11）配合班主任开展纪律教育、法制教育、安全教育、心理健康教育和爱护公物教育等，促进文明校园建设。</w:t>
            </w:r>
          </w:p>
          <w:p>
            <w:pPr>
              <w:pStyle w:val="null3"/>
            </w:pPr>
            <w:r>
              <w:rPr>
                <w:rFonts w:ascii="仿宋_GB2312" w:hAnsi="仿宋_GB2312" w:cs="仿宋_GB2312" w:eastAsia="仿宋_GB2312"/>
              </w:rPr>
              <w:t>（12）定期向供应商项目管理人员通报学生在公寓的纪律及生活卫生情况，与班主任对接沟通，共同掌握学生思想动态，正确处理学生在公寓的突发事件。</w:t>
            </w:r>
          </w:p>
          <w:p>
            <w:pPr>
              <w:pStyle w:val="null3"/>
            </w:pPr>
            <w:r>
              <w:rPr>
                <w:rFonts w:ascii="仿宋_GB2312" w:hAnsi="仿宋_GB2312" w:cs="仿宋_GB2312" w:eastAsia="仿宋_GB2312"/>
              </w:rPr>
              <w:t>（13）完成学院及学生处交办的、属于服务范围内的临时性任务。</w:t>
            </w:r>
          </w:p>
          <w:p>
            <w:pPr>
              <w:pStyle w:val="null3"/>
            </w:pPr>
            <w:r>
              <w:rPr>
                <w:rFonts w:ascii="仿宋_GB2312" w:hAnsi="仿宋_GB2312" w:cs="仿宋_GB2312" w:eastAsia="仿宋_GB2312"/>
              </w:rPr>
              <w:t>（14）供应商全面负责日常学生管理服务团队进行准军事化管理，制定驻勤排班计划，执行24小时驻勤制度。</w:t>
            </w:r>
          </w:p>
          <w:p>
            <w:pPr>
              <w:pStyle w:val="null3"/>
            </w:pPr>
            <w:r>
              <w:rPr>
                <w:rFonts w:ascii="仿宋_GB2312" w:hAnsi="仿宋_GB2312" w:cs="仿宋_GB2312" w:eastAsia="仿宋_GB2312"/>
              </w:rPr>
              <w:t>（15）供应商应参照学院的《住校教官管理制度》等管理标准，制定并执行其内部管理办法，并报学院备案。确保其人员遵守学院校园管理、安全等规定</w:t>
            </w:r>
          </w:p>
          <w:p>
            <w:pPr>
              <w:pStyle w:val="null3"/>
            </w:pPr>
            <w:r>
              <w:rPr>
                <w:rFonts w:ascii="仿宋_GB2312" w:hAnsi="仿宋_GB2312" w:cs="仿宋_GB2312" w:eastAsia="仿宋_GB2312"/>
              </w:rPr>
              <w:t>2、楼内管理服务内容</w:t>
            </w:r>
          </w:p>
          <w:p>
            <w:pPr>
              <w:pStyle w:val="null3"/>
            </w:pPr>
            <w:r>
              <w:rPr>
                <w:rFonts w:ascii="仿宋_GB2312" w:hAnsi="仿宋_GB2312" w:cs="仿宋_GB2312" w:eastAsia="仿宋_GB2312"/>
              </w:rPr>
              <w:t>（1）负责打扫、保洁学生公寓公共区域卫生，清理垃圾。</w:t>
            </w:r>
          </w:p>
          <w:p>
            <w:pPr>
              <w:pStyle w:val="null3"/>
            </w:pPr>
            <w:r>
              <w:rPr>
                <w:rFonts w:ascii="仿宋_GB2312" w:hAnsi="仿宋_GB2312" w:cs="仿宋_GB2312" w:eastAsia="仿宋_GB2312"/>
              </w:rPr>
              <w:t>（2）按照作息时间表，做好开灯、关灯、开门、关门工作。</w:t>
            </w:r>
          </w:p>
          <w:p>
            <w:pPr>
              <w:pStyle w:val="null3"/>
            </w:pPr>
            <w:r>
              <w:rPr>
                <w:rFonts w:ascii="仿宋_GB2312" w:hAnsi="仿宋_GB2312" w:cs="仿宋_GB2312" w:eastAsia="仿宋_GB2312"/>
              </w:rPr>
              <w:t>（3）须提供驻校服务，24小时在岗。</w:t>
            </w:r>
          </w:p>
          <w:p>
            <w:pPr>
              <w:pStyle w:val="null3"/>
            </w:pPr>
            <w:r>
              <w:rPr>
                <w:rFonts w:ascii="仿宋_GB2312" w:hAnsi="仿宋_GB2312" w:cs="仿宋_GB2312" w:eastAsia="仿宋_GB2312"/>
              </w:rPr>
              <w:t>（4）完成学院及学生处交办的、公寓管理范围内的临时性任务。</w:t>
            </w:r>
          </w:p>
          <w:p>
            <w:pPr>
              <w:pStyle w:val="null3"/>
            </w:pPr>
            <w:r>
              <w:rPr>
                <w:rFonts w:ascii="仿宋_GB2312" w:hAnsi="仿宋_GB2312" w:cs="仿宋_GB2312" w:eastAsia="仿宋_GB2312"/>
              </w:rPr>
              <w:t>（三）考核内容</w:t>
            </w:r>
          </w:p>
          <w:p>
            <w:pPr>
              <w:pStyle w:val="null3"/>
            </w:pPr>
            <w:r>
              <w:rPr>
                <w:rFonts w:ascii="仿宋_GB2312" w:hAnsi="仿宋_GB2312" w:cs="仿宋_GB2312" w:eastAsia="仿宋_GB2312"/>
              </w:rPr>
              <w:t>1供应商应定期组织业务培训和考核，考核结果由供应商自行存档管理，学院可查看整体考核情况。</w:t>
            </w:r>
          </w:p>
          <w:p>
            <w:pPr>
              <w:pStyle w:val="null3"/>
            </w:pPr>
            <w:r>
              <w:rPr>
                <w:rFonts w:ascii="仿宋_GB2312" w:hAnsi="仿宋_GB2312" w:cs="仿宋_GB2312" w:eastAsia="仿宋_GB2312"/>
              </w:rPr>
              <w:t>2.学院学生处、后勤服务中心、保卫处、教务处、综合高中部等职能部门负责人，每月联合开展服务工作综合考评，考评结果作为服务费用结算、合作合同履约评价的核心依据。供应商须全程配合各项考核工作，针对考核通报问题按期完成整改闭环。</w:t>
            </w:r>
          </w:p>
          <w:p>
            <w:pPr>
              <w:pStyle w:val="null3"/>
            </w:pPr>
            <w:r>
              <w:rPr>
                <w:rFonts w:ascii="仿宋_GB2312" w:hAnsi="仿宋_GB2312" w:cs="仿宋_GB2312" w:eastAsia="仿宋_GB2312"/>
              </w:rPr>
              <w:t>（四）其他服务要求</w:t>
            </w:r>
          </w:p>
          <w:p>
            <w:pPr>
              <w:pStyle w:val="null3"/>
            </w:pPr>
            <w:r>
              <w:rPr>
                <w:rFonts w:ascii="仿宋_GB2312" w:hAnsi="仿宋_GB2312" w:cs="仿宋_GB2312" w:eastAsia="仿宋_GB2312"/>
              </w:rPr>
              <w:t>1.供应商应依法与本项目所有服务人员签订劳动合同或劳务协议并缴纳社会保险，本项目所有服务人员与学院不存在任何形式的用工关系。</w:t>
            </w:r>
          </w:p>
          <w:p>
            <w:pPr>
              <w:pStyle w:val="null3"/>
            </w:pPr>
            <w:r>
              <w:rPr>
                <w:rFonts w:ascii="仿宋_GB2312" w:hAnsi="仿宋_GB2312" w:cs="仿宋_GB2312" w:eastAsia="仿宋_GB2312"/>
              </w:rPr>
              <w:t>2.服务期间服务人员发生工伤、人身损害等事故的，由供应商依法承担相应责任，学院不承担任何责任。</w:t>
            </w:r>
          </w:p>
          <w:p>
            <w:pPr>
              <w:pStyle w:val="null3"/>
            </w:pPr>
            <w:r>
              <w:rPr>
                <w:rFonts w:ascii="仿宋_GB2312" w:hAnsi="仿宋_GB2312" w:cs="仿宋_GB2312" w:eastAsia="仿宋_GB2312"/>
              </w:rPr>
              <w:t>3.若因服务人员个人行为给学院造成不良影响或经济损失的，学院有权直接向供应商追究违约责任，供应商承担后可再向涉事个人追偿；若因服务人员个人行为对服务对象造成不良影响或人身伤害等违法行为，学院有权追究供应商及服务人员的违法责任。</w:t>
            </w:r>
          </w:p>
          <w:p>
            <w:pPr>
              <w:pStyle w:val="null3"/>
            </w:pPr>
            <w:r>
              <w:rPr>
                <w:rFonts w:ascii="仿宋_GB2312" w:hAnsi="仿宋_GB2312" w:cs="仿宋_GB2312" w:eastAsia="仿宋_GB2312"/>
              </w:rPr>
              <w:t>4.服务人员提交的各类证件、证明复印件等个人资料，学院仅用于资质核验，予以查阅。</w:t>
            </w:r>
          </w:p>
          <w:p>
            <w:pPr>
              <w:pStyle w:val="null3"/>
            </w:pPr>
            <w:r>
              <w:rPr>
                <w:rFonts w:ascii="仿宋_GB2312" w:hAnsi="仿宋_GB2312" w:cs="仿宋_GB2312" w:eastAsia="仿宋_GB2312"/>
              </w:rPr>
              <w:t>5.供应商不得将本项目服务内容转包、分包。</w:t>
            </w:r>
          </w:p>
          <w:p>
            <w:pPr>
              <w:pStyle w:val="null3"/>
            </w:pPr>
            <w:r>
              <w:rPr>
                <w:rFonts w:ascii="仿宋_GB2312" w:hAnsi="仿宋_GB2312" w:cs="仿宋_GB2312" w:eastAsia="仿宋_GB2312"/>
              </w:rPr>
              <w:t>（五）付款方式</w:t>
            </w:r>
          </w:p>
          <w:p>
            <w:pPr>
              <w:pStyle w:val="null3"/>
            </w:pPr>
            <w:r>
              <w:rPr>
                <w:rFonts w:ascii="仿宋_GB2312" w:hAnsi="仿宋_GB2312" w:cs="仿宋_GB2312" w:eastAsia="仿宋_GB2312"/>
              </w:rPr>
              <w:t>本项目按月结算服务费，每月月初结算上月服务费用，供应商向采购人出具正式发票后，采购人支付上月服务费用。</w:t>
            </w:r>
          </w:p>
          <w:p>
            <w:pPr>
              <w:pStyle w:val="null3"/>
            </w:pPr>
            <w:r>
              <w:rPr>
                <w:rFonts w:ascii="仿宋_GB2312" w:hAnsi="仿宋_GB2312" w:cs="仿宋_GB2312" w:eastAsia="仿宋_GB2312"/>
              </w:rPr>
              <w:t>注：以每管理200名学生为一个基数，计算服务费的单价，不足200名学生按200名学生计算。每月服务费根据当月在校学生人数据实结算。其中寒假期间（1个月）为附加服务，不支付其他费用。</w:t>
            </w:r>
          </w:p>
          <w:p>
            <w:pPr>
              <w:pStyle w:val="null3"/>
            </w:pPr>
            <w:r>
              <w:rPr>
                <w:rFonts w:ascii="仿宋_GB2312" w:hAnsi="仿宋_GB2312" w:cs="仿宋_GB2312" w:eastAsia="仿宋_GB2312"/>
              </w:rPr>
              <w:t>说明：本次招标包括但不限于管理费、人工费、寒假附加服务费、管理费、税金、利润、招标文件明示及暗示所有风险等所有费用，服务期内采购人不再增加任何费用。最终实际结算费用不得超过采购预算。</w:t>
            </w:r>
          </w:p>
          <w:p>
            <w:pPr>
              <w:pStyle w:val="null3"/>
            </w:pPr>
            <w:r>
              <w:rPr>
                <w:rFonts w:ascii="仿宋_GB2312" w:hAnsi="仿宋_GB2312" w:cs="仿宋_GB2312" w:eastAsia="仿宋_GB2312"/>
              </w:rPr>
              <w:t>2.4 最高限价</w:t>
            </w:r>
          </w:p>
          <w:p>
            <w:pPr>
              <w:pStyle w:val="null3"/>
            </w:pPr>
            <w:r>
              <w:rPr>
                <w:rFonts w:ascii="仿宋_GB2312" w:hAnsi="仿宋_GB2312" w:cs="仿宋_GB2312" w:eastAsia="仿宋_GB2312"/>
              </w:rPr>
              <w:t>总价限价：217.50万元 ； 单价限价：6590.90元/f。（本次招标暂定人数为6500人，以每管理200名学生为一个基数，核算服务费的单价，不足200名学生按200名学生计算。）</w:t>
            </w:r>
          </w:p>
          <w:p>
            <w:pPr>
              <w:pStyle w:val="null3"/>
            </w:pPr>
            <w:r>
              <w:rPr>
                <w:rFonts w:ascii="仿宋_GB2312" w:hAnsi="仿宋_GB2312" w:cs="仿宋_GB2312" w:eastAsia="仿宋_GB2312"/>
              </w:rPr>
              <w:t>说明：投标总报价及单价均不能超过最高限价，否则按无效投标报价处理。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合同期限11个月，2026年9月5日至2027年7月15日。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渭南技师学院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1、所提供的人员要求符合采购文件、供应商承诺及采购合同约定的要求。 2、所提供的服务质量要求符合采购文件、供应商承诺及采购合同约定的要求。 3、如有抽检要求的，随时接受履约过程中工作的监督、检查和指导。 4、抽检结果符合采购文件、供应商承诺及采购合同约定的要求。 5、所有人员到达指定服务地点，并持证上岗。 6、采购文件、供应商承诺及采购合同约定的附件、工具、技术资料等齐全，能够保证正常使用。</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其他，本项目按月结算服务费，每月月初结算上月服务费用，供应商向采购人出具正式发票后，采购人支付上月服务费用。 注：以每管理200名学生为一个基数，计算服务费的单价，不足200名学生按200名学生计算。每月服务费根据当月在校学生人数据实结算。其中寒假期间（1个月）为附加服务，不支付其他费用。 说明：本次招标包括但不限于人工费、寒假附加服务费、管理费、税金、利润、招标文件明示及暗示所有风险等所有费用，服务期内采购人不再增加任何费用。最终实际结算费用不得超过采购预算，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违约责任及处罚标准 供应商出现下列违规情形的，学院将依规实施对服务单位进行经济处罚，具体处罚标准分类如下: （1）因供应商内部管理疏漏、失职引发重大事故，视其情节给予经济处罚: ①供应商未按标准足额配备人员、人员擅自脱岗空岗或服务质量不达标的，学院有权要求责令限期整改，视情节给予经济处罚1---2万元。 ②存在学生日常安全管理缺位、重点时段与重点区域监管空白、日常安全排查滞后、在岗履职松懈、学生安全管理制度落实不到位等情况，视情节给予经济处罚2---3万元。 ③在岗期间严重脱岗失责，学生集中活动区域无人员管控，履行安全管理责任不到位，造成人员伤亡，严重扰乱校园教育教学秩序并引发校内外舆论，视情节给于经济处罚3---5万元。 （2）供应商员工在履职中有以下违纪行为者，视其情节给予经济处罚: ①在岗期间言行礼仪不规范，工作时段吸烟、嚼口香糖、等有损岗位形象的行为，单次处罚200元; ②公寓楼道、水房、卫生间清扫不及时，保洁作业未达标准，单次处罚200元; ③服务人员物品随意堆放，占用楼梯间、消防通道、楼道出入口等，单次处罚200元; ④工作人员与在校学生建立不正当交往或恋爱关系，单次处罚300元; ⑤私自向学生索要、交换手机号、QQ、微信等网络通讯账号，或侵占学生合法权益，单次处罚400元; ⑥与学生发生口角争执、肢体冲突，存在辱骂、殴打、变相体罚学生等行为，单次处罚500元; ⑦接受学生宴请聚餐、一同饮酒、打牌、吸烟，或随同学生进入各类娱乐场所，存在其他同类违规行为，单次处罚500元; ⑧工作人员擅自脱岗、空岗，致使公寓值守、日常巡查等岗位无人在岗，单次处罚500元; ⑨工作人员酒后上岗或在岗饮酒滋事，单次处罚500元; ⑩发生违规事件、纠纷、安全事故后隐瞒不报、迟报瞒报，单次处罚500元。 3.供应商未依法为工作人员参保、未落实安全保障义务，引发劳动纠纷、安全事故的，全部责任由供应商独立承担；若造成学院损失，学院有权全额追偿。</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专门面向中小企业采购，本项目所属行业：其他未列明行业。从业人员300人以下的为中小微型企业。其中，从业人员100人及以上的为中型企业；从业人员10人及以上的为小型企业；从业人员10人以下的为微型企业。（4）服务范围：本项目包含的所有服务内容；（5）服务要求：满足采购人及采购文件要求；（6）服务标准：合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供应商须提供合法有效，具有独立承担民事责任能力的证明材料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③社会保障资金缴纳证明：提供投标文件递交截止时间前一年内任意一个月的社保缴费凭据或社保机构开具的社会保险参保缴费情况证明（依法不需要缴纳社会保障资金的供应商应提供相关证明）；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招标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投标保证金缴纳凭证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重大税收违法失信主体及严重违法失信企业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法定代表人参与投标时需提供法定代表人身份证明书；被授权人参与投标时需提供法定代表人身份证明书及法定代表人授权委托书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参与的供应商（联合体）服务全部由符合政策要求的中小企业承接。本项目所属行业：其他未列明行业。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供应商资格证明文件.docx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满足招标文件中的其他规定</w:t>
            </w:r>
          </w:p>
        </w:tc>
        <w:tc>
          <w:tcPr>
            <w:tcW w:type="dxa" w:w="1661"/>
          </w:tcPr>
          <w:p>
            <w:pPr>
              <w:pStyle w:val="null3"/>
            </w:pPr>
            <w:r>
              <w:rPr>
                <w:rFonts w:ascii="仿宋_GB2312" w:hAnsi="仿宋_GB2312" w:cs="仿宋_GB2312" w:eastAsia="仿宋_GB2312"/>
              </w:rPr>
              <w:t>开标一览表 中小企业声明函 商务应答表 服务内容及服务要求应答表 政府采购供应商拒绝政府采购领域商业贿赂承诺书.docx 分项报价表.docx 投标函 残疾人福利性单位声明函 服务方案 标的清单 投标文件封面 供应商资格证明文件.docx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总体服务管理方案</w:t>
            </w:r>
          </w:p>
        </w:tc>
        <w:tc>
          <w:tcPr>
            <w:tcW w:type="dxa" w:w="2492"/>
          </w:tcPr>
          <w:p>
            <w:pPr>
              <w:pStyle w:val="null3"/>
            </w:pPr>
            <w:r>
              <w:rPr>
                <w:rFonts w:ascii="仿宋_GB2312" w:hAnsi="仿宋_GB2312" w:cs="仿宋_GB2312" w:eastAsia="仿宋_GB2312"/>
              </w:rPr>
              <w:t>内容至少包括①项目需求理解；②组织保障措施；③进驻及管理流程；④明确的工作目标。 赋分标准（8分）：每项评审内容不存在缺陷得2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内容至少包括①公寓管理方案；②就餐管理方案；③门岗管理方案；④出操管理方案；⑤安全管理方案；⑥楼内管理服务方案； 赋分标准（12分）：每项评审内容不存在缺陷得2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内容至少包括①服务质量保障体系；②企业内部管理制度； ③人员考核制度质量保证措施；④保证人员按时到岗质量措施。 赋分标准（8分）：每项评审内容不存在缺陷得2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内容至少包括①对紧急状况或突发状况的应急保障措施；②应急响应时间；③应急人员安排。 赋分标准（6分）：每项评审内容不存在缺陷得2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人员岗前培训方案</w:t>
            </w:r>
          </w:p>
        </w:tc>
        <w:tc>
          <w:tcPr>
            <w:tcW w:type="dxa" w:w="2492"/>
          </w:tcPr>
          <w:p>
            <w:pPr>
              <w:pStyle w:val="null3"/>
            </w:pPr>
            <w:r>
              <w:rPr>
                <w:rFonts w:ascii="仿宋_GB2312" w:hAnsi="仿宋_GB2312" w:cs="仿宋_GB2312" w:eastAsia="仿宋_GB2312"/>
              </w:rPr>
              <w:t>内容至少包括①培训内容；②培训方式；③培训人员。 赋分标准（6分）：每项评审内容不存在缺陷得2分；每项评审内容每存在一处缺陷扣0.5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项目负责人具有学生军事技能训练教官资质证书得3分，否则不得分。 注：人员应提供相应证明材料，包含但不限于身份证、学生军事技能训练教官资质证书，无犯罪记录证明等资料。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服务团队：除项目负责人外，服务团队中日常学生管理服务人员具有学生军事技能训练教官资质证书16人（含16人）以上得32分，每少1人扣2分，扣完为止。 注：人员应提供相应证明材料，日常学生管理服务人员应提供包含但不限于身份证、学生军事技能训练教官资质证书，无犯罪记录证明等资料。楼内管理服务人员应提供包含但不限于身份证等证明材料。</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供应商近三年（2023年7月至今）具有类似项目业绩（业绩时间以合同签订日期为准）每个计1分，最多计5分。(供应商须提供合同复印件或成交通知书并加盖公章)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满足招标文件要求且最后投标报价（单价）最低的投标人的价格为基准价得20分，其他各投标人的最后报价得分按下列公式计算： 投标报价得分=（投标基准价/最后投标报价）×20%×100。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