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E579B">
      <w:pPr>
        <w:pStyle w:val="4"/>
        <w:jc w:val="center"/>
        <w:rPr>
          <w:rFonts w:hint="eastAsia"/>
          <w:sz w:val="36"/>
          <w:szCs w:val="36"/>
          <w:lang w:val="en-US" w:eastAsia="zh-CN"/>
        </w:rPr>
      </w:pPr>
      <w:r>
        <w:rPr>
          <w:rFonts w:hint="eastAsia"/>
          <w:sz w:val="36"/>
          <w:szCs w:val="36"/>
          <w:lang w:val="en-US" w:eastAsia="zh-CN"/>
        </w:rPr>
        <w:t>2026年碑林区应急成品粮储备（500吨大米）</w:t>
      </w:r>
    </w:p>
    <w:p w14:paraId="6BBC71D8">
      <w:pPr>
        <w:pStyle w:val="4"/>
        <w:jc w:val="center"/>
        <w:rPr>
          <w:rFonts w:hint="eastAsia"/>
          <w:sz w:val="36"/>
          <w:szCs w:val="36"/>
          <w:lang w:val="en-US" w:eastAsia="zh-CN"/>
        </w:rPr>
      </w:pPr>
      <w:r>
        <w:rPr>
          <w:rFonts w:hint="eastAsia"/>
          <w:sz w:val="36"/>
          <w:szCs w:val="36"/>
          <w:lang w:val="en-US" w:eastAsia="zh-CN"/>
        </w:rPr>
        <w:t>采购需求</w:t>
      </w:r>
    </w:p>
    <w:p w14:paraId="033E15F1">
      <w:pPr>
        <w:pStyle w:val="4"/>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一．项目概况</w:t>
      </w:r>
    </w:p>
    <w:p w14:paraId="084D5AA6">
      <w:pPr>
        <w:pStyle w:val="4"/>
        <w:ind w:firstLine="560" w:firstLineChars="20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为推进经济社会发展，保障粮食有效供给，维护市场稳定，完成碑林区成品储备粮承储任务。</w:t>
      </w:r>
    </w:p>
    <w:p w14:paraId="186E11BC">
      <w:pPr>
        <w:pStyle w:val="4"/>
        <w:ind w:firstLine="560" w:firstLineChars="20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服务要求</w:t>
      </w:r>
    </w:p>
    <w:p w14:paraId="5E3E1DF2">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1.供应商应保证承储区级应急储备粮中大米符合GB/T1354-2018《大米》中粳米二级（含）以上标准要求。</w:t>
      </w:r>
    </w:p>
    <w:p w14:paraId="54304E5B">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2.区级成品储备粮食包装规格为每袋25公斤及其以下，每包装单位规格和计量误差应当符合国家有关规定。且项目后期粮食外运时所产生的运输费用由供应商自行承担。</w:t>
      </w:r>
    </w:p>
    <w:p w14:paraId="771EEEE0">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承储企业按照“保持规模、保证质量、先入先出、均衡有序”的原则，在保质期内自主开展区级应急成品储备粮轮换工作。区级应急成品储备大米，每年高温季节（6月-8月）库存数量不低于承储计划数量的80%，其余月份库存数量任何时点须足额达到承储计划数量。</w:t>
      </w:r>
    </w:p>
    <w:p w14:paraId="7F7B1EF6">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4.承储企业需按照省、市、区对于粮食购销领域监管信息化建设的要求，按时完成建设任务，实现与省级平台互联互通，并保障系统日常运转正常。</w:t>
      </w:r>
    </w:p>
    <w:p w14:paraId="72715D84">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5.承储企业应建立健全区级应急成品储备粮出入库、质量、储存、检化验和防虫、防火、防盗、防汛等安全管理制度，并配备必要安全防护措施。</w:t>
      </w:r>
    </w:p>
    <w:p w14:paraId="366CE396">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6.区级应急成品储备粮储存仓房应符合国家《粮油储藏技术规范》对粮仓的要求，并取得区级储备粮承储资格。</w:t>
      </w:r>
    </w:p>
    <w:p w14:paraId="43E4971D">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7.区级应急成品储备粮原则上实行专仓存放，确实达不到专仓存放的，应实行仓内区域集中存放，不允许在同一区域内混合存放不同性质的成品粮。储存仓号一经落实，承储企业不得擅自变更。如遇特殊情况需变更储存仓号的，应报经区发展和改革委员会（区粮食和物资储备局）同意。</w:t>
      </w:r>
    </w:p>
    <w:p w14:paraId="596636E1">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8.区级应急成品储备粮仓房应悬挂或标示专用标志，在显著位置应悬挂“区级应急成品储备粮储存品质检验记录卡”、“区级储备粮仓单”、“区级储备粮管理责任卡”，分仓号、垛位存放的区级应急成品储备粮必须悬挂“区级成品储备粮”仓垛卡。</w:t>
      </w:r>
    </w:p>
    <w:p w14:paraId="582B2E49">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9.区级应急成品储备粮实行专人、专账管理。承储企业应当安排具有（粮）仓储管理员职业资格的人员从事区级应急成品储备粮保管工作，按照成品粮储藏有关要求，定期进行检查，发现问题及时处理。必须按照有关统计、财务、保管制度的要求，建立健全管理账簿、台账，并定期进行核查，做到账目齐全、装订规范、内容真实、账账相符、账实相符。</w:t>
      </w:r>
    </w:p>
    <w:p w14:paraId="278C3468">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10.承储企业应当建立完善的成品粮质量检验制度，配备必要的检验仪器设备和具有农产品食品检验员职业资格的人员，定期对应急成品储备粮的质量、主要食品安全指标按照国家标准进行检验，对应急成品储备粮的粮情安全状况、存放地点卫生状况进行定期检查。区发展和改革委员会（区粮食和物资储备局）委托第三方检测机构对储存的区级应急成品储备粮质量进行定期检验。</w:t>
      </w:r>
    </w:p>
    <w:p w14:paraId="42F32314">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11.承储企业必须以《国家粮食流通统计制度》规定的方式和时间向碑林区发展和改革委员会（碑林区粮食和物资储备局）报送区级应急成品储备粮的有关统计报表，同时将区级应急成品储备粮储存、轮换等情况报送区发展和改革委员会（区粮食和物资储备局）。</w:t>
      </w:r>
    </w:p>
    <w:p w14:paraId="10466EAC">
      <w:pPr>
        <w:pStyle w:val="4"/>
        <w:ind w:firstLine="480"/>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12.在应对突发事件时，承储企业必须执行区粮食行政管理部门指令，服从政府粮食宏观调控措施或应急措施。必要时，区粮食行政管理部门根据《西安市碑林区粮食应急预案》规定对承储企业的自有成品粮进行采购，按指定价格组织应急供应，稳定粮食市场。</w:t>
      </w:r>
    </w:p>
    <w:p w14:paraId="2D9318C7">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13.承储企业必须严格落实碑林区区级储备粮管理办法的有关规定，积极配合区发改委及有关部门的监管，区发改委在日常管理中，发现承储企业违反有关规定的，应督促承储企业立即改正或限期改正。问题严重的，及时向市粮食行政管理部门和区政府报告，并终止代储合同。</w:t>
      </w:r>
    </w:p>
    <w:p w14:paraId="45939A52">
      <w:pPr>
        <w:pStyle w:val="4"/>
        <w:jc w:val="left"/>
        <w:rPr>
          <w:rFonts w:hint="eastAsia" w:asciiTheme="minorEastAsia" w:hAnsiTheme="minorEastAsia" w:eastAsiaTheme="minorEastAsia" w:cstheme="minorEastAsia"/>
          <w:b w:val="0"/>
          <w:bCs/>
          <w:sz w:val="28"/>
          <w:szCs w:val="28"/>
        </w:rPr>
      </w:pPr>
    </w:p>
    <w:p w14:paraId="4FE9B2CC">
      <w:pPr>
        <w:pStyle w:val="4"/>
        <w:jc w:val="left"/>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商务要求</w:t>
      </w:r>
    </w:p>
    <w:p w14:paraId="5783A5BC">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1</w:t>
      </w:r>
      <w:r>
        <w:rPr>
          <w:rFonts w:hint="eastAsia" w:asciiTheme="minorEastAsia" w:hAnsiTheme="minorEastAsia" w:cstheme="minorEastAsia"/>
          <w:b w:val="0"/>
          <w:bCs/>
          <w:sz w:val="28"/>
          <w:szCs w:val="28"/>
          <w:lang w:val="en-US" w:eastAsia="zh-CN"/>
        </w:rPr>
        <w:t>.</w:t>
      </w:r>
      <w:r>
        <w:rPr>
          <w:rFonts w:hint="eastAsia" w:asciiTheme="minorEastAsia" w:hAnsiTheme="minorEastAsia" w:eastAsiaTheme="minorEastAsia" w:cstheme="minorEastAsia"/>
          <w:b w:val="0"/>
          <w:bCs/>
          <w:sz w:val="28"/>
          <w:szCs w:val="28"/>
        </w:rPr>
        <w:t>服务期限：自合同签订之日起一年。</w:t>
      </w:r>
    </w:p>
    <w:p w14:paraId="6DE685DA">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2</w:t>
      </w:r>
      <w:r>
        <w:rPr>
          <w:rFonts w:hint="eastAsia" w:asciiTheme="minorEastAsia" w:hAnsiTheme="minorEastAsia" w:cstheme="minorEastAsia"/>
          <w:b w:val="0"/>
          <w:bCs/>
          <w:sz w:val="28"/>
          <w:szCs w:val="28"/>
          <w:lang w:val="en-US" w:eastAsia="zh-CN"/>
        </w:rPr>
        <w:t>.</w:t>
      </w:r>
      <w:r>
        <w:rPr>
          <w:rFonts w:hint="eastAsia" w:asciiTheme="minorEastAsia" w:hAnsiTheme="minorEastAsia" w:eastAsiaTheme="minorEastAsia" w:cstheme="minorEastAsia"/>
          <w:b w:val="0"/>
          <w:bCs/>
          <w:sz w:val="28"/>
          <w:szCs w:val="28"/>
        </w:rPr>
        <w:t>服务质量</w:t>
      </w:r>
      <w:r>
        <w:rPr>
          <w:rFonts w:hint="eastAsia" w:asciiTheme="minorEastAsia" w:hAnsiTheme="minorEastAsia" w:cstheme="minorEastAsia"/>
          <w:b w:val="0"/>
          <w:bCs/>
          <w:sz w:val="28"/>
          <w:szCs w:val="28"/>
          <w:lang w:val="en-US" w:eastAsia="zh-CN"/>
        </w:rPr>
        <w:t>标准</w:t>
      </w:r>
      <w:r>
        <w:rPr>
          <w:rFonts w:hint="eastAsia" w:asciiTheme="minorEastAsia" w:hAnsiTheme="minorEastAsia" w:eastAsiaTheme="minorEastAsia" w:cstheme="minorEastAsia"/>
          <w:b w:val="0"/>
          <w:bCs/>
          <w:sz w:val="28"/>
          <w:szCs w:val="28"/>
        </w:rPr>
        <w:t>：合格</w:t>
      </w:r>
    </w:p>
    <w:p w14:paraId="5150D9E5">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3</w:t>
      </w:r>
      <w:r>
        <w:rPr>
          <w:rFonts w:hint="eastAsia" w:asciiTheme="minorEastAsia" w:hAnsiTheme="minorEastAsia" w:cstheme="minorEastAsia"/>
          <w:b w:val="0"/>
          <w:bCs/>
          <w:sz w:val="28"/>
          <w:szCs w:val="28"/>
          <w:lang w:val="en-US" w:eastAsia="zh-CN"/>
        </w:rPr>
        <w:t>.</w:t>
      </w:r>
      <w:r>
        <w:rPr>
          <w:rFonts w:hint="eastAsia" w:asciiTheme="minorEastAsia" w:hAnsiTheme="minorEastAsia" w:eastAsiaTheme="minorEastAsia" w:cstheme="minorEastAsia"/>
          <w:b w:val="0"/>
          <w:bCs/>
          <w:sz w:val="28"/>
          <w:szCs w:val="28"/>
        </w:rPr>
        <w:t>付款方式：采购人每半年向成交单位支付费用。</w:t>
      </w:r>
    </w:p>
    <w:p w14:paraId="65E8CD58">
      <w:pPr>
        <w:pStyle w:val="4"/>
        <w:ind w:firstLine="480"/>
        <w:jc w:val="both"/>
        <w:rPr>
          <w:rFonts w:hint="eastAsia" w:asciiTheme="minorEastAsia" w:hAnsiTheme="minorEastAsia" w:eastAsiaTheme="minorEastAsia" w:cstheme="minorEastAsia"/>
          <w:b w:val="0"/>
          <w:bCs/>
          <w:sz w:val="28"/>
          <w:szCs w:val="28"/>
        </w:rPr>
      </w:pPr>
      <w:r>
        <w:rPr>
          <w:rFonts w:hint="eastAsia" w:asciiTheme="minorEastAsia" w:hAnsiTheme="minorEastAsia" w:eastAsiaTheme="minorEastAsia" w:cstheme="minorEastAsia"/>
          <w:b w:val="0"/>
          <w:bCs/>
          <w:sz w:val="28"/>
          <w:szCs w:val="28"/>
        </w:rPr>
        <w:t>4</w:t>
      </w:r>
      <w:r>
        <w:rPr>
          <w:rFonts w:hint="eastAsia" w:asciiTheme="minorEastAsia" w:hAnsiTheme="minorEastAsia" w:cstheme="minorEastAsia"/>
          <w:b w:val="0"/>
          <w:bCs/>
          <w:sz w:val="28"/>
          <w:szCs w:val="28"/>
          <w:lang w:val="en-US" w:eastAsia="zh-CN"/>
        </w:rPr>
        <w:t>.</w:t>
      </w:r>
      <w:r>
        <w:rPr>
          <w:rFonts w:hint="eastAsia" w:asciiTheme="minorEastAsia" w:hAnsiTheme="minorEastAsia" w:eastAsiaTheme="minorEastAsia" w:cstheme="minorEastAsia"/>
          <w:b w:val="0"/>
          <w:bCs/>
          <w:sz w:val="28"/>
          <w:szCs w:val="28"/>
        </w:rPr>
        <w:t>服务范围：完成碑林区</w:t>
      </w:r>
      <w:r>
        <w:rPr>
          <w:rFonts w:hint="eastAsia" w:asciiTheme="minorEastAsia" w:hAnsiTheme="minorEastAsia" w:cstheme="minorEastAsia"/>
          <w:b w:val="0"/>
          <w:bCs/>
          <w:sz w:val="28"/>
          <w:szCs w:val="28"/>
          <w:lang w:val="en-US" w:eastAsia="zh-CN"/>
        </w:rPr>
        <w:t>5</w:t>
      </w:r>
      <w:r>
        <w:rPr>
          <w:rFonts w:hint="eastAsia" w:asciiTheme="minorEastAsia" w:hAnsiTheme="minorEastAsia" w:eastAsiaTheme="minorEastAsia" w:cstheme="minorEastAsia"/>
          <w:b w:val="0"/>
          <w:bCs/>
          <w:sz w:val="28"/>
          <w:szCs w:val="28"/>
        </w:rPr>
        <w:t>00吨</w:t>
      </w:r>
      <w:r>
        <w:rPr>
          <w:rFonts w:hint="eastAsia" w:asciiTheme="minorEastAsia" w:hAnsiTheme="minorEastAsia" w:cstheme="minorEastAsia"/>
          <w:b w:val="0"/>
          <w:bCs/>
          <w:sz w:val="28"/>
          <w:szCs w:val="28"/>
          <w:lang w:val="en-US" w:eastAsia="zh-CN"/>
        </w:rPr>
        <w:t>大米</w:t>
      </w:r>
      <w:r>
        <w:rPr>
          <w:rFonts w:hint="eastAsia" w:asciiTheme="minorEastAsia" w:hAnsiTheme="minorEastAsia" w:eastAsiaTheme="minorEastAsia" w:cstheme="minorEastAsia"/>
          <w:b w:val="0"/>
          <w:bCs/>
          <w:sz w:val="28"/>
          <w:szCs w:val="28"/>
        </w:rPr>
        <w:t>储备任务。</w:t>
      </w:r>
    </w:p>
    <w:p w14:paraId="3C6E913B">
      <w:pPr>
        <w:pStyle w:val="4"/>
        <w:ind w:firstLine="480"/>
        <w:jc w:val="both"/>
        <w:rPr>
          <w:rFonts w:hint="eastAsia"/>
          <w:lang w:val="en-US" w:eastAsia="zh-CN"/>
        </w:rPr>
        <w:sectPr>
          <w:pgSz w:w="11906" w:h="16838"/>
          <w:pgMar w:top="1440" w:right="1800" w:bottom="1440" w:left="1800" w:header="851" w:footer="992" w:gutter="0"/>
          <w:cols w:space="425" w:num="1"/>
          <w:docGrid w:type="lines" w:linePitch="312" w:charSpace="0"/>
        </w:sectPr>
      </w:pPr>
      <w:r>
        <w:rPr>
          <w:rFonts w:hint="eastAsia" w:asciiTheme="minorEastAsia" w:hAnsiTheme="minorEastAsia" w:eastAsiaTheme="minorEastAsia" w:cstheme="minorEastAsia"/>
          <w:b w:val="0"/>
          <w:bCs/>
          <w:sz w:val="28"/>
          <w:szCs w:val="28"/>
        </w:rPr>
        <w:t>5</w:t>
      </w:r>
      <w:r>
        <w:rPr>
          <w:rFonts w:hint="eastAsia" w:asciiTheme="minorEastAsia" w:hAnsiTheme="minorEastAsia" w:cstheme="minorEastAsia"/>
          <w:b w:val="0"/>
          <w:bCs/>
          <w:sz w:val="28"/>
          <w:szCs w:val="28"/>
          <w:lang w:val="en-US" w:eastAsia="zh-CN"/>
        </w:rPr>
        <w:t>.</w:t>
      </w:r>
      <w:r>
        <w:rPr>
          <w:rFonts w:hint="eastAsia" w:asciiTheme="minorEastAsia" w:hAnsiTheme="minorEastAsia" w:eastAsiaTheme="minorEastAsia" w:cstheme="minorEastAsia"/>
          <w:b w:val="0"/>
          <w:bCs/>
          <w:sz w:val="28"/>
          <w:szCs w:val="28"/>
        </w:rPr>
        <w:t>服务要求：满足本次采购项目所有服务内容。</w:t>
      </w:r>
      <w:r>
        <w:rPr>
          <w:rFonts w:hint="eastAsia"/>
          <w:lang w:val="en-US" w:eastAsia="zh-CN"/>
        </w:rPr>
        <w:t xml:space="preserve"> </w:t>
      </w:r>
    </w:p>
    <w:p w14:paraId="5E4686E9">
      <w:pPr>
        <w:pStyle w:val="4"/>
        <w:jc w:val="center"/>
        <w:rPr>
          <w:rFonts w:hint="eastAsia"/>
          <w:sz w:val="36"/>
          <w:szCs w:val="36"/>
          <w:lang w:val="en-US" w:eastAsia="zh-CN"/>
        </w:rPr>
      </w:pPr>
      <w:r>
        <w:rPr>
          <w:rFonts w:hint="eastAsia"/>
          <w:sz w:val="36"/>
          <w:szCs w:val="36"/>
          <w:lang w:val="en-US" w:eastAsia="zh-CN"/>
        </w:rPr>
        <w:t>2026年碑林区应急成品粮储备（1000吨面粉）</w:t>
      </w:r>
    </w:p>
    <w:p w14:paraId="4291433C">
      <w:pPr>
        <w:pStyle w:val="4"/>
        <w:jc w:val="center"/>
        <w:rPr>
          <w:rFonts w:hint="eastAsia"/>
          <w:sz w:val="36"/>
          <w:szCs w:val="36"/>
          <w:lang w:val="en-US" w:eastAsia="zh-CN"/>
        </w:rPr>
      </w:pPr>
      <w:r>
        <w:rPr>
          <w:rFonts w:hint="eastAsia"/>
          <w:sz w:val="36"/>
          <w:szCs w:val="36"/>
          <w:lang w:val="en-US" w:eastAsia="zh-CN"/>
        </w:rPr>
        <w:t>采购需求</w:t>
      </w:r>
    </w:p>
    <w:p w14:paraId="4B65591F">
      <w:pPr>
        <w:pStyle w:val="4"/>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服务要求</w:t>
      </w:r>
    </w:p>
    <w:p w14:paraId="590615EF">
      <w:pPr>
        <w:pStyle w:val="4"/>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一．项目概况</w:t>
      </w:r>
    </w:p>
    <w:p w14:paraId="006A9757">
      <w:pPr>
        <w:pStyle w:val="4"/>
        <w:spacing w:before="120" w:after="120"/>
        <w:ind w:firstLine="42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为推进经济社会发展，保障粮食有效供给，维护市场稳定，完成碑林区成品储备粮承储任务。</w:t>
      </w:r>
    </w:p>
    <w:p w14:paraId="572D762E">
      <w:pPr>
        <w:pStyle w:val="4"/>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二、服务要求</w:t>
      </w:r>
    </w:p>
    <w:p w14:paraId="4C775AA3">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1.供应商应保证承储区级应急储备粮中小麦粉必须符合GB/T 1355-2021《小麦粉》中标准粉（含）以上标准要求，标识为面条粉、馒头粉等专用粉或标识为行业标准、团体标准、企业标准的小麦粉应符合前述质量要求。</w:t>
      </w:r>
    </w:p>
    <w:p w14:paraId="579F24C2">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2.包装形态储存区级应急成品储备粮包装规格为每袋25公斤及其以下单位规格和计量误差应当符合国家有关规定。且项目后期粮食外运时所产生的运输费用由供应商自行承担。</w:t>
      </w:r>
    </w:p>
    <w:p w14:paraId="1BC15D55">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3.承储企业按照“保持规模、保证质量、先入先出、 均衡有序”的原则，在保质期内自主开展市级成品储备粮轮换工作。包装形态储存的区级应急成品储备小麦粉，每年高温时段（6月-8月）库存数量不低于承储计划数量的80%，其余月份库存数量任何时点须足额达到承储计划数量。</w:t>
      </w:r>
    </w:p>
    <w:p w14:paraId="227C6C7E">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4.承储企业应建立健全区级应急成品储备粮出入库、质量、储存、检化验和防虫、防火、防盗、防汛等安全管理制度，并配备必要安全防护措施。</w:t>
      </w:r>
    </w:p>
    <w:p w14:paraId="7C6DBF9A">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5.</w:t>
      </w:r>
      <w:r>
        <w:rPr>
          <w:rFonts w:hint="eastAsia" w:asciiTheme="minorEastAsia" w:hAnsiTheme="minorEastAsia" w:eastAsiaTheme="minorEastAsia" w:cstheme="minorEastAsia"/>
          <w:b w:val="0"/>
          <w:bCs/>
          <w:sz w:val="28"/>
          <w:szCs w:val="28"/>
        </w:rPr>
        <w:t>承储企业需按照省、市、区对于粮食购销领域监管信息化建设的要求，按时完成建设任务，实现与省级平台互联互通，并保障系统日常运转正常。</w:t>
      </w:r>
    </w:p>
    <w:p w14:paraId="7EDD2323">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.区级应急成品储备粮储存仓房应符合国家《粮油储藏技术规范》对粮仓的要求，并取得区级储备粮承储资格。</w:t>
      </w:r>
    </w:p>
    <w:p w14:paraId="30DD1FB0">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7</w:t>
      </w:r>
      <w:r>
        <w:rPr>
          <w:rFonts w:hint="eastAsia" w:asciiTheme="minorEastAsia" w:hAnsiTheme="minorEastAsia" w:eastAsiaTheme="minorEastAsia" w:cstheme="minorEastAsia"/>
          <w:sz w:val="28"/>
          <w:szCs w:val="28"/>
        </w:rPr>
        <w:t>.区级应急成品储备粮原则上实行专仓存放，确实达不到专仓存放的，应实行仓内区域集中存放，不允许在同一区域内混合存放不同性质的成品粮。储存仓号一经落实，承储企业不得擅自变更。如遇特殊情况需变更储存仓号的，应报经区发展和改革委员会（区粮食和物资储备局）同意。</w:t>
      </w:r>
    </w:p>
    <w:p w14:paraId="12B7C0A8">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8</w:t>
      </w:r>
      <w:r>
        <w:rPr>
          <w:rFonts w:hint="eastAsia" w:asciiTheme="minorEastAsia" w:hAnsiTheme="minorEastAsia" w:eastAsiaTheme="minorEastAsia" w:cstheme="minorEastAsia"/>
          <w:sz w:val="28"/>
          <w:szCs w:val="28"/>
        </w:rPr>
        <w:t>.区级成品储备粮仓房须悬挂区级成品储备粮专牌，在显著位置张贴“区级储备粮仓单”“区级成品储备粮质量检验记录卡”“区级储备粮管理责任卡”。仓内分垛存放的区级成品储备粮，应在各垛位醒目位置设置“区级成品储备粮垛卡”。</w:t>
      </w:r>
    </w:p>
    <w:p w14:paraId="4961161D">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9</w:t>
      </w:r>
      <w:r>
        <w:rPr>
          <w:rFonts w:hint="eastAsia" w:asciiTheme="minorEastAsia" w:hAnsiTheme="minorEastAsia" w:eastAsiaTheme="minorEastAsia" w:cstheme="minorEastAsia"/>
          <w:sz w:val="28"/>
          <w:szCs w:val="28"/>
        </w:rPr>
        <w:t>.区级成品储备粮实行专人保管、专账记载。承储企业应当安排经培训考核合格的人员从事区级成品储备粮保管工作，按照成品粮油储藏有关要求，定期进行检查，分析粮情，做好检测记录，发现问题及时处理。必须按照有关统计、财务、保管制度的要求，建立健全区级成品储备粮专账，并定期进行核查，做到账目齐全、装订规范、内容真实、账账相符、账实相符。</w:t>
      </w:r>
    </w:p>
    <w:p w14:paraId="25F1158B">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承储企业应当建立完善的成品粮质量检验制度，配备必要的检验仪器设备和具有农产品食品检验员职业资格的人员，定期对应急成品储备粮的质量、主要食品安全指标按照国家标准进行检验，对应急成品储备粮的粮情安全状况、存放地点卫生状况进行定期检查。区发展和改革委员会（区粮食和物资储备局）的委托委托第三方检测机构对储存的区级应急成品储备粮质量进行定期检验。</w:t>
      </w:r>
    </w:p>
    <w:p w14:paraId="6D9E1952">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承储企业必须以《国家粮食流通统计制度》规定的方式和时间向住所所在地区县发展和改革委员会（区粮食和物资储备局）报送区级应急成品储备粮的有关统计报表，同时将区级应急成品储备粮储存、轮换等情况报送区发展和改革委员会 （区粮食和物资储备局）。</w:t>
      </w:r>
    </w:p>
    <w:p w14:paraId="2321A229">
      <w:pPr>
        <w:pStyle w:val="4"/>
        <w:ind w:firstLine="420"/>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在应对突发事件时，承储企业必须执行区粮食行政管理部门指令，服从政府粮食宏观调控措施或应急措施。必要时，区粮食行政管理部门根据《西安市碑林区粮食应急预案》规定对承储企业的自有成品粮进行采购，按指定价格组织应急供应，稳定粮食市场。</w:t>
      </w:r>
    </w:p>
    <w:p w14:paraId="66F848C7">
      <w:pPr>
        <w:pStyle w:val="4"/>
        <w:ind w:firstLine="42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加强对区级成品储备粮的日常管理和检查，原则上每季度全面检查一次。在区级成品储备粮日常管理中，发现区级储备粮数量、质量、储存安全、轮换管理等方面存在问题的，应当予以纠正或者处理，问题严重或者紧急的，应及时将检查情况向区政府进行书面报告。</w:t>
      </w:r>
    </w:p>
    <w:p w14:paraId="0124A3EC">
      <w:pP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268F71BB">
      <w:pPr>
        <w:pStyle w:val="4"/>
        <w:jc w:val="lef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sz w:val="28"/>
          <w:szCs w:val="28"/>
        </w:rPr>
        <w:t>商务要求</w:t>
      </w:r>
    </w:p>
    <w:p w14:paraId="7B3C4947">
      <w:pPr>
        <w:pStyle w:val="4"/>
        <w:ind w:firstLine="48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服务期限：自合同签订之日起一年。</w:t>
      </w:r>
    </w:p>
    <w:p w14:paraId="4E128D0C">
      <w:pPr>
        <w:pStyle w:val="4"/>
        <w:ind w:firstLine="48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服务质量</w:t>
      </w:r>
      <w:r>
        <w:rPr>
          <w:rFonts w:hint="eastAsia" w:asciiTheme="minorEastAsia" w:hAnsiTheme="minorEastAsia" w:cstheme="minorEastAsia"/>
          <w:sz w:val="28"/>
          <w:szCs w:val="28"/>
          <w:lang w:val="en-US" w:eastAsia="zh-CN"/>
        </w:rPr>
        <w:t>标准</w:t>
      </w:r>
      <w:r>
        <w:rPr>
          <w:rFonts w:hint="eastAsia" w:asciiTheme="minorEastAsia" w:hAnsiTheme="minorEastAsia" w:eastAsiaTheme="minorEastAsia" w:cstheme="minorEastAsia"/>
          <w:sz w:val="28"/>
          <w:szCs w:val="28"/>
        </w:rPr>
        <w:t>：合格</w:t>
      </w:r>
    </w:p>
    <w:p w14:paraId="5196F179">
      <w:pPr>
        <w:pStyle w:val="4"/>
        <w:ind w:firstLine="48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付款方式：采购人每半年向成交单位支付费用。</w:t>
      </w:r>
    </w:p>
    <w:p w14:paraId="76DD3974">
      <w:pPr>
        <w:pStyle w:val="4"/>
        <w:ind w:firstLine="480"/>
        <w:jc w:val="both"/>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服务范围：完成碑林区1000吨面粉存储任务。</w:t>
      </w:r>
    </w:p>
    <w:p w14:paraId="7D44E396">
      <w:pPr>
        <w:pStyle w:val="4"/>
        <w:ind w:firstLine="480"/>
        <w:jc w:val="both"/>
        <w:rPr>
          <w:rFonts w:hint="eastAsia"/>
          <w:lang w:val="en-US" w:eastAsia="zh-CN"/>
        </w:rPr>
      </w:pPr>
      <w:r>
        <w:rPr>
          <w:rFonts w:hint="eastAsia" w:asciiTheme="minorEastAsia" w:hAnsiTheme="minorEastAsia" w:eastAsiaTheme="minorEastAsia" w:cstheme="minorEastAsia"/>
          <w:sz w:val="28"/>
          <w:szCs w:val="28"/>
        </w:rPr>
        <w:t>5</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服务要求：满足本次采购项目所有服务内</w:t>
      </w:r>
      <w:bookmarkStart w:id="0" w:name="_GoBack"/>
      <w:bookmarkEnd w:id="0"/>
      <w:r>
        <w:rPr>
          <w:rFonts w:hint="eastAsia" w:asciiTheme="minorEastAsia" w:hAnsiTheme="minorEastAsia" w:eastAsiaTheme="minorEastAsia" w:cstheme="minorEastAsia"/>
          <w:sz w:val="28"/>
          <w:szCs w:val="28"/>
        </w:rPr>
        <w:t>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9551B"/>
    <w:rsid w:val="15275FF4"/>
    <w:rsid w:val="20750973"/>
    <w:rsid w:val="2AC800C8"/>
    <w:rsid w:val="3AB4477B"/>
    <w:rsid w:val="420958A0"/>
    <w:rsid w:val="4C880CDC"/>
    <w:rsid w:val="532E03B4"/>
    <w:rsid w:val="546F6DA7"/>
    <w:rsid w:val="648E24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3185</Words>
  <Characters>3280</Characters>
  <Lines>0</Lines>
  <Paragraphs>0</Paragraphs>
  <TotalTime>3</TotalTime>
  <ScaleCrop>false</ScaleCrop>
  <LinksUpToDate>false</LinksUpToDate>
  <CharactersWithSpaces>3284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2025-05-29T07:22:00Z</dcterms:created>
  <dc:creator>MyPC</dc:creator>
  <cp:lastModifiedBy>滴滴</cp:lastModifiedBy>
  <dcterms:modified xsi:type="dcterms:W3CDTF">2026-06-10T01:35:24Z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eyJoZGlkIjoiMjhhNmJkODUzOTM3NDk4NGZmYzg1Y2RiYTI2YzYwZTQiLCJ1c2VySWQiOiIxMzY5MDczMjIyIn0=</vt:lpwstr>
  </property>
  <property fmtid="{D5CDD505-2E9C-101B-9397-08002B2CF9AE}" pid="4" name="ICV">
    <vt:lpwstr>7119C2BCCC9E498196AAFAC503B0310C_12</vt:lpwstr>
  </property>
</Properties>
</file>