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2.2.供应商根据</w:t>
      </w:r>
      <w:r>
        <w:rPr>
          <w:rFonts w:hint="eastAsia"/>
          <w:sz w:val="28"/>
          <w:szCs w:val="28"/>
          <w:lang w:val="en-US" w:eastAsia="zh-CN"/>
        </w:rPr>
        <w:t>采购文件“第三章 磋商项目技术、服务、商务及其他要求”中“3.3商务要求”及 “3.4其他要求”内容逐条</w:t>
      </w:r>
      <w:r>
        <w:rPr>
          <w:sz w:val="28"/>
          <w:szCs w:val="28"/>
        </w:rPr>
        <w:t>填写此表。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65FE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黑黑黑黑黑</cp:lastModifiedBy>
  <dcterms:modified xsi:type="dcterms:W3CDTF">2026-04-29T08:05:19Z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1738A0384D8C4CC1975045B3D243DB0D_12</vt:lpwstr>
  </property>
</Properties>
</file>