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F2EB5">
      <w:pPr>
        <w:spacing w:line="360" w:lineRule="auto"/>
        <w:jc w:val="center"/>
        <w:rPr>
          <w:rFonts w:hint="eastAsia" w:ascii="仿宋" w:hAnsi="仿宋" w:eastAsia="仿宋" w:cs="宋体"/>
          <w:color w:val="auto"/>
          <w:sz w:val="44"/>
          <w:szCs w:val="44"/>
          <w:u w:val="single"/>
          <w:lang w:val="en-US" w:eastAsia="zh-CN"/>
        </w:rPr>
      </w:pPr>
    </w:p>
    <w:p w14:paraId="146EF380">
      <w:pPr>
        <w:spacing w:line="360" w:lineRule="auto"/>
        <w:jc w:val="center"/>
        <w:rPr>
          <w:rFonts w:hint="eastAsia" w:ascii="仿宋" w:hAnsi="仿宋" w:eastAsia="仿宋" w:cs="宋体"/>
          <w:color w:val="auto"/>
          <w:sz w:val="44"/>
          <w:szCs w:val="44"/>
          <w:u w:val="single"/>
          <w:lang w:val="en-US" w:eastAsia="zh-CN"/>
        </w:rPr>
      </w:pPr>
    </w:p>
    <w:p w14:paraId="553B3A77">
      <w:pPr>
        <w:spacing w:line="360" w:lineRule="auto"/>
        <w:jc w:val="center"/>
        <w:rPr>
          <w:rFonts w:ascii="仿宋" w:hAnsi="仿宋" w:eastAsia="仿宋" w:cs="宋体"/>
          <w:color w:val="auto"/>
          <w:sz w:val="44"/>
          <w:szCs w:val="44"/>
        </w:rPr>
      </w:pPr>
      <w:r>
        <w:rPr>
          <w:rFonts w:hint="eastAsia" w:ascii="仿宋" w:hAnsi="仿宋" w:eastAsia="仿宋" w:cs="宋体"/>
          <w:color w:val="auto"/>
          <w:sz w:val="44"/>
          <w:szCs w:val="44"/>
          <w:u w:val="single"/>
          <w:lang w:val="en-US" w:eastAsia="zh-CN"/>
        </w:rPr>
        <w:t xml:space="preserve">                    </w:t>
      </w:r>
      <w:r>
        <w:rPr>
          <w:rFonts w:hint="eastAsia" w:ascii="仿宋" w:hAnsi="仿宋" w:eastAsia="仿宋" w:cs="宋体"/>
          <w:color w:val="auto"/>
          <w:sz w:val="44"/>
          <w:szCs w:val="44"/>
          <w:u w:val="single"/>
        </w:rPr>
        <w:t>服务项目</w:t>
      </w:r>
    </w:p>
    <w:p w14:paraId="1ED85524">
      <w:pPr>
        <w:spacing w:line="360" w:lineRule="auto"/>
        <w:jc w:val="center"/>
        <w:rPr>
          <w:rFonts w:ascii="仿宋" w:hAnsi="仿宋" w:eastAsia="仿宋" w:cs="宋体"/>
          <w:color w:val="auto"/>
          <w:sz w:val="44"/>
          <w:szCs w:val="44"/>
        </w:rPr>
      </w:pPr>
    </w:p>
    <w:p w14:paraId="352EC9B0">
      <w:pPr>
        <w:spacing w:line="360" w:lineRule="auto"/>
        <w:jc w:val="center"/>
        <w:rPr>
          <w:rFonts w:ascii="仿宋" w:hAnsi="仿宋" w:eastAsia="仿宋" w:cs="宋体"/>
          <w:color w:val="auto"/>
          <w:sz w:val="44"/>
          <w:szCs w:val="44"/>
        </w:rPr>
      </w:pPr>
      <w:r>
        <w:rPr>
          <w:rFonts w:hint="eastAsia" w:ascii="仿宋" w:hAnsi="仿宋" w:eastAsia="仿宋" w:cs="宋体"/>
          <w:color w:val="auto"/>
          <w:sz w:val="44"/>
          <w:szCs w:val="44"/>
        </w:rPr>
        <w:t>合　　同</w:t>
      </w:r>
    </w:p>
    <w:p w14:paraId="0559D915">
      <w:pPr>
        <w:spacing w:line="360" w:lineRule="auto"/>
        <w:jc w:val="center"/>
        <w:rPr>
          <w:rFonts w:ascii="仿宋" w:hAnsi="仿宋" w:eastAsia="仿宋" w:cs="宋体"/>
          <w:color w:val="auto"/>
          <w:sz w:val="44"/>
          <w:szCs w:val="44"/>
        </w:rPr>
      </w:pPr>
    </w:p>
    <w:p w14:paraId="2D465C71">
      <w:pPr>
        <w:pStyle w:val="3"/>
        <w:ind w:left="1470" w:right="1470"/>
        <w:rPr>
          <w:rFonts w:ascii="仿宋" w:hAnsi="仿宋" w:eastAsia="仿宋"/>
          <w:color w:val="auto"/>
        </w:rPr>
      </w:pPr>
    </w:p>
    <w:p w14:paraId="13BA8018">
      <w:pPr>
        <w:pStyle w:val="3"/>
        <w:ind w:left="1470" w:right="1470"/>
        <w:rPr>
          <w:rFonts w:ascii="仿宋" w:hAnsi="仿宋" w:eastAsia="仿宋"/>
          <w:color w:val="auto"/>
        </w:rPr>
      </w:pPr>
    </w:p>
    <w:p w14:paraId="77E5210C">
      <w:pPr>
        <w:pStyle w:val="3"/>
        <w:ind w:left="1470" w:right="1470"/>
        <w:rPr>
          <w:rFonts w:ascii="仿宋" w:hAnsi="仿宋" w:eastAsia="仿宋"/>
          <w:color w:val="auto"/>
        </w:rPr>
      </w:pPr>
    </w:p>
    <w:p w14:paraId="6F57C20F">
      <w:pPr>
        <w:pStyle w:val="3"/>
        <w:ind w:right="1470"/>
        <w:rPr>
          <w:rFonts w:ascii="仿宋" w:hAnsi="仿宋" w:eastAsia="仿宋"/>
          <w:color w:val="auto"/>
        </w:rPr>
      </w:pPr>
    </w:p>
    <w:p w14:paraId="79755ACD">
      <w:pPr>
        <w:pStyle w:val="3"/>
        <w:ind w:left="1470" w:right="1470"/>
        <w:rPr>
          <w:rFonts w:ascii="仿宋" w:hAnsi="仿宋" w:eastAsia="仿宋"/>
          <w:color w:val="auto"/>
        </w:rPr>
      </w:pPr>
    </w:p>
    <w:p w14:paraId="276BEDCC">
      <w:pPr>
        <w:spacing w:line="360" w:lineRule="auto"/>
        <w:ind w:left="420" w:leftChars="200"/>
        <w:rPr>
          <w:sz w:val="32"/>
          <w:szCs w:val="32"/>
        </w:rPr>
      </w:pPr>
    </w:p>
    <w:p w14:paraId="22949E20">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0C1573CC">
      <w:pPr>
        <w:spacing w:line="360" w:lineRule="auto"/>
        <w:ind w:left="420" w:leftChars="200"/>
        <w:rPr>
          <w:rFonts w:hint="default" w:eastAsia="宋体"/>
          <w:sz w:val="32"/>
          <w:szCs w:val="32"/>
          <w:lang w:val="en-US" w:eastAsia="zh-CN"/>
        </w:rPr>
      </w:pPr>
      <w:r>
        <w:rPr>
          <w:rFonts w:hint="eastAsia"/>
          <w:sz w:val="32"/>
          <w:szCs w:val="32"/>
        </w:rPr>
        <w:t>甲    方：</w:t>
      </w:r>
      <w:r>
        <w:rPr>
          <w:rFonts w:hint="eastAsia"/>
          <w:sz w:val="32"/>
          <w:szCs w:val="32"/>
          <w:u w:val="single"/>
        </w:rPr>
        <w:t xml:space="preserve"> </w:t>
      </w:r>
      <w:r>
        <w:rPr>
          <w:rFonts w:hint="eastAsia"/>
          <w:sz w:val="32"/>
          <w:szCs w:val="32"/>
          <w:u w:val="single"/>
          <w:lang w:val="en-US" w:eastAsia="zh-CN"/>
        </w:rPr>
        <w:t>陕西省医疗保障技术服务中心</w:t>
      </w:r>
      <w:r>
        <w:rPr>
          <w:rFonts w:hint="eastAsia"/>
          <w:sz w:val="32"/>
          <w:szCs w:val="32"/>
          <w:u w:val="single"/>
        </w:rPr>
        <w:t xml:space="preserve"> </w:t>
      </w:r>
      <w:r>
        <w:rPr>
          <w:rFonts w:hint="eastAsia"/>
          <w:sz w:val="32"/>
          <w:szCs w:val="32"/>
          <w:u w:val="single"/>
          <w:lang w:eastAsia="zh-CN"/>
        </w:rPr>
        <w:t>（</w:t>
      </w:r>
      <w:r>
        <w:rPr>
          <w:rFonts w:hint="eastAsia"/>
          <w:sz w:val="32"/>
          <w:szCs w:val="32"/>
          <w:u w:val="single"/>
          <w:lang w:val="en-US" w:eastAsia="zh-CN"/>
        </w:rPr>
        <w:t>采购人名称）</w:t>
      </w:r>
    </w:p>
    <w:p w14:paraId="20CEDAA0">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29300D96">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F566FC6">
      <w:pPr>
        <w:spacing w:line="360" w:lineRule="auto"/>
        <w:ind w:firstLine="0" w:firstLineChars="0"/>
        <w:jc w:val="left"/>
        <w:rPr>
          <w:rFonts w:hint="eastAsia" w:ascii="仿宋" w:hAnsi="仿宋" w:eastAsia="仿宋" w:cs="宋体"/>
          <w:color w:val="auto"/>
          <w:sz w:val="30"/>
          <w:szCs w:val="30"/>
          <w:lang w:val="en-US" w:eastAsia="zh-CN"/>
        </w:rPr>
      </w:pPr>
    </w:p>
    <w:p w14:paraId="2E321C4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根据《中华人民共和国政府采购法》、《中华人民共和国民法典》等有关法律法规规定，_</w:t>
      </w:r>
      <w:r>
        <w:rPr>
          <w:rFonts w:hint="eastAsia" w:ascii="仿宋" w:hAnsi="仿宋" w:eastAsia="仿宋" w:cs="宋体"/>
          <w:color w:val="auto"/>
          <w:sz w:val="24"/>
          <w:u w:val="single"/>
        </w:rPr>
        <w:t>陕西省医疗保障</w:t>
      </w:r>
      <w:r>
        <w:rPr>
          <w:rFonts w:hint="eastAsia" w:ascii="仿宋" w:hAnsi="仿宋" w:eastAsia="仿宋" w:cs="宋体"/>
          <w:color w:val="auto"/>
          <w:sz w:val="24"/>
          <w:u w:val="single"/>
          <w:lang w:val="en-US" w:eastAsia="zh-CN"/>
        </w:rPr>
        <w:t>技术服务中心</w:t>
      </w:r>
      <w:r>
        <w:rPr>
          <w:rFonts w:hint="eastAsia" w:ascii="仿宋" w:hAnsi="仿宋" w:eastAsia="仿宋" w:cs="宋体"/>
          <w:color w:val="auto"/>
          <w:sz w:val="24"/>
        </w:rPr>
        <w:t>_(采购人名称)(以下简称：“甲方”)通过_</w:t>
      </w:r>
      <w:r>
        <w:rPr>
          <w:rFonts w:ascii="仿宋" w:hAnsi="仿宋" w:eastAsia="仿宋" w:cs="宋体"/>
          <w:color w:val="auto"/>
          <w:sz w:val="24"/>
          <w:u w:val="single"/>
        </w:rPr>
        <w:t xml:space="preserve">          </w:t>
      </w:r>
      <w:r>
        <w:rPr>
          <w:rFonts w:hint="eastAsia" w:ascii="仿宋" w:hAnsi="仿宋" w:eastAsia="仿宋" w:cs="宋体"/>
          <w:color w:val="auto"/>
          <w:sz w:val="24"/>
        </w:rPr>
        <w:t>_采购(采购方式)确定___</w:t>
      </w:r>
      <w:r>
        <w:rPr>
          <w:rFonts w:ascii="仿宋" w:hAnsi="仿宋" w:eastAsia="仿宋" w:cs="宋体"/>
          <w:color w:val="auto"/>
          <w:sz w:val="24"/>
          <w:u w:val="single"/>
        </w:rPr>
        <w:t xml:space="preserve">         </w:t>
      </w:r>
      <w:r>
        <w:rPr>
          <w:rFonts w:hint="eastAsia" w:ascii="仿宋" w:hAnsi="仿宋" w:eastAsia="仿宋" w:cs="宋体"/>
          <w:color w:val="auto"/>
          <w:sz w:val="24"/>
          <w:u w:val="single"/>
        </w:rPr>
        <w:t>_</w:t>
      </w:r>
      <w:r>
        <w:rPr>
          <w:rFonts w:hint="eastAsia" w:ascii="仿宋" w:hAnsi="仿宋" w:eastAsia="仿宋" w:cs="宋体"/>
          <w:color w:val="auto"/>
          <w:sz w:val="24"/>
        </w:rPr>
        <w:t>__(中标人名称)(以下简称：“乙方”)为</w:t>
      </w:r>
      <w:r>
        <w:rPr>
          <w:rFonts w:hint="eastAsia" w:ascii="仿宋" w:hAnsi="仿宋" w:eastAsia="仿宋" w:cs="宋体"/>
          <w:color w:val="auto"/>
          <w:sz w:val="24"/>
          <w:u w:val="single"/>
          <w:lang w:val="en-US" w:eastAsia="zh-CN"/>
        </w:rPr>
        <w:t xml:space="preserve">                                          </w:t>
      </w:r>
      <w:r>
        <w:rPr>
          <w:rFonts w:hint="eastAsia" w:ascii="仿宋" w:hAnsi="仿宋" w:eastAsia="仿宋" w:cs="宋体"/>
          <w:color w:val="auto"/>
          <w:sz w:val="24"/>
        </w:rPr>
        <w:t>(项目名称)的中标人。甲乙双方同意签署《</w:t>
      </w:r>
      <w:r>
        <w:rPr>
          <w:rFonts w:hint="eastAsia" w:ascii="仿宋" w:hAnsi="仿宋" w:eastAsia="仿宋" w:cs="宋体"/>
          <w:color w:val="auto"/>
          <w:sz w:val="24"/>
          <w:u w:val="single"/>
        </w:rPr>
        <w:t>陕西省医疗保障信息平台</w:t>
      </w:r>
      <w:r>
        <w:rPr>
          <w:rFonts w:hint="eastAsia" w:ascii="仿宋" w:hAnsi="仿宋" w:eastAsia="仿宋" w:cs="宋体"/>
          <w:color w:val="auto"/>
          <w:sz w:val="24"/>
          <w:u w:val="single"/>
          <w:lang w:val="en-US" w:eastAsia="zh-CN"/>
        </w:rPr>
        <w:t xml:space="preserve">                </w:t>
      </w:r>
      <w:r>
        <w:rPr>
          <w:rFonts w:hint="eastAsia" w:ascii="仿宋" w:hAnsi="仿宋" w:eastAsia="仿宋" w:cs="宋体"/>
          <w:color w:val="auto"/>
          <w:sz w:val="24"/>
          <w:u w:val="single"/>
        </w:rPr>
        <w:t>服务项目</w:t>
      </w:r>
      <w:r>
        <w:rPr>
          <w:rFonts w:hint="eastAsia" w:ascii="仿宋" w:hAnsi="仿宋" w:eastAsia="仿宋" w:cs="宋体"/>
          <w:color w:val="auto"/>
          <w:sz w:val="24"/>
        </w:rPr>
        <w:t>(项目名称)合同》(合同编号：_</w:t>
      </w:r>
      <w:r>
        <w:rPr>
          <w:rFonts w:hint="eastAsia" w:ascii="仿宋" w:hAnsi="仿宋" w:eastAsia="仿宋" w:cs="宋体"/>
          <w:color w:val="auto"/>
          <w:sz w:val="24"/>
          <w:u w:val="single"/>
        </w:rPr>
        <w:t>_</w:t>
      </w:r>
      <w:r>
        <w:rPr>
          <w:rFonts w:ascii="仿宋" w:hAnsi="仿宋" w:eastAsia="仿宋" w:cs="宋体"/>
          <w:color w:val="auto"/>
          <w:sz w:val="24"/>
          <w:u w:val="single"/>
        </w:rPr>
        <w:t xml:space="preserve">  </w:t>
      </w:r>
      <w:r>
        <w:rPr>
          <w:rFonts w:hint="eastAsia" w:ascii="仿宋" w:hAnsi="仿宋" w:eastAsia="仿宋" w:cs="宋体"/>
          <w:color w:val="auto"/>
          <w:sz w:val="24"/>
          <w:u w:val="single"/>
        </w:rPr>
        <w:t>_</w:t>
      </w:r>
      <w:r>
        <w:rPr>
          <w:rFonts w:hint="eastAsia" w:ascii="仿宋" w:hAnsi="仿宋" w:eastAsia="仿宋" w:cs="宋体"/>
          <w:color w:val="auto"/>
          <w:sz w:val="24"/>
        </w:rPr>
        <w:t>___，以下简称：“合同”)。</w:t>
      </w:r>
    </w:p>
    <w:p w14:paraId="5DCB8D8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1.合同文件</w:t>
      </w:r>
    </w:p>
    <w:p w14:paraId="3C643B7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下列文件是构成本合同不可分割的部分</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如下述文件之间有任何抵触、矛盾或歧义，按以下顺序解释</w:t>
      </w:r>
      <w:r>
        <w:rPr>
          <w:rFonts w:hint="eastAsia" w:ascii="仿宋" w:hAnsi="仿宋" w:eastAsia="仿宋" w:cs="宋体"/>
          <w:color w:val="auto"/>
          <w:sz w:val="24"/>
        </w:rPr>
        <w:t>：</w:t>
      </w:r>
    </w:p>
    <w:p w14:paraId="6775D54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(1)合同条款</w:t>
      </w:r>
      <w:r>
        <w:rPr>
          <w:rFonts w:hint="eastAsia" w:ascii="仿宋" w:hAnsi="仿宋" w:eastAsia="仿宋" w:cs="宋体"/>
          <w:color w:val="auto"/>
          <w:sz w:val="24"/>
          <w:lang w:val="en-US" w:eastAsia="zh-CN"/>
        </w:rPr>
        <w:t>及变更、补充协议</w:t>
      </w:r>
      <w:r>
        <w:rPr>
          <w:rFonts w:hint="eastAsia" w:ascii="仿宋" w:hAnsi="仿宋" w:eastAsia="仿宋" w:cs="宋体"/>
          <w:color w:val="auto"/>
          <w:sz w:val="24"/>
        </w:rPr>
        <w:t>；</w:t>
      </w:r>
    </w:p>
    <w:p w14:paraId="1322350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(2)中标</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成交）</w:t>
      </w:r>
      <w:r>
        <w:rPr>
          <w:rFonts w:hint="eastAsia" w:ascii="仿宋" w:hAnsi="仿宋" w:eastAsia="仿宋" w:cs="宋体"/>
          <w:color w:val="auto"/>
          <w:sz w:val="24"/>
        </w:rPr>
        <w:t>通知书；</w:t>
      </w:r>
    </w:p>
    <w:p w14:paraId="435569E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w:t>
      </w:r>
      <w:r>
        <w:rPr>
          <w:rFonts w:hint="eastAsia" w:ascii="仿宋" w:hAnsi="仿宋" w:eastAsia="仿宋" w:cs="宋体"/>
          <w:color w:val="auto"/>
          <w:sz w:val="24"/>
          <w:lang w:val="en-US" w:eastAsia="zh-CN"/>
        </w:rPr>
        <w:t>投标（</w:t>
      </w:r>
      <w:r>
        <w:rPr>
          <w:rFonts w:hint="eastAsia" w:ascii="仿宋" w:hAnsi="仿宋" w:eastAsia="仿宋" w:cs="宋体"/>
          <w:color w:val="auto"/>
          <w:sz w:val="24"/>
        </w:rPr>
        <w:t>响应</w:t>
      </w:r>
      <w:r>
        <w:rPr>
          <w:rFonts w:hint="eastAsia" w:ascii="仿宋" w:hAnsi="仿宋" w:eastAsia="仿宋" w:cs="宋体"/>
          <w:color w:val="auto"/>
          <w:sz w:val="24"/>
          <w:lang w:eastAsia="zh-CN"/>
        </w:rPr>
        <w:t>）</w:t>
      </w:r>
      <w:r>
        <w:rPr>
          <w:rFonts w:hint="eastAsia" w:ascii="仿宋" w:hAnsi="仿宋" w:eastAsia="仿宋" w:cs="宋体"/>
          <w:color w:val="auto"/>
          <w:sz w:val="24"/>
        </w:rPr>
        <w:t>文件；</w:t>
      </w:r>
    </w:p>
    <w:p w14:paraId="4C7EBD8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(4)招标</w:t>
      </w:r>
      <w:r>
        <w:rPr>
          <w:rFonts w:hint="eastAsia" w:ascii="仿宋" w:hAnsi="仿宋" w:eastAsia="仿宋" w:cs="宋体"/>
          <w:color w:val="auto"/>
          <w:sz w:val="24"/>
          <w:lang w:val="en-US" w:eastAsia="zh-CN"/>
        </w:rPr>
        <w:t>/谈判</w:t>
      </w:r>
      <w:r>
        <w:rPr>
          <w:rFonts w:hint="eastAsia" w:ascii="仿宋" w:hAnsi="仿宋" w:eastAsia="仿宋" w:cs="宋体"/>
          <w:color w:val="auto"/>
          <w:sz w:val="24"/>
        </w:rPr>
        <w:t>文件；</w:t>
      </w:r>
    </w:p>
    <w:p w14:paraId="1431019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(5)其他。</w:t>
      </w:r>
    </w:p>
    <w:p w14:paraId="6D630E6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2.合同标的(根据实际情况填写)</w:t>
      </w:r>
    </w:p>
    <w:tbl>
      <w:tblPr>
        <w:tblStyle w:val="6"/>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792"/>
        <w:gridCol w:w="992"/>
        <w:gridCol w:w="887"/>
        <w:gridCol w:w="1007"/>
        <w:gridCol w:w="1134"/>
        <w:gridCol w:w="2397"/>
        <w:gridCol w:w="18"/>
      </w:tblGrid>
      <w:tr w14:paraId="6E67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0" w:type="dxa"/>
            <w:vAlign w:val="center"/>
          </w:tcPr>
          <w:p w14:paraId="4FCFDFD5">
            <w:pPr>
              <w:spacing w:line="360" w:lineRule="auto"/>
              <w:jc w:val="center"/>
              <w:rPr>
                <w:rFonts w:ascii="仿宋" w:hAnsi="仿宋" w:eastAsia="仿宋" w:cs="宋体"/>
                <w:color w:val="auto"/>
                <w:sz w:val="24"/>
              </w:rPr>
            </w:pPr>
            <w:r>
              <w:rPr>
                <w:rFonts w:hint="eastAsia" w:ascii="仿宋" w:hAnsi="仿宋" w:eastAsia="仿宋" w:cs="宋体"/>
                <w:color w:val="auto"/>
                <w:sz w:val="24"/>
              </w:rPr>
              <w:t>名称</w:t>
            </w:r>
          </w:p>
        </w:tc>
        <w:tc>
          <w:tcPr>
            <w:tcW w:w="792" w:type="dxa"/>
            <w:vAlign w:val="center"/>
          </w:tcPr>
          <w:p w14:paraId="6480CC41">
            <w:pPr>
              <w:spacing w:line="360" w:lineRule="auto"/>
              <w:jc w:val="center"/>
              <w:rPr>
                <w:rFonts w:ascii="仿宋" w:hAnsi="仿宋" w:eastAsia="仿宋" w:cs="宋体"/>
                <w:color w:val="auto"/>
                <w:sz w:val="24"/>
              </w:rPr>
            </w:pPr>
            <w:r>
              <w:rPr>
                <w:rFonts w:hint="eastAsia" w:ascii="仿宋" w:hAnsi="仿宋" w:eastAsia="仿宋" w:cs="宋体"/>
                <w:color w:val="auto"/>
                <w:sz w:val="24"/>
              </w:rPr>
              <w:t>服务内容</w:t>
            </w:r>
          </w:p>
        </w:tc>
        <w:tc>
          <w:tcPr>
            <w:tcW w:w="992" w:type="dxa"/>
            <w:vAlign w:val="center"/>
          </w:tcPr>
          <w:p w14:paraId="5A5BCCFC">
            <w:pPr>
              <w:spacing w:line="360" w:lineRule="auto"/>
              <w:jc w:val="center"/>
              <w:rPr>
                <w:rFonts w:ascii="仿宋" w:hAnsi="仿宋" w:eastAsia="仿宋" w:cs="宋体"/>
                <w:color w:val="auto"/>
                <w:sz w:val="24"/>
              </w:rPr>
            </w:pPr>
            <w:r>
              <w:rPr>
                <w:rFonts w:hint="eastAsia" w:ascii="仿宋" w:hAnsi="仿宋" w:eastAsia="仿宋" w:cs="宋体"/>
                <w:color w:val="auto"/>
                <w:sz w:val="24"/>
              </w:rPr>
              <w:t>数量</w:t>
            </w:r>
          </w:p>
        </w:tc>
        <w:tc>
          <w:tcPr>
            <w:tcW w:w="887" w:type="dxa"/>
            <w:vAlign w:val="center"/>
          </w:tcPr>
          <w:p w14:paraId="2FFB2DB3">
            <w:pPr>
              <w:spacing w:line="360" w:lineRule="auto"/>
              <w:jc w:val="center"/>
              <w:rPr>
                <w:rFonts w:ascii="仿宋" w:hAnsi="仿宋" w:eastAsia="仿宋" w:cs="宋体"/>
                <w:color w:val="auto"/>
                <w:sz w:val="24"/>
              </w:rPr>
            </w:pPr>
            <w:r>
              <w:rPr>
                <w:rFonts w:hint="eastAsia" w:ascii="仿宋" w:hAnsi="仿宋" w:eastAsia="仿宋" w:cs="宋体"/>
                <w:color w:val="auto"/>
                <w:sz w:val="24"/>
              </w:rPr>
              <w:t>单位</w:t>
            </w:r>
          </w:p>
        </w:tc>
        <w:tc>
          <w:tcPr>
            <w:tcW w:w="1007" w:type="dxa"/>
            <w:vAlign w:val="center"/>
          </w:tcPr>
          <w:p w14:paraId="77C68219">
            <w:pPr>
              <w:spacing w:line="360" w:lineRule="auto"/>
              <w:jc w:val="center"/>
              <w:rPr>
                <w:rFonts w:ascii="仿宋" w:hAnsi="仿宋" w:eastAsia="仿宋" w:cs="宋体"/>
                <w:color w:val="auto"/>
                <w:sz w:val="24"/>
              </w:rPr>
            </w:pPr>
            <w:r>
              <w:rPr>
                <w:rFonts w:hint="eastAsia" w:ascii="仿宋" w:hAnsi="仿宋" w:eastAsia="仿宋" w:cs="宋体"/>
                <w:color w:val="auto"/>
                <w:sz w:val="24"/>
              </w:rPr>
              <w:t>单价</w:t>
            </w:r>
          </w:p>
          <w:p w14:paraId="45FBA974">
            <w:pPr>
              <w:spacing w:line="360" w:lineRule="auto"/>
              <w:jc w:val="center"/>
              <w:rPr>
                <w:rFonts w:ascii="仿宋" w:hAnsi="仿宋" w:eastAsia="仿宋" w:cs="宋体"/>
                <w:color w:val="auto"/>
                <w:sz w:val="24"/>
              </w:rPr>
            </w:pPr>
            <w:r>
              <w:rPr>
                <w:rFonts w:hint="eastAsia" w:ascii="仿宋" w:hAnsi="仿宋" w:eastAsia="仿宋" w:cs="宋体"/>
                <w:color w:val="auto"/>
                <w:sz w:val="24"/>
              </w:rPr>
              <w:t>（元）</w:t>
            </w:r>
          </w:p>
        </w:tc>
        <w:tc>
          <w:tcPr>
            <w:tcW w:w="1134" w:type="dxa"/>
            <w:vAlign w:val="center"/>
          </w:tcPr>
          <w:p w14:paraId="0FEAE9E4">
            <w:pPr>
              <w:spacing w:line="360" w:lineRule="auto"/>
              <w:jc w:val="center"/>
              <w:rPr>
                <w:rFonts w:ascii="仿宋" w:hAnsi="仿宋" w:eastAsia="仿宋" w:cs="宋体"/>
                <w:color w:val="auto"/>
                <w:sz w:val="24"/>
              </w:rPr>
            </w:pPr>
            <w:r>
              <w:rPr>
                <w:rFonts w:hint="eastAsia" w:ascii="仿宋" w:hAnsi="仿宋" w:eastAsia="仿宋" w:cs="宋体"/>
                <w:color w:val="auto"/>
                <w:sz w:val="24"/>
              </w:rPr>
              <w:t>合计</w:t>
            </w:r>
          </w:p>
          <w:p w14:paraId="15EE1A92">
            <w:pPr>
              <w:spacing w:line="360" w:lineRule="auto"/>
              <w:jc w:val="center"/>
              <w:rPr>
                <w:rFonts w:ascii="仿宋" w:hAnsi="仿宋" w:eastAsia="仿宋" w:cs="宋体"/>
                <w:color w:val="auto"/>
                <w:sz w:val="24"/>
              </w:rPr>
            </w:pPr>
            <w:r>
              <w:rPr>
                <w:rFonts w:hint="eastAsia" w:ascii="仿宋" w:hAnsi="仿宋" w:eastAsia="仿宋" w:cs="宋体"/>
                <w:color w:val="auto"/>
                <w:sz w:val="24"/>
              </w:rPr>
              <w:t>（元）</w:t>
            </w:r>
          </w:p>
        </w:tc>
        <w:tc>
          <w:tcPr>
            <w:tcW w:w="2415" w:type="dxa"/>
            <w:gridSpan w:val="2"/>
            <w:vAlign w:val="center"/>
          </w:tcPr>
          <w:p w14:paraId="0EE288BC">
            <w:pPr>
              <w:spacing w:line="360" w:lineRule="auto"/>
              <w:jc w:val="center"/>
              <w:rPr>
                <w:rFonts w:ascii="仿宋" w:hAnsi="仿宋" w:eastAsia="仿宋" w:cs="宋体"/>
                <w:color w:val="auto"/>
                <w:sz w:val="24"/>
              </w:rPr>
            </w:pPr>
            <w:r>
              <w:rPr>
                <w:rFonts w:hint="eastAsia" w:ascii="仿宋" w:hAnsi="仿宋" w:eastAsia="仿宋" w:cs="宋体"/>
                <w:color w:val="auto"/>
                <w:sz w:val="24"/>
              </w:rPr>
              <w:t>具体服务承诺(包含但不限于服务内容、范围和基本要求)</w:t>
            </w:r>
          </w:p>
        </w:tc>
      </w:tr>
      <w:tr w14:paraId="2A76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48FF841D">
            <w:pPr>
              <w:spacing w:line="360" w:lineRule="auto"/>
              <w:ind w:firstLine="480" w:firstLineChars="200"/>
              <w:jc w:val="left"/>
              <w:rPr>
                <w:rFonts w:ascii="仿宋" w:hAnsi="仿宋" w:eastAsia="仿宋" w:cs="宋体"/>
                <w:color w:val="auto"/>
                <w:sz w:val="24"/>
              </w:rPr>
            </w:pPr>
          </w:p>
        </w:tc>
        <w:tc>
          <w:tcPr>
            <w:tcW w:w="792" w:type="dxa"/>
            <w:vAlign w:val="center"/>
          </w:tcPr>
          <w:p w14:paraId="3336866E">
            <w:pPr>
              <w:spacing w:line="360" w:lineRule="auto"/>
              <w:ind w:firstLine="480" w:firstLineChars="200"/>
              <w:jc w:val="left"/>
              <w:rPr>
                <w:rFonts w:ascii="仿宋" w:hAnsi="仿宋" w:eastAsia="仿宋" w:cs="宋体"/>
                <w:color w:val="auto"/>
                <w:sz w:val="24"/>
              </w:rPr>
            </w:pPr>
          </w:p>
        </w:tc>
        <w:tc>
          <w:tcPr>
            <w:tcW w:w="992" w:type="dxa"/>
            <w:vAlign w:val="center"/>
          </w:tcPr>
          <w:p w14:paraId="7991EFAC">
            <w:pPr>
              <w:spacing w:line="360" w:lineRule="auto"/>
              <w:ind w:firstLine="480" w:firstLineChars="200"/>
              <w:jc w:val="left"/>
              <w:rPr>
                <w:rFonts w:ascii="仿宋" w:hAnsi="仿宋" w:eastAsia="仿宋" w:cs="宋体"/>
                <w:color w:val="auto"/>
                <w:sz w:val="24"/>
              </w:rPr>
            </w:pPr>
          </w:p>
        </w:tc>
        <w:tc>
          <w:tcPr>
            <w:tcW w:w="887" w:type="dxa"/>
            <w:vAlign w:val="center"/>
          </w:tcPr>
          <w:p w14:paraId="48441346">
            <w:pPr>
              <w:spacing w:line="360" w:lineRule="auto"/>
              <w:ind w:firstLine="480" w:firstLineChars="200"/>
              <w:jc w:val="left"/>
              <w:rPr>
                <w:rFonts w:ascii="仿宋" w:hAnsi="仿宋" w:eastAsia="仿宋" w:cs="宋体"/>
                <w:color w:val="auto"/>
                <w:sz w:val="24"/>
              </w:rPr>
            </w:pPr>
          </w:p>
        </w:tc>
        <w:tc>
          <w:tcPr>
            <w:tcW w:w="1007" w:type="dxa"/>
            <w:vAlign w:val="center"/>
          </w:tcPr>
          <w:p w14:paraId="667A4057">
            <w:pPr>
              <w:spacing w:line="360" w:lineRule="auto"/>
              <w:ind w:firstLine="480" w:firstLineChars="200"/>
              <w:jc w:val="left"/>
              <w:rPr>
                <w:rFonts w:ascii="仿宋" w:hAnsi="仿宋" w:eastAsia="仿宋" w:cs="宋体"/>
                <w:color w:val="auto"/>
                <w:sz w:val="24"/>
              </w:rPr>
            </w:pPr>
          </w:p>
        </w:tc>
        <w:tc>
          <w:tcPr>
            <w:tcW w:w="1134" w:type="dxa"/>
            <w:vAlign w:val="center"/>
          </w:tcPr>
          <w:p w14:paraId="52F58B5F">
            <w:pPr>
              <w:spacing w:line="360" w:lineRule="auto"/>
              <w:ind w:firstLine="480" w:firstLineChars="200"/>
              <w:jc w:val="left"/>
              <w:rPr>
                <w:rFonts w:ascii="仿宋" w:hAnsi="仿宋" w:eastAsia="仿宋" w:cs="宋体"/>
                <w:color w:val="auto"/>
                <w:sz w:val="24"/>
              </w:rPr>
            </w:pPr>
          </w:p>
        </w:tc>
        <w:tc>
          <w:tcPr>
            <w:tcW w:w="2397" w:type="dxa"/>
            <w:vAlign w:val="center"/>
          </w:tcPr>
          <w:p w14:paraId="14014463">
            <w:pPr>
              <w:spacing w:line="360" w:lineRule="auto"/>
              <w:ind w:firstLine="480" w:firstLineChars="200"/>
              <w:jc w:val="left"/>
              <w:rPr>
                <w:rFonts w:ascii="仿宋" w:hAnsi="仿宋" w:eastAsia="仿宋" w:cs="宋体"/>
                <w:color w:val="auto"/>
                <w:sz w:val="24"/>
              </w:rPr>
            </w:pPr>
          </w:p>
        </w:tc>
      </w:tr>
      <w:tr w14:paraId="647F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6AF65E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w:t>
            </w:r>
          </w:p>
        </w:tc>
        <w:tc>
          <w:tcPr>
            <w:tcW w:w="792" w:type="dxa"/>
            <w:vAlign w:val="center"/>
          </w:tcPr>
          <w:p w14:paraId="1F30A5E4">
            <w:pPr>
              <w:spacing w:line="360" w:lineRule="auto"/>
              <w:ind w:firstLine="480" w:firstLineChars="200"/>
              <w:jc w:val="left"/>
              <w:rPr>
                <w:rFonts w:ascii="仿宋" w:hAnsi="仿宋" w:eastAsia="仿宋" w:cs="宋体"/>
                <w:color w:val="auto"/>
                <w:sz w:val="24"/>
              </w:rPr>
            </w:pPr>
          </w:p>
        </w:tc>
        <w:tc>
          <w:tcPr>
            <w:tcW w:w="992" w:type="dxa"/>
            <w:vAlign w:val="center"/>
          </w:tcPr>
          <w:p w14:paraId="50BFDBCD">
            <w:pPr>
              <w:spacing w:line="360" w:lineRule="auto"/>
              <w:ind w:firstLine="480" w:firstLineChars="200"/>
              <w:jc w:val="left"/>
              <w:rPr>
                <w:rFonts w:ascii="仿宋" w:hAnsi="仿宋" w:eastAsia="仿宋" w:cs="宋体"/>
                <w:color w:val="auto"/>
                <w:sz w:val="24"/>
              </w:rPr>
            </w:pPr>
          </w:p>
        </w:tc>
        <w:tc>
          <w:tcPr>
            <w:tcW w:w="887" w:type="dxa"/>
            <w:vAlign w:val="center"/>
          </w:tcPr>
          <w:p w14:paraId="5FF8F6F0">
            <w:pPr>
              <w:spacing w:line="360" w:lineRule="auto"/>
              <w:ind w:firstLine="480" w:firstLineChars="200"/>
              <w:jc w:val="left"/>
              <w:rPr>
                <w:rFonts w:ascii="仿宋" w:hAnsi="仿宋" w:eastAsia="仿宋" w:cs="宋体"/>
                <w:color w:val="auto"/>
                <w:sz w:val="24"/>
              </w:rPr>
            </w:pPr>
          </w:p>
        </w:tc>
        <w:tc>
          <w:tcPr>
            <w:tcW w:w="1007" w:type="dxa"/>
            <w:vAlign w:val="center"/>
          </w:tcPr>
          <w:p w14:paraId="6055ADE2">
            <w:pPr>
              <w:spacing w:line="360" w:lineRule="auto"/>
              <w:ind w:firstLine="480" w:firstLineChars="200"/>
              <w:jc w:val="left"/>
              <w:rPr>
                <w:rFonts w:ascii="仿宋" w:hAnsi="仿宋" w:eastAsia="仿宋" w:cs="宋体"/>
                <w:color w:val="auto"/>
                <w:sz w:val="24"/>
              </w:rPr>
            </w:pPr>
          </w:p>
        </w:tc>
        <w:tc>
          <w:tcPr>
            <w:tcW w:w="1134" w:type="dxa"/>
            <w:vAlign w:val="center"/>
          </w:tcPr>
          <w:p w14:paraId="503D9B22">
            <w:pPr>
              <w:spacing w:line="360" w:lineRule="auto"/>
              <w:ind w:firstLine="480" w:firstLineChars="200"/>
              <w:jc w:val="left"/>
              <w:rPr>
                <w:rFonts w:ascii="仿宋" w:hAnsi="仿宋" w:eastAsia="仿宋" w:cs="宋体"/>
                <w:color w:val="auto"/>
                <w:sz w:val="24"/>
              </w:rPr>
            </w:pPr>
          </w:p>
        </w:tc>
        <w:tc>
          <w:tcPr>
            <w:tcW w:w="2397" w:type="dxa"/>
            <w:vAlign w:val="center"/>
          </w:tcPr>
          <w:p w14:paraId="678462F1">
            <w:pPr>
              <w:spacing w:line="360" w:lineRule="auto"/>
              <w:ind w:firstLine="480" w:firstLineChars="200"/>
              <w:jc w:val="left"/>
              <w:rPr>
                <w:rFonts w:ascii="仿宋" w:hAnsi="仿宋" w:eastAsia="仿宋" w:cs="宋体"/>
                <w:color w:val="auto"/>
                <w:sz w:val="24"/>
              </w:rPr>
            </w:pPr>
          </w:p>
        </w:tc>
      </w:tr>
      <w:tr w14:paraId="1B29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74C384B7">
            <w:pPr>
              <w:spacing w:line="360" w:lineRule="auto"/>
              <w:ind w:firstLine="480" w:firstLineChars="200"/>
              <w:jc w:val="left"/>
              <w:rPr>
                <w:rFonts w:hint="eastAsia" w:ascii="仿宋" w:hAnsi="仿宋" w:eastAsia="仿宋" w:cs="宋体"/>
                <w:color w:val="auto"/>
                <w:sz w:val="24"/>
              </w:rPr>
            </w:pPr>
          </w:p>
        </w:tc>
        <w:tc>
          <w:tcPr>
            <w:tcW w:w="792" w:type="dxa"/>
            <w:vAlign w:val="center"/>
          </w:tcPr>
          <w:p w14:paraId="5DBF345F">
            <w:pPr>
              <w:spacing w:line="360" w:lineRule="auto"/>
              <w:ind w:firstLine="480" w:firstLineChars="200"/>
              <w:jc w:val="left"/>
              <w:rPr>
                <w:rFonts w:ascii="仿宋" w:hAnsi="仿宋" w:eastAsia="仿宋" w:cs="宋体"/>
                <w:color w:val="auto"/>
                <w:sz w:val="24"/>
              </w:rPr>
            </w:pPr>
          </w:p>
        </w:tc>
        <w:tc>
          <w:tcPr>
            <w:tcW w:w="992" w:type="dxa"/>
            <w:vAlign w:val="center"/>
          </w:tcPr>
          <w:p w14:paraId="48341D48">
            <w:pPr>
              <w:spacing w:line="360" w:lineRule="auto"/>
              <w:ind w:firstLine="480" w:firstLineChars="200"/>
              <w:jc w:val="left"/>
              <w:rPr>
                <w:rFonts w:ascii="仿宋" w:hAnsi="仿宋" w:eastAsia="仿宋" w:cs="宋体"/>
                <w:color w:val="auto"/>
                <w:sz w:val="24"/>
              </w:rPr>
            </w:pPr>
          </w:p>
        </w:tc>
        <w:tc>
          <w:tcPr>
            <w:tcW w:w="887" w:type="dxa"/>
            <w:vAlign w:val="center"/>
          </w:tcPr>
          <w:p w14:paraId="7171E67B">
            <w:pPr>
              <w:spacing w:line="360" w:lineRule="auto"/>
              <w:ind w:firstLine="480" w:firstLineChars="200"/>
              <w:jc w:val="left"/>
              <w:rPr>
                <w:rFonts w:ascii="仿宋" w:hAnsi="仿宋" w:eastAsia="仿宋" w:cs="宋体"/>
                <w:color w:val="auto"/>
                <w:sz w:val="24"/>
              </w:rPr>
            </w:pPr>
          </w:p>
        </w:tc>
        <w:tc>
          <w:tcPr>
            <w:tcW w:w="1007" w:type="dxa"/>
            <w:vAlign w:val="center"/>
          </w:tcPr>
          <w:p w14:paraId="0C256417">
            <w:pPr>
              <w:spacing w:line="360" w:lineRule="auto"/>
              <w:ind w:firstLine="480" w:firstLineChars="200"/>
              <w:jc w:val="left"/>
              <w:rPr>
                <w:rFonts w:ascii="仿宋" w:hAnsi="仿宋" w:eastAsia="仿宋" w:cs="宋体"/>
                <w:color w:val="auto"/>
                <w:sz w:val="24"/>
              </w:rPr>
            </w:pPr>
          </w:p>
        </w:tc>
        <w:tc>
          <w:tcPr>
            <w:tcW w:w="1134" w:type="dxa"/>
            <w:vAlign w:val="center"/>
          </w:tcPr>
          <w:p w14:paraId="4EA18475">
            <w:pPr>
              <w:spacing w:line="360" w:lineRule="auto"/>
              <w:ind w:firstLine="480" w:firstLineChars="200"/>
              <w:jc w:val="left"/>
              <w:rPr>
                <w:rFonts w:ascii="仿宋" w:hAnsi="仿宋" w:eastAsia="仿宋" w:cs="宋体"/>
                <w:color w:val="auto"/>
                <w:sz w:val="24"/>
              </w:rPr>
            </w:pPr>
          </w:p>
        </w:tc>
        <w:tc>
          <w:tcPr>
            <w:tcW w:w="2397" w:type="dxa"/>
            <w:vAlign w:val="center"/>
          </w:tcPr>
          <w:p w14:paraId="1FB366F5">
            <w:pPr>
              <w:spacing w:line="360" w:lineRule="auto"/>
              <w:ind w:firstLine="480" w:firstLineChars="200"/>
              <w:jc w:val="left"/>
              <w:rPr>
                <w:rFonts w:ascii="仿宋" w:hAnsi="仿宋" w:eastAsia="仿宋" w:cs="宋体"/>
                <w:color w:val="auto"/>
                <w:sz w:val="24"/>
              </w:rPr>
            </w:pPr>
          </w:p>
        </w:tc>
      </w:tr>
    </w:tbl>
    <w:p w14:paraId="2DE931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3.合同金额及付款方式</w:t>
      </w:r>
    </w:p>
    <w:p w14:paraId="2B6A3E3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3.1合同金额</w:t>
      </w:r>
    </w:p>
    <w:p w14:paraId="2A7ABCE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本合同总金额为人民币___</w:t>
      </w:r>
      <w:r>
        <w:rPr>
          <w:rFonts w:ascii="仿宋" w:hAnsi="仿宋" w:eastAsia="仿宋" w:cs="宋体"/>
          <w:color w:val="auto"/>
          <w:sz w:val="24"/>
          <w:u w:val="single"/>
        </w:rPr>
        <w:t xml:space="preserve">   </w:t>
      </w:r>
      <w:r>
        <w:rPr>
          <w:rFonts w:hint="eastAsia" w:ascii="仿宋" w:hAnsi="仿宋" w:eastAsia="仿宋" w:cs="宋体"/>
          <w:color w:val="auto"/>
          <w:sz w:val="24"/>
        </w:rPr>
        <w:t>___元(￥___</w:t>
      </w:r>
      <w:r>
        <w:rPr>
          <w:rFonts w:ascii="仿宋" w:hAnsi="仿宋" w:eastAsia="仿宋" w:cs="宋体"/>
          <w:color w:val="auto"/>
          <w:sz w:val="24"/>
          <w:u w:val="single"/>
        </w:rPr>
        <w:t xml:space="preserve">     </w:t>
      </w:r>
      <w:r>
        <w:rPr>
          <w:rFonts w:hint="eastAsia" w:ascii="仿宋" w:hAnsi="仿宋" w:eastAsia="仿宋" w:cs="宋体"/>
          <w:color w:val="auto"/>
          <w:sz w:val="24"/>
        </w:rPr>
        <w:t>___)。本合同金额</w:t>
      </w:r>
      <w:r>
        <w:rPr>
          <w:rFonts w:hint="eastAsia" w:ascii="仿宋" w:hAnsi="仿宋" w:eastAsia="仿宋" w:cs="宋体"/>
          <w:color w:val="auto"/>
          <w:sz w:val="24"/>
          <w:lang w:val="en-US" w:eastAsia="zh-CN"/>
        </w:rPr>
        <w:t>为固定总价，</w:t>
      </w:r>
      <w:r>
        <w:rPr>
          <w:rFonts w:hint="eastAsia" w:ascii="仿宋" w:hAnsi="仿宋" w:eastAsia="仿宋" w:cs="宋体"/>
          <w:color w:val="auto"/>
          <w:sz w:val="24"/>
        </w:rPr>
        <w:t>已包含但不限于乙方为提供服务所产生的全部成本、预期利益、售后服务、税费和合同中规定乙方应承担的其他义务的费用等</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除此之外，甲方就本项目无需再向乙方支付其他任何费用</w:t>
      </w:r>
      <w:r>
        <w:rPr>
          <w:rFonts w:hint="eastAsia" w:ascii="仿宋" w:hAnsi="仿宋" w:eastAsia="仿宋" w:cs="宋体"/>
          <w:color w:val="auto"/>
          <w:sz w:val="24"/>
        </w:rPr>
        <w:t>。</w:t>
      </w:r>
    </w:p>
    <w:p w14:paraId="195272E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3.2付款方式</w:t>
      </w:r>
    </w:p>
    <w:p w14:paraId="662ECA6C">
      <w:pPr>
        <w:spacing w:line="360" w:lineRule="auto"/>
        <w:ind w:firstLine="480" w:firstLineChars="200"/>
        <w:jc w:val="left"/>
        <w:rPr>
          <w:rFonts w:hint="default" w:ascii="仿宋" w:hAnsi="仿宋" w:eastAsia="仿宋" w:cs="宋体"/>
          <w:color w:val="auto"/>
          <w:sz w:val="24"/>
          <w:u w:val="single"/>
          <w:lang w:val="en-US" w:eastAsia="zh-CN"/>
        </w:rPr>
      </w:pPr>
      <w:r>
        <w:rPr>
          <w:rFonts w:hint="eastAsia" w:ascii="仿宋" w:hAnsi="仿宋" w:eastAsia="仿宋" w:cs="宋体"/>
          <w:color w:val="auto"/>
          <w:sz w:val="24"/>
        </w:rPr>
        <w:t>（一）付款方式：</w:t>
      </w:r>
      <w:r>
        <w:rPr>
          <w:rFonts w:hint="eastAsia" w:ascii="仿宋" w:hAnsi="仿宋" w:eastAsia="仿宋" w:cs="宋体"/>
          <w:color w:val="auto"/>
          <w:sz w:val="24"/>
          <w:u w:val="single"/>
          <w:lang w:val="en-US" w:eastAsia="zh-CN"/>
        </w:rPr>
        <w:t xml:space="preserve">  分期付款  </w:t>
      </w:r>
    </w:p>
    <w:p w14:paraId="17A8C571">
      <w:pPr>
        <w:pStyle w:val="8"/>
        <w:ind w:firstLine="480" w:firstLineChars="200"/>
        <w:outlineLvl w:val="3"/>
        <w:rPr>
          <w:rFonts w:hint="eastAsia" w:ascii="仿宋" w:hAnsi="仿宋" w:eastAsia="仿宋" w:cs="宋体"/>
          <w:color w:val="auto"/>
          <w:sz w:val="24"/>
        </w:rPr>
      </w:pPr>
      <w:r>
        <w:rPr>
          <w:rFonts w:hint="eastAsia" w:ascii="仿宋" w:hAnsi="仿宋" w:eastAsia="仿宋" w:cs="宋体"/>
          <w:color w:val="auto"/>
          <w:sz w:val="24"/>
        </w:rPr>
        <w:t>（二）付款条件：</w:t>
      </w:r>
    </w:p>
    <w:p w14:paraId="323207E3">
      <w:pPr>
        <w:pStyle w:val="8"/>
        <w:ind w:firstLine="480" w:firstLineChars="200"/>
        <w:outlineLvl w:val="3"/>
        <w:rPr>
          <w:rFonts w:hint="eastAsia" w:ascii="仿宋" w:hAnsi="仿宋" w:eastAsia="仿宋" w:cs="宋体"/>
          <w:color w:val="auto"/>
          <w:sz w:val="24"/>
        </w:rPr>
      </w:pPr>
      <w:r>
        <w:rPr>
          <w:rFonts w:hint="eastAsia" w:ascii="仿宋" w:hAnsi="仿宋" w:eastAsia="仿宋" w:cs="宋体"/>
          <w:color w:val="auto"/>
          <w:sz w:val="24"/>
        </w:rPr>
        <w:t>采购包1：</w:t>
      </w:r>
    </w:p>
    <w:p w14:paraId="521802E6">
      <w:pPr>
        <w:pStyle w:val="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outlineLvl w:val="3"/>
        <w:rPr>
          <w:rFonts w:hint="eastAsia" w:ascii="仿宋" w:hAnsi="仿宋" w:eastAsia="仿宋" w:cs="宋体"/>
          <w:color w:val="auto"/>
          <w:sz w:val="24"/>
        </w:rPr>
      </w:pPr>
      <w:r>
        <w:rPr>
          <w:rFonts w:hint="eastAsia" w:ascii="仿宋" w:hAnsi="仿宋" w:eastAsia="仿宋" w:cs="宋体"/>
          <w:color w:val="auto"/>
          <w:sz w:val="24"/>
        </w:rPr>
        <w:t>付款条件说明1：签订合同后，达到付款条件起 30 日内，支付合同总金额的 45.00 %。</w:t>
      </w:r>
    </w:p>
    <w:p w14:paraId="63E24035">
      <w:pPr>
        <w:pStyle w:val="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outlineLvl w:val="3"/>
        <w:rPr>
          <w:rFonts w:hint="eastAsia" w:ascii="仿宋" w:hAnsi="仿宋" w:eastAsia="仿宋" w:cs="宋体"/>
          <w:color w:val="auto"/>
          <w:sz w:val="24"/>
        </w:rPr>
      </w:pPr>
      <w:r>
        <w:rPr>
          <w:rFonts w:hint="eastAsia" w:ascii="仿宋" w:hAnsi="仿宋" w:eastAsia="仿宋" w:cs="宋体"/>
          <w:color w:val="auto"/>
          <w:sz w:val="24"/>
        </w:rPr>
        <w:t>付款条件说明2： 签订合同后，服务满8个月未发生重大事故，并考核合格后，达到付款条件起 30 日内，支付合同总金额的 45.00 %。</w:t>
      </w:r>
    </w:p>
    <w:p w14:paraId="1D91653E">
      <w:pPr>
        <w:pStyle w:val="8"/>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outlineLvl w:val="3"/>
        <w:rPr>
          <w:rFonts w:hint="eastAsia" w:ascii="仿宋" w:hAnsi="仿宋" w:eastAsia="仿宋" w:cs="宋体"/>
          <w:color w:val="auto"/>
          <w:sz w:val="24"/>
        </w:rPr>
      </w:pPr>
      <w:r>
        <w:rPr>
          <w:rFonts w:hint="eastAsia" w:ascii="仿宋" w:hAnsi="仿宋" w:eastAsia="仿宋" w:cs="宋体"/>
          <w:color w:val="auto"/>
          <w:sz w:val="24"/>
        </w:rPr>
        <w:t>付款条件说明3： 签订合同后，服务满10个月</w:t>
      </w:r>
      <w:bookmarkStart w:id="0" w:name="_GoBack"/>
      <w:bookmarkEnd w:id="0"/>
      <w:r>
        <w:rPr>
          <w:rFonts w:hint="eastAsia" w:ascii="仿宋" w:hAnsi="仿宋" w:eastAsia="仿宋" w:cs="宋体"/>
          <w:color w:val="auto"/>
          <w:sz w:val="24"/>
        </w:rPr>
        <w:t>未发生重大事故，并考核合格后同时出具后续服务期的履约承诺书，经甲方确认合格后，达到付款条件起 30 日内，支付合同总金额的 10.00 %。</w:t>
      </w:r>
    </w:p>
    <w:p w14:paraId="1FCBC8C3">
      <w:pPr>
        <w:pStyle w:val="8"/>
        <w:ind w:firstLine="480" w:firstLineChars="200"/>
        <w:outlineLvl w:val="3"/>
        <w:rPr>
          <w:rFonts w:hint="eastAsia" w:ascii="仿宋" w:hAnsi="仿宋" w:eastAsia="仿宋" w:cs="宋体"/>
          <w:color w:val="auto"/>
          <w:sz w:val="24"/>
        </w:rPr>
      </w:pPr>
      <w:r>
        <w:rPr>
          <w:rFonts w:hint="eastAsia" w:ascii="仿宋" w:hAnsi="仿宋" w:eastAsia="仿宋" w:cs="宋体"/>
          <w:sz w:val="24"/>
          <w:lang w:val="en-US" w:eastAsia="zh-CN"/>
        </w:rPr>
        <w:t>若甲方向乙方付款前，乙方未履行发票开具义务或开具的发票不符合约定的，甲方有权拒绝支付相应款项且不承担任何责任。</w:t>
      </w:r>
    </w:p>
    <w:p w14:paraId="5142484F">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4.合同签订地</w:t>
      </w:r>
    </w:p>
    <w:p w14:paraId="357ACB08">
      <w:pPr>
        <w:spacing w:line="360" w:lineRule="auto"/>
        <w:ind w:firstLine="720" w:firstLineChars="300"/>
        <w:jc w:val="left"/>
        <w:rPr>
          <w:rFonts w:ascii="仿宋" w:hAnsi="仿宋" w:eastAsia="仿宋" w:cs="宋体"/>
          <w:color w:val="auto"/>
          <w:sz w:val="24"/>
        </w:rPr>
      </w:pPr>
      <w:r>
        <w:rPr>
          <w:rFonts w:hint="eastAsia" w:ascii="仿宋" w:hAnsi="仿宋" w:eastAsia="仿宋" w:cs="宋体"/>
          <w:color w:val="auto"/>
          <w:sz w:val="24"/>
        </w:rPr>
        <w:t>根据实际情况填写</w:t>
      </w:r>
    </w:p>
    <w:p w14:paraId="5A4DC0A5">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5.合同生效</w:t>
      </w:r>
    </w:p>
    <w:p w14:paraId="09564D5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本合同一式肆份，甲方执贰份、乙方执贰份</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均具有同等法律效力</w:t>
      </w:r>
      <w:r>
        <w:rPr>
          <w:rFonts w:hint="eastAsia" w:ascii="仿宋" w:hAnsi="仿宋" w:eastAsia="仿宋" w:cs="宋体"/>
          <w:color w:val="auto"/>
          <w:sz w:val="24"/>
        </w:rPr>
        <w:t>。在甲、乙方签字盖章后生效，合同执行完毕自动失效（合同的服务承诺则长期有效）。</w:t>
      </w:r>
    </w:p>
    <w:tbl>
      <w:tblPr>
        <w:tblStyle w:val="6"/>
        <w:tblW w:w="8804" w:type="dxa"/>
        <w:tblInd w:w="93" w:type="dxa"/>
        <w:tblLayout w:type="fixed"/>
        <w:tblCellMar>
          <w:top w:w="0" w:type="dxa"/>
          <w:left w:w="108" w:type="dxa"/>
          <w:bottom w:w="0" w:type="dxa"/>
          <w:right w:w="108" w:type="dxa"/>
        </w:tblCellMar>
      </w:tblPr>
      <w:tblGrid>
        <w:gridCol w:w="4551"/>
        <w:gridCol w:w="4253"/>
      </w:tblGrid>
      <w:tr w14:paraId="2A3AE1B0">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F6A44C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甲  方</w:t>
            </w:r>
          </w:p>
        </w:tc>
        <w:tc>
          <w:tcPr>
            <w:tcW w:w="4253" w:type="dxa"/>
            <w:tcBorders>
              <w:top w:val="single" w:color="auto" w:sz="8" w:space="0"/>
              <w:left w:val="nil"/>
              <w:bottom w:val="single" w:color="auto" w:sz="8" w:space="0"/>
              <w:right w:val="single" w:color="auto" w:sz="8" w:space="0"/>
            </w:tcBorders>
            <w:vAlign w:val="center"/>
          </w:tcPr>
          <w:p w14:paraId="23135DDF">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  方</w:t>
            </w:r>
          </w:p>
        </w:tc>
      </w:tr>
      <w:tr w14:paraId="5594EFDD">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C9EDCB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（盖章）</w:t>
            </w:r>
          </w:p>
        </w:tc>
        <w:tc>
          <w:tcPr>
            <w:tcW w:w="4253" w:type="dxa"/>
            <w:tcBorders>
              <w:top w:val="nil"/>
              <w:left w:val="nil"/>
              <w:bottom w:val="nil"/>
              <w:right w:val="single" w:color="auto" w:sz="8" w:space="0"/>
            </w:tcBorders>
            <w:vAlign w:val="center"/>
          </w:tcPr>
          <w:p w14:paraId="2674F56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（盖章）</w:t>
            </w:r>
          </w:p>
        </w:tc>
      </w:tr>
      <w:tr w14:paraId="3A7AFCC9">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309AF21A">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799E5B14">
            <w:pPr>
              <w:spacing w:line="360" w:lineRule="auto"/>
              <w:ind w:firstLine="480" w:firstLineChars="200"/>
              <w:jc w:val="left"/>
              <w:rPr>
                <w:rFonts w:ascii="仿宋" w:hAnsi="仿宋" w:eastAsia="仿宋" w:cs="宋体"/>
                <w:color w:val="auto"/>
                <w:sz w:val="24"/>
              </w:rPr>
            </w:pPr>
          </w:p>
        </w:tc>
      </w:tr>
      <w:tr w14:paraId="22D7E96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36BB7E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地址：</w:t>
            </w:r>
          </w:p>
        </w:tc>
        <w:tc>
          <w:tcPr>
            <w:tcW w:w="4253" w:type="dxa"/>
            <w:tcBorders>
              <w:top w:val="nil"/>
              <w:left w:val="nil"/>
              <w:bottom w:val="single" w:color="auto" w:sz="8" w:space="0"/>
              <w:right w:val="single" w:color="auto" w:sz="8" w:space="0"/>
            </w:tcBorders>
            <w:vAlign w:val="center"/>
          </w:tcPr>
          <w:p w14:paraId="1BCDE7F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地址：</w:t>
            </w:r>
          </w:p>
        </w:tc>
      </w:tr>
      <w:tr w14:paraId="0272069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06571B0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邮编：</w:t>
            </w:r>
          </w:p>
        </w:tc>
        <w:tc>
          <w:tcPr>
            <w:tcW w:w="4253" w:type="dxa"/>
            <w:tcBorders>
              <w:top w:val="nil"/>
              <w:left w:val="nil"/>
              <w:bottom w:val="single" w:color="auto" w:sz="8" w:space="0"/>
              <w:right w:val="single" w:color="auto" w:sz="8" w:space="0"/>
            </w:tcBorders>
            <w:vAlign w:val="center"/>
          </w:tcPr>
          <w:p w14:paraId="7807163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邮编：</w:t>
            </w:r>
          </w:p>
        </w:tc>
      </w:tr>
      <w:tr w14:paraId="4FBAFF6F">
        <w:tblPrEx>
          <w:tblCellMar>
            <w:top w:w="0" w:type="dxa"/>
            <w:left w:w="108" w:type="dxa"/>
            <w:bottom w:w="0" w:type="dxa"/>
            <w:right w:w="108" w:type="dxa"/>
          </w:tblCellMar>
        </w:tblPrEx>
        <w:trPr>
          <w:trHeight w:val="1248" w:hRule="atLeast"/>
        </w:trPr>
        <w:tc>
          <w:tcPr>
            <w:tcW w:w="4551" w:type="dxa"/>
            <w:tcBorders>
              <w:top w:val="nil"/>
              <w:left w:val="single" w:color="auto" w:sz="8" w:space="0"/>
              <w:bottom w:val="single" w:color="000000" w:sz="8" w:space="0"/>
              <w:right w:val="single" w:color="auto" w:sz="8" w:space="0"/>
            </w:tcBorders>
            <w:vAlign w:val="center"/>
          </w:tcPr>
          <w:p w14:paraId="672A42F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法定代表人或</w:t>
            </w:r>
          </w:p>
          <w:p w14:paraId="705AFC7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被授权代表：</w:t>
            </w:r>
          </w:p>
          <w:p w14:paraId="3AD19ED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（签字）</w:t>
            </w:r>
          </w:p>
        </w:tc>
        <w:tc>
          <w:tcPr>
            <w:tcW w:w="4253" w:type="dxa"/>
            <w:tcBorders>
              <w:top w:val="single" w:color="auto" w:sz="8" w:space="0"/>
              <w:left w:val="nil"/>
              <w:bottom w:val="single" w:color="auto" w:sz="4" w:space="0"/>
              <w:right w:val="single" w:color="auto" w:sz="8" w:space="0"/>
            </w:tcBorders>
            <w:vAlign w:val="center"/>
          </w:tcPr>
          <w:p w14:paraId="36CB436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法定代表人或</w:t>
            </w:r>
          </w:p>
          <w:p w14:paraId="62BC22D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被授权代表：</w:t>
            </w:r>
          </w:p>
          <w:p w14:paraId="459B37E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（签字）</w:t>
            </w:r>
          </w:p>
        </w:tc>
      </w:tr>
      <w:tr w14:paraId="7C88629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0B4630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电话：</w:t>
            </w:r>
          </w:p>
        </w:tc>
        <w:tc>
          <w:tcPr>
            <w:tcW w:w="4253" w:type="dxa"/>
            <w:tcBorders>
              <w:top w:val="single" w:color="auto" w:sz="4" w:space="0"/>
              <w:left w:val="nil"/>
              <w:bottom w:val="single" w:color="auto" w:sz="8" w:space="0"/>
              <w:right w:val="single" w:color="auto" w:sz="8" w:space="0"/>
            </w:tcBorders>
            <w:vAlign w:val="center"/>
          </w:tcPr>
          <w:p w14:paraId="0C6F906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电话：</w:t>
            </w:r>
          </w:p>
        </w:tc>
      </w:tr>
      <w:tr w14:paraId="3DC8F9BD">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6A10096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传真：</w:t>
            </w:r>
          </w:p>
        </w:tc>
        <w:tc>
          <w:tcPr>
            <w:tcW w:w="4253" w:type="dxa"/>
            <w:tcBorders>
              <w:top w:val="nil"/>
              <w:left w:val="nil"/>
              <w:bottom w:val="single" w:color="auto" w:sz="8" w:space="0"/>
              <w:right w:val="single" w:color="auto" w:sz="8" w:space="0"/>
            </w:tcBorders>
            <w:vAlign w:val="center"/>
          </w:tcPr>
          <w:p w14:paraId="3DB73DA0">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传真：</w:t>
            </w:r>
          </w:p>
        </w:tc>
      </w:tr>
      <w:tr w14:paraId="0FA386D9">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1035E458">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525A203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开户银行：</w:t>
            </w:r>
          </w:p>
        </w:tc>
      </w:tr>
      <w:tr w14:paraId="336AE54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2848623">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443DBD6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账号:</w:t>
            </w:r>
          </w:p>
        </w:tc>
      </w:tr>
      <w:tr w14:paraId="2B7E761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C6A811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日期：     年   月   日</w:t>
            </w:r>
          </w:p>
        </w:tc>
        <w:tc>
          <w:tcPr>
            <w:tcW w:w="4253" w:type="dxa"/>
            <w:tcBorders>
              <w:top w:val="nil"/>
              <w:left w:val="nil"/>
              <w:bottom w:val="single" w:color="auto" w:sz="8" w:space="0"/>
              <w:right w:val="single" w:color="auto" w:sz="8" w:space="0"/>
            </w:tcBorders>
            <w:vAlign w:val="center"/>
          </w:tcPr>
          <w:p w14:paraId="47A3E9B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日期：     年   月   日</w:t>
            </w:r>
          </w:p>
        </w:tc>
      </w:tr>
    </w:tbl>
    <w:p w14:paraId="0EBC6BA8">
      <w:pPr>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一、合同条款</w:t>
      </w:r>
    </w:p>
    <w:p w14:paraId="7013EFE9">
      <w:pPr>
        <w:ind w:firstLine="480" w:firstLineChars="200"/>
        <w:jc w:val="left"/>
        <w:rPr>
          <w:rFonts w:ascii="仿宋" w:hAnsi="仿宋" w:eastAsia="仿宋" w:cs="宋体"/>
          <w:color w:val="auto"/>
          <w:sz w:val="24"/>
        </w:rPr>
      </w:pPr>
      <w:r>
        <w:rPr>
          <w:rFonts w:hint="eastAsia" w:ascii="仿宋" w:hAnsi="仿宋" w:eastAsia="仿宋" w:cs="宋体"/>
          <w:color w:val="auto"/>
          <w:sz w:val="24"/>
        </w:rPr>
        <w:t>合同条款前附表</w:t>
      </w:r>
    </w:p>
    <w:tbl>
      <w:tblPr>
        <w:tblStyle w:val="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A1C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2F12ED9">
            <w:pPr>
              <w:spacing w:line="360" w:lineRule="auto"/>
              <w:jc w:val="center"/>
              <w:rPr>
                <w:rFonts w:ascii="仿宋" w:hAnsi="仿宋" w:eastAsia="仿宋" w:cs="宋体"/>
                <w:color w:val="auto"/>
                <w:sz w:val="24"/>
              </w:rPr>
            </w:pPr>
            <w:r>
              <w:rPr>
                <w:rFonts w:hint="eastAsia" w:ascii="仿宋" w:hAnsi="仿宋" w:eastAsia="仿宋" w:cs="宋体"/>
                <w:color w:val="auto"/>
                <w:sz w:val="24"/>
              </w:rPr>
              <w:t>序号</w:t>
            </w:r>
          </w:p>
        </w:tc>
        <w:tc>
          <w:tcPr>
            <w:tcW w:w="8558" w:type="dxa"/>
            <w:vAlign w:val="center"/>
          </w:tcPr>
          <w:p w14:paraId="7279F28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内容</w:t>
            </w:r>
          </w:p>
        </w:tc>
      </w:tr>
      <w:tr w14:paraId="2E7E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068C505">
            <w:pPr>
              <w:spacing w:line="360" w:lineRule="auto"/>
              <w:jc w:val="center"/>
              <w:rPr>
                <w:rFonts w:ascii="仿宋" w:hAnsi="仿宋" w:eastAsia="仿宋" w:cs="宋体"/>
                <w:color w:val="auto"/>
                <w:sz w:val="24"/>
              </w:rPr>
            </w:pPr>
            <w:r>
              <w:rPr>
                <w:rFonts w:hint="eastAsia" w:ascii="仿宋" w:hAnsi="仿宋" w:eastAsia="仿宋" w:cs="宋体"/>
                <w:color w:val="auto"/>
                <w:sz w:val="24"/>
              </w:rPr>
              <w:t>1</w:t>
            </w:r>
          </w:p>
        </w:tc>
        <w:tc>
          <w:tcPr>
            <w:tcW w:w="8558" w:type="dxa"/>
            <w:vAlign w:val="center"/>
          </w:tcPr>
          <w:p w14:paraId="511DE06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合同名称：</w:t>
            </w:r>
          </w:p>
          <w:p w14:paraId="121AC8E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合同编号：</w:t>
            </w:r>
          </w:p>
        </w:tc>
      </w:tr>
      <w:tr w14:paraId="2DD9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70C4183B">
            <w:pPr>
              <w:spacing w:line="360" w:lineRule="auto"/>
              <w:jc w:val="center"/>
              <w:rPr>
                <w:rFonts w:ascii="仿宋" w:hAnsi="仿宋" w:eastAsia="仿宋" w:cs="宋体"/>
                <w:color w:val="auto"/>
                <w:sz w:val="24"/>
              </w:rPr>
            </w:pPr>
            <w:r>
              <w:rPr>
                <w:rFonts w:hint="eastAsia" w:ascii="仿宋" w:hAnsi="仿宋" w:eastAsia="仿宋" w:cs="宋体"/>
                <w:color w:val="auto"/>
                <w:sz w:val="24"/>
              </w:rPr>
              <w:t>2</w:t>
            </w:r>
          </w:p>
        </w:tc>
        <w:tc>
          <w:tcPr>
            <w:tcW w:w="8558" w:type="dxa"/>
            <w:vAlign w:val="center"/>
          </w:tcPr>
          <w:p w14:paraId="00E5926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甲方名称：</w:t>
            </w:r>
          </w:p>
        </w:tc>
      </w:tr>
      <w:tr w14:paraId="4E9E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0A5621F">
            <w:pPr>
              <w:spacing w:line="360" w:lineRule="auto"/>
              <w:ind w:firstLine="480" w:firstLineChars="200"/>
              <w:jc w:val="center"/>
              <w:rPr>
                <w:rFonts w:ascii="仿宋" w:hAnsi="仿宋" w:eastAsia="仿宋" w:cs="宋体"/>
                <w:color w:val="auto"/>
                <w:sz w:val="24"/>
              </w:rPr>
            </w:pPr>
          </w:p>
        </w:tc>
        <w:tc>
          <w:tcPr>
            <w:tcW w:w="8558" w:type="dxa"/>
            <w:vAlign w:val="center"/>
          </w:tcPr>
          <w:p w14:paraId="1AC9E7D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甲方地址：</w:t>
            </w:r>
          </w:p>
        </w:tc>
      </w:tr>
      <w:tr w14:paraId="5292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C3DADA7">
            <w:pPr>
              <w:spacing w:line="360" w:lineRule="auto"/>
              <w:ind w:firstLine="480" w:firstLineChars="200"/>
              <w:jc w:val="center"/>
              <w:rPr>
                <w:rFonts w:ascii="仿宋" w:hAnsi="仿宋" w:eastAsia="仿宋" w:cs="宋体"/>
                <w:color w:val="auto"/>
                <w:sz w:val="24"/>
              </w:rPr>
            </w:pPr>
          </w:p>
        </w:tc>
        <w:tc>
          <w:tcPr>
            <w:tcW w:w="8558" w:type="dxa"/>
            <w:vAlign w:val="center"/>
          </w:tcPr>
          <w:p w14:paraId="71542A0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甲方联系人：　　　　电话：</w:t>
            </w:r>
          </w:p>
        </w:tc>
      </w:tr>
      <w:tr w14:paraId="54DD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425161C3">
            <w:pPr>
              <w:spacing w:line="360" w:lineRule="auto"/>
              <w:jc w:val="center"/>
              <w:rPr>
                <w:rFonts w:ascii="仿宋" w:hAnsi="仿宋" w:eastAsia="仿宋" w:cs="宋体"/>
                <w:color w:val="auto"/>
                <w:sz w:val="24"/>
              </w:rPr>
            </w:pPr>
            <w:r>
              <w:rPr>
                <w:rFonts w:hint="eastAsia" w:ascii="仿宋" w:hAnsi="仿宋" w:eastAsia="仿宋" w:cs="宋体"/>
                <w:color w:val="auto"/>
                <w:sz w:val="24"/>
              </w:rPr>
              <w:t>3</w:t>
            </w:r>
          </w:p>
        </w:tc>
        <w:tc>
          <w:tcPr>
            <w:tcW w:w="8558" w:type="dxa"/>
            <w:vAlign w:val="center"/>
          </w:tcPr>
          <w:p w14:paraId="701955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乙方名称：</w:t>
            </w:r>
          </w:p>
        </w:tc>
      </w:tr>
      <w:tr w14:paraId="1C7A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2BCAA12">
            <w:pPr>
              <w:spacing w:line="360" w:lineRule="auto"/>
              <w:ind w:firstLine="480" w:firstLineChars="200"/>
              <w:jc w:val="center"/>
              <w:rPr>
                <w:rFonts w:ascii="仿宋" w:hAnsi="仿宋" w:eastAsia="仿宋" w:cs="宋体"/>
                <w:color w:val="auto"/>
                <w:sz w:val="24"/>
              </w:rPr>
            </w:pPr>
          </w:p>
        </w:tc>
        <w:tc>
          <w:tcPr>
            <w:tcW w:w="8558" w:type="dxa"/>
            <w:vAlign w:val="center"/>
          </w:tcPr>
          <w:p w14:paraId="762B992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乙方地址：</w:t>
            </w:r>
          </w:p>
        </w:tc>
      </w:tr>
      <w:tr w14:paraId="2722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5547261">
            <w:pPr>
              <w:spacing w:line="360" w:lineRule="auto"/>
              <w:ind w:firstLine="480" w:firstLineChars="200"/>
              <w:jc w:val="center"/>
              <w:rPr>
                <w:rFonts w:ascii="仿宋" w:hAnsi="仿宋" w:eastAsia="仿宋" w:cs="宋体"/>
                <w:color w:val="auto"/>
                <w:sz w:val="24"/>
              </w:rPr>
            </w:pPr>
          </w:p>
        </w:tc>
        <w:tc>
          <w:tcPr>
            <w:tcW w:w="8558" w:type="dxa"/>
            <w:vAlign w:val="center"/>
          </w:tcPr>
          <w:p w14:paraId="3691C8C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乙方联系人：　　　　电话：</w:t>
            </w:r>
          </w:p>
        </w:tc>
      </w:tr>
      <w:tr w14:paraId="3496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A9648C8">
            <w:pPr>
              <w:spacing w:line="360" w:lineRule="auto"/>
              <w:ind w:firstLine="480" w:firstLineChars="200"/>
              <w:jc w:val="center"/>
              <w:rPr>
                <w:rFonts w:ascii="仿宋" w:hAnsi="仿宋" w:eastAsia="仿宋" w:cs="宋体"/>
                <w:color w:val="auto"/>
                <w:sz w:val="24"/>
              </w:rPr>
            </w:pPr>
          </w:p>
        </w:tc>
        <w:tc>
          <w:tcPr>
            <w:tcW w:w="8558" w:type="dxa"/>
            <w:vAlign w:val="center"/>
          </w:tcPr>
          <w:p w14:paraId="4E65D27F">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乙方开户银行名称：</w:t>
            </w:r>
          </w:p>
          <w:p w14:paraId="4E5C17F6">
            <w:pPr>
              <w:pStyle w:val="9"/>
              <w:rPr>
                <w:rFonts w:hint="eastAsia" w:eastAsia="仿宋"/>
                <w:lang w:val="en-US" w:eastAsia="zh-CN"/>
              </w:rPr>
            </w:pPr>
            <w:r>
              <w:rPr>
                <w:rFonts w:hint="eastAsia" w:ascii="仿宋" w:hAnsi="仿宋" w:eastAsia="仿宋" w:cs="宋体"/>
                <w:color w:val="auto"/>
                <w:sz w:val="24"/>
                <w:lang w:val="en-US" w:eastAsia="zh-CN"/>
              </w:rPr>
              <w:t>户名：</w:t>
            </w:r>
          </w:p>
          <w:p w14:paraId="4999BBD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账号：</w:t>
            </w:r>
          </w:p>
        </w:tc>
      </w:tr>
      <w:tr w14:paraId="2745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5DA36A2">
            <w:pPr>
              <w:spacing w:line="360" w:lineRule="auto"/>
              <w:jc w:val="center"/>
              <w:rPr>
                <w:rFonts w:ascii="仿宋" w:hAnsi="仿宋" w:eastAsia="仿宋" w:cs="宋体"/>
                <w:color w:val="auto"/>
                <w:sz w:val="24"/>
              </w:rPr>
            </w:pPr>
            <w:r>
              <w:rPr>
                <w:rFonts w:hint="eastAsia" w:ascii="仿宋" w:hAnsi="仿宋" w:eastAsia="仿宋" w:cs="宋体"/>
                <w:color w:val="auto"/>
                <w:sz w:val="24"/>
              </w:rPr>
              <w:t>4</w:t>
            </w:r>
          </w:p>
        </w:tc>
        <w:tc>
          <w:tcPr>
            <w:tcW w:w="8558" w:type="dxa"/>
            <w:vAlign w:val="center"/>
          </w:tcPr>
          <w:p w14:paraId="3A6ED80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合同金额：</w:t>
            </w:r>
          </w:p>
        </w:tc>
      </w:tr>
      <w:tr w14:paraId="45BC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F50CA5B">
            <w:pPr>
              <w:spacing w:line="360" w:lineRule="auto"/>
              <w:jc w:val="center"/>
              <w:rPr>
                <w:rFonts w:ascii="仿宋" w:hAnsi="仿宋" w:eastAsia="仿宋" w:cs="宋体"/>
                <w:color w:val="auto"/>
                <w:sz w:val="24"/>
              </w:rPr>
            </w:pPr>
            <w:r>
              <w:rPr>
                <w:rFonts w:hint="eastAsia" w:ascii="仿宋" w:hAnsi="仿宋" w:eastAsia="仿宋" w:cs="宋体"/>
                <w:color w:val="auto"/>
                <w:sz w:val="24"/>
              </w:rPr>
              <w:t>5</w:t>
            </w:r>
          </w:p>
        </w:tc>
        <w:tc>
          <w:tcPr>
            <w:tcW w:w="8558" w:type="dxa"/>
            <w:vAlign w:val="center"/>
          </w:tcPr>
          <w:p w14:paraId="553A228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服务周期：</w:t>
            </w:r>
          </w:p>
          <w:p w14:paraId="1B8FA461">
            <w:pPr>
              <w:spacing w:line="360" w:lineRule="auto"/>
              <w:ind w:firstLine="480" w:firstLineChars="200"/>
              <w:jc w:val="left"/>
              <w:rPr>
                <w:rFonts w:ascii="仿宋" w:hAnsi="仿宋" w:eastAsia="仿宋" w:cs="宋体"/>
                <w:color w:val="auto"/>
              </w:rPr>
            </w:pPr>
            <w:r>
              <w:rPr>
                <w:rFonts w:hint="eastAsia" w:ascii="仿宋" w:hAnsi="仿宋" w:eastAsia="仿宋" w:cs="宋体"/>
                <w:color w:val="auto"/>
                <w:sz w:val="24"/>
              </w:rPr>
              <w:t>地点：</w:t>
            </w:r>
          </w:p>
        </w:tc>
      </w:tr>
      <w:tr w14:paraId="0458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2EB3ED2">
            <w:pPr>
              <w:spacing w:line="360" w:lineRule="auto"/>
              <w:jc w:val="center"/>
              <w:rPr>
                <w:rFonts w:ascii="仿宋" w:hAnsi="仿宋" w:eastAsia="仿宋" w:cs="宋体"/>
                <w:color w:val="auto"/>
                <w:sz w:val="24"/>
              </w:rPr>
            </w:pPr>
            <w:r>
              <w:rPr>
                <w:rFonts w:hint="eastAsia" w:ascii="仿宋" w:hAnsi="仿宋" w:eastAsia="仿宋" w:cs="宋体"/>
                <w:color w:val="auto"/>
                <w:sz w:val="24"/>
              </w:rPr>
              <w:t>6</w:t>
            </w:r>
          </w:p>
        </w:tc>
        <w:tc>
          <w:tcPr>
            <w:tcW w:w="8558" w:type="dxa"/>
            <w:vAlign w:val="center"/>
          </w:tcPr>
          <w:p w14:paraId="17A75D9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验收方式及标准：由陕西省医疗保障技术服务中心统一组织，</w:t>
            </w:r>
            <w:r>
              <w:rPr>
                <w:rFonts w:hint="eastAsia" w:ascii="仿宋" w:hAnsi="仿宋" w:eastAsia="仿宋" w:cs="宋体"/>
                <w:color w:val="auto"/>
                <w:sz w:val="24"/>
                <w:lang w:val="en-US" w:eastAsia="zh-CN"/>
              </w:rPr>
              <w:t>甲方按照国家、行业标准以及中标人提交的技术文件等作为验收标准，甲方</w:t>
            </w:r>
            <w:r>
              <w:rPr>
                <w:rFonts w:hint="eastAsia" w:ascii="仿宋" w:hAnsi="仿宋" w:eastAsia="仿宋" w:cs="宋体"/>
                <w:color w:val="auto"/>
                <w:sz w:val="24"/>
              </w:rPr>
              <w:t>与相关人员组成验收小组</w:t>
            </w:r>
            <w:r>
              <w:rPr>
                <w:rFonts w:hint="eastAsia" w:ascii="仿宋" w:hAnsi="仿宋" w:eastAsia="仿宋" w:cs="宋体"/>
                <w:color w:val="auto"/>
                <w:sz w:val="24"/>
                <w:lang w:val="en-US" w:eastAsia="zh-CN"/>
              </w:rPr>
              <w:t>明确验收时间、方式、程序和内容，根据招标文件、投标文件等文件材料的要求</w:t>
            </w:r>
            <w:r>
              <w:rPr>
                <w:rFonts w:hint="eastAsia" w:ascii="仿宋" w:hAnsi="仿宋" w:eastAsia="仿宋" w:cs="宋体"/>
                <w:color w:val="auto"/>
                <w:sz w:val="24"/>
              </w:rPr>
              <w:t>完成验收。双方根据最终验收情况，编写最终验收报告。</w:t>
            </w:r>
            <w:r>
              <w:rPr>
                <w:rFonts w:hint="eastAsia" w:ascii="仿宋" w:hAnsi="仿宋" w:eastAsia="仿宋" w:cs="宋体"/>
                <w:color w:val="auto"/>
                <w:sz w:val="24"/>
                <w:lang w:val="en-US" w:eastAsia="zh-CN"/>
              </w:rPr>
              <w:t>乙方</w:t>
            </w:r>
            <w:r>
              <w:rPr>
                <w:rFonts w:hint="eastAsia" w:ascii="仿宋" w:hAnsi="仿宋" w:eastAsia="仿宋" w:cs="宋体"/>
                <w:color w:val="auto"/>
                <w:sz w:val="24"/>
              </w:rPr>
              <w:t>应完成项目验收资料的准备</w:t>
            </w:r>
            <w:r>
              <w:rPr>
                <w:rFonts w:hint="eastAsia" w:ascii="仿宋" w:hAnsi="仿宋" w:eastAsia="仿宋" w:cs="宋体"/>
                <w:color w:val="auto"/>
                <w:sz w:val="24"/>
                <w:lang w:eastAsia="zh-CN"/>
              </w:rPr>
              <w:t>，应对提交的服务成果作出全面检查和整理，并列出清单，作为</w:t>
            </w:r>
            <w:r>
              <w:rPr>
                <w:rFonts w:hint="eastAsia" w:ascii="仿宋" w:hAnsi="仿宋" w:eastAsia="仿宋" w:cs="宋体"/>
                <w:color w:val="auto"/>
                <w:sz w:val="24"/>
                <w:lang w:val="en-US" w:eastAsia="zh-CN"/>
              </w:rPr>
              <w:t>甲方</w:t>
            </w:r>
            <w:r>
              <w:rPr>
                <w:rFonts w:hint="eastAsia" w:ascii="仿宋" w:hAnsi="仿宋" w:eastAsia="仿宋" w:cs="宋体"/>
                <w:color w:val="auto"/>
                <w:sz w:val="24"/>
                <w:lang w:eastAsia="zh-CN"/>
              </w:rPr>
              <w:t>验收和使用技术条件依据，清单应随提交的服务成果交给</w:t>
            </w:r>
            <w:r>
              <w:rPr>
                <w:rFonts w:hint="eastAsia" w:ascii="仿宋" w:hAnsi="仿宋" w:eastAsia="仿宋" w:cs="宋体"/>
                <w:color w:val="auto"/>
                <w:sz w:val="24"/>
                <w:lang w:val="en-US" w:eastAsia="zh-CN"/>
              </w:rPr>
              <w:t>甲方</w:t>
            </w:r>
            <w:r>
              <w:rPr>
                <w:rFonts w:hint="eastAsia" w:ascii="仿宋" w:hAnsi="仿宋" w:eastAsia="仿宋" w:cs="宋体"/>
                <w:color w:val="auto"/>
                <w:sz w:val="24"/>
              </w:rPr>
              <w:t>。</w:t>
            </w:r>
          </w:p>
          <w:p w14:paraId="48FE255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在服务过程中出现性能指标或功能上不符合标书和合同要求时，由</w:t>
            </w:r>
            <w:r>
              <w:rPr>
                <w:rFonts w:hint="eastAsia" w:ascii="仿宋" w:hAnsi="仿宋" w:eastAsia="仿宋" w:cs="宋体"/>
                <w:color w:val="auto"/>
                <w:sz w:val="24"/>
                <w:lang w:val="en-US" w:eastAsia="zh-CN"/>
              </w:rPr>
              <w:t>乙方</w:t>
            </w:r>
            <w:r>
              <w:rPr>
                <w:rFonts w:hint="eastAsia" w:ascii="仿宋" w:hAnsi="仿宋" w:eastAsia="仿宋" w:cs="宋体"/>
                <w:color w:val="auto"/>
                <w:sz w:val="24"/>
              </w:rPr>
              <w:t>负责</w:t>
            </w:r>
            <w:r>
              <w:rPr>
                <w:rFonts w:hint="eastAsia" w:ascii="仿宋" w:hAnsi="仿宋" w:eastAsia="仿宋" w:cs="宋体"/>
                <w:color w:val="auto"/>
                <w:sz w:val="24"/>
                <w:lang w:val="en-US" w:eastAsia="zh-CN"/>
              </w:rPr>
              <w:t>免费</w:t>
            </w:r>
            <w:r>
              <w:rPr>
                <w:rFonts w:hint="eastAsia" w:ascii="仿宋" w:hAnsi="仿宋" w:eastAsia="仿宋" w:cs="宋体"/>
                <w:color w:val="auto"/>
                <w:sz w:val="24"/>
              </w:rPr>
              <w:t>解决，</w:t>
            </w:r>
            <w:r>
              <w:rPr>
                <w:rFonts w:hint="eastAsia" w:ascii="仿宋" w:hAnsi="仿宋" w:eastAsia="仿宋" w:cs="宋体"/>
                <w:color w:val="auto"/>
                <w:sz w:val="24"/>
                <w:lang w:val="en-US" w:eastAsia="zh-CN"/>
              </w:rPr>
              <w:t>甲方</w:t>
            </w:r>
            <w:r>
              <w:rPr>
                <w:rFonts w:hint="eastAsia" w:ascii="仿宋" w:hAnsi="仿宋" w:eastAsia="仿宋" w:cs="宋体"/>
                <w:color w:val="auto"/>
                <w:sz w:val="24"/>
              </w:rPr>
              <w:t>有拒绝验收的权利并保留索赔权利</w:t>
            </w:r>
            <w:r>
              <w:rPr>
                <w:rFonts w:hint="eastAsia" w:ascii="仿宋" w:hAnsi="仿宋" w:eastAsia="仿宋" w:cs="宋体"/>
                <w:sz w:val="24"/>
                <w:lang w:eastAsia="zh-CN"/>
              </w:rPr>
              <w:t>，</w:t>
            </w:r>
            <w:r>
              <w:rPr>
                <w:rFonts w:hint="eastAsia" w:ascii="仿宋" w:hAnsi="仿宋" w:eastAsia="仿宋" w:cs="宋体"/>
                <w:sz w:val="24"/>
                <w:lang w:val="en-US" w:eastAsia="zh-CN"/>
              </w:rPr>
              <w:t>因此产生的逾期责任由乙方按照本合同约定承担</w:t>
            </w:r>
            <w:r>
              <w:rPr>
                <w:rFonts w:hint="eastAsia" w:ascii="仿宋" w:hAnsi="仿宋" w:eastAsia="仿宋" w:cs="宋体"/>
                <w:color w:val="auto"/>
                <w:sz w:val="24"/>
              </w:rPr>
              <w:t>。</w:t>
            </w:r>
          </w:p>
          <w:p w14:paraId="546C1FA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项目的实施过程中将产生大量的技术及管理文档，中标人应协助采购人，负责建立、维护、交接项目实施过程中产生的各类文档，确保项目文档的内容体现本项目的实施过程，并确保项目文档的完整性和准确性。</w:t>
            </w:r>
          </w:p>
        </w:tc>
      </w:tr>
      <w:tr w14:paraId="7930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DEE63D8">
            <w:pPr>
              <w:spacing w:line="360" w:lineRule="auto"/>
              <w:jc w:val="center"/>
              <w:rPr>
                <w:rFonts w:ascii="仿宋" w:hAnsi="仿宋" w:eastAsia="仿宋" w:cs="宋体"/>
                <w:color w:val="auto"/>
                <w:sz w:val="24"/>
              </w:rPr>
            </w:pPr>
            <w:r>
              <w:rPr>
                <w:rFonts w:hint="eastAsia" w:ascii="仿宋" w:hAnsi="仿宋" w:eastAsia="仿宋" w:cs="宋体"/>
                <w:color w:val="auto"/>
                <w:sz w:val="24"/>
              </w:rPr>
              <w:t>7</w:t>
            </w:r>
          </w:p>
        </w:tc>
        <w:tc>
          <w:tcPr>
            <w:tcW w:w="8558" w:type="dxa"/>
            <w:vAlign w:val="center"/>
          </w:tcPr>
          <w:p w14:paraId="5F24850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付款方式：详见上述3.2付款方式条款内容。</w:t>
            </w:r>
          </w:p>
        </w:tc>
      </w:tr>
      <w:tr w14:paraId="79AE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6FA7931">
            <w:pPr>
              <w:spacing w:line="360" w:lineRule="auto"/>
              <w:jc w:val="center"/>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8</w:t>
            </w:r>
          </w:p>
        </w:tc>
        <w:tc>
          <w:tcPr>
            <w:tcW w:w="8558" w:type="dxa"/>
            <w:vAlign w:val="center"/>
          </w:tcPr>
          <w:p w14:paraId="18EBBDA4">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履约担保：是否收取履约保证金：□是    □否</w:t>
            </w:r>
          </w:p>
          <w:p w14:paraId="26379658">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乙方应当以支票、汇票、本票或者金融机构、担保机构出具的保函等非现金形式提交履约保证金，提交形式:</w:t>
            </w:r>
            <w:r>
              <w:rPr>
                <w:rFonts w:hint="eastAsia" w:ascii="仿宋" w:hAnsi="仿宋" w:eastAsia="仿宋" w:cs="宋体"/>
                <w:color w:val="auto"/>
                <w:sz w:val="24"/>
                <w:lang w:eastAsia="zh-CN"/>
              </w:rPr>
              <w:t>（）</w:t>
            </w:r>
            <w:r>
              <w:rPr>
                <w:rFonts w:hint="eastAsia" w:ascii="仿宋" w:hAnsi="仿宋" w:eastAsia="仿宋" w:cs="宋体"/>
                <w:color w:val="auto"/>
                <w:sz w:val="24"/>
              </w:rPr>
              <w:t>，金额:人民币（大写）</w:t>
            </w:r>
            <w:r>
              <w:rPr>
                <w:rFonts w:hint="eastAsia" w:ascii="仿宋" w:hAnsi="仿宋" w:eastAsia="仿宋" w:cs="宋体"/>
                <w:color w:val="auto"/>
                <w:sz w:val="24"/>
                <w:lang w:eastAsia="zh-CN"/>
              </w:rPr>
              <w:t>（）</w:t>
            </w:r>
            <w:r>
              <w:rPr>
                <w:rFonts w:hint="eastAsia" w:ascii="仿宋" w:hAnsi="仿宋" w:eastAsia="仿宋" w:cs="宋体"/>
                <w:color w:val="auto"/>
                <w:sz w:val="24"/>
              </w:rPr>
              <w:t xml:space="preserve"> （￥）元（履约保证金不得超过政府采购合同金额的10%）。履约保证金用于补偿甲方因乙方不能履行或不能完全履行合同义务而蒙受的损失。</w:t>
            </w:r>
          </w:p>
          <w:p w14:paraId="0F26BE72">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594AC757">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甲方在项目通过验收后按照【政府采购合同专用条款】规定的时间内将履约保证金退还乙方。</w:t>
            </w:r>
          </w:p>
        </w:tc>
      </w:tr>
      <w:tr w14:paraId="39D7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2B72B82">
            <w:pPr>
              <w:spacing w:line="360" w:lineRule="auto"/>
              <w:jc w:val="center"/>
              <w:rPr>
                <w:rFonts w:ascii="仿宋" w:hAnsi="仿宋" w:eastAsia="仿宋" w:cs="宋体"/>
                <w:color w:val="auto"/>
                <w:sz w:val="24"/>
              </w:rPr>
            </w:pPr>
            <w:r>
              <w:rPr>
                <w:rFonts w:hint="eastAsia" w:ascii="仿宋" w:hAnsi="仿宋" w:eastAsia="仿宋" w:cs="宋体"/>
                <w:color w:val="auto"/>
                <w:sz w:val="24"/>
                <w:lang w:val="en-US" w:eastAsia="zh-CN"/>
              </w:rPr>
              <w:t>9</w:t>
            </w:r>
          </w:p>
        </w:tc>
        <w:tc>
          <w:tcPr>
            <w:tcW w:w="8558" w:type="dxa"/>
            <w:vAlign w:val="center"/>
          </w:tcPr>
          <w:p w14:paraId="1BCBF7A0">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□违约金约定：详见一、合同条款中的11.违约责任。</w:t>
            </w:r>
          </w:p>
          <w:p w14:paraId="0D31ED3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□损失赔偿约定：详见一、合同条款中的11.违约责任。</w:t>
            </w:r>
          </w:p>
        </w:tc>
      </w:tr>
      <w:tr w14:paraId="42AB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143B3A14">
            <w:pPr>
              <w:spacing w:line="360" w:lineRule="auto"/>
              <w:jc w:val="center"/>
              <w:rPr>
                <w:rFonts w:ascii="仿宋" w:hAnsi="仿宋" w:eastAsia="仿宋" w:cs="宋体"/>
                <w:color w:val="auto"/>
                <w:sz w:val="24"/>
              </w:rPr>
            </w:pPr>
            <w:r>
              <w:rPr>
                <w:rFonts w:hint="eastAsia" w:ascii="仿宋" w:hAnsi="仿宋" w:eastAsia="仿宋" w:cs="宋体"/>
                <w:color w:val="auto"/>
                <w:sz w:val="24"/>
                <w:lang w:val="en-US" w:eastAsia="zh-CN"/>
              </w:rPr>
              <w:t>10</w:t>
            </w:r>
          </w:p>
        </w:tc>
        <w:tc>
          <w:tcPr>
            <w:tcW w:w="8558" w:type="dxa"/>
            <w:vAlign w:val="center"/>
          </w:tcPr>
          <w:p w14:paraId="63A3158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误期赔偿费约定：如果乙方没有按照合同规定的时间提供服务，甲方有权从货款中扣除误期赔偿费而不影响合同项下的其他补救方法。赔偿费按每日加收合同金额的0.5%计收，</w:t>
            </w:r>
            <w:r>
              <w:rPr>
                <w:rFonts w:hint="eastAsia" w:ascii="仿宋" w:hAnsi="仿宋" w:eastAsia="仿宋" w:cs="仿宋"/>
                <w:b w:val="0"/>
                <w:bCs w:val="0"/>
                <w:color w:val="auto"/>
                <w:sz w:val="24"/>
              </w:rPr>
              <w:t>逾期交付超过30日，甲方有权决定是否继续履行合同，如甲方决定终止履行合同的，乙方向甲方支付合同总金额20%的违约金，并且赔偿甲方因此所遭受的损失</w:t>
            </w:r>
            <w:r>
              <w:rPr>
                <w:rFonts w:hint="eastAsia" w:ascii="仿宋" w:hAnsi="仿宋" w:eastAsia="仿宋" w:cs="仿宋"/>
                <w:b w:val="0"/>
                <w:bCs w:val="0"/>
                <w:color w:val="auto"/>
                <w:sz w:val="24"/>
                <w:lang w:eastAsia="zh-CN"/>
              </w:rPr>
              <w:t>，</w:t>
            </w:r>
            <w:r>
              <w:rPr>
                <w:rFonts w:hint="eastAsia" w:ascii="仿宋" w:hAnsi="仿宋" w:eastAsia="仿宋" w:cs="仿宋"/>
                <w:b w:val="0"/>
                <w:bCs w:val="0"/>
                <w:color w:val="auto"/>
                <w:sz w:val="24"/>
                <w:lang w:val="en-US" w:eastAsia="zh-CN"/>
              </w:rPr>
              <w:t>如果甲方决定继续履行合同的，赔偿费计</w:t>
            </w:r>
            <w:r>
              <w:rPr>
                <w:rFonts w:hint="eastAsia" w:ascii="仿宋" w:hAnsi="仿宋" w:eastAsia="仿宋" w:cs="宋体"/>
                <w:color w:val="auto"/>
                <w:sz w:val="24"/>
              </w:rPr>
              <w:t>直至提供服务为止。</w:t>
            </w:r>
          </w:p>
        </w:tc>
      </w:tr>
      <w:tr w14:paraId="47A1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561AC9C">
            <w:pPr>
              <w:spacing w:line="360" w:lineRule="auto"/>
              <w:jc w:val="center"/>
              <w:rPr>
                <w:rFonts w:ascii="仿宋" w:hAnsi="仿宋" w:eastAsia="仿宋" w:cs="宋体"/>
                <w:color w:val="auto"/>
                <w:sz w:val="24"/>
              </w:rPr>
            </w:pPr>
            <w:r>
              <w:rPr>
                <w:rFonts w:hint="eastAsia" w:ascii="仿宋" w:hAnsi="仿宋" w:eastAsia="仿宋" w:cs="宋体"/>
                <w:color w:val="auto"/>
                <w:sz w:val="24"/>
              </w:rPr>
              <w:t>1</w:t>
            </w:r>
            <w:r>
              <w:rPr>
                <w:rFonts w:hint="eastAsia" w:ascii="仿宋" w:hAnsi="仿宋" w:eastAsia="仿宋" w:cs="宋体"/>
                <w:color w:val="auto"/>
                <w:sz w:val="24"/>
                <w:lang w:val="en-US" w:eastAsia="zh-CN"/>
              </w:rPr>
              <w:t>1</w:t>
            </w:r>
          </w:p>
        </w:tc>
        <w:tc>
          <w:tcPr>
            <w:tcW w:w="8558" w:type="dxa"/>
            <w:vAlign w:val="center"/>
          </w:tcPr>
          <w:p w14:paraId="04BEB67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合同履行期限：自合同生效之日起至合同全部权利义务履行完毕之日止。</w:t>
            </w:r>
          </w:p>
        </w:tc>
      </w:tr>
      <w:tr w14:paraId="4F62F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728" w:type="dxa"/>
            <w:vAlign w:val="center"/>
          </w:tcPr>
          <w:p w14:paraId="0EEE6811">
            <w:pPr>
              <w:spacing w:line="360" w:lineRule="auto"/>
              <w:jc w:val="center"/>
              <w:rPr>
                <w:rFonts w:ascii="仿宋" w:hAnsi="仿宋" w:eastAsia="仿宋" w:cs="宋体"/>
                <w:color w:val="auto"/>
                <w:sz w:val="24"/>
              </w:rPr>
            </w:pPr>
            <w:r>
              <w:rPr>
                <w:rFonts w:hint="eastAsia" w:ascii="仿宋" w:hAnsi="仿宋" w:eastAsia="仿宋" w:cs="宋体"/>
                <w:color w:val="auto"/>
                <w:sz w:val="24"/>
              </w:rPr>
              <w:t>1</w:t>
            </w:r>
            <w:r>
              <w:rPr>
                <w:rFonts w:hint="eastAsia" w:ascii="仿宋" w:hAnsi="仿宋" w:eastAsia="仿宋" w:cs="宋体"/>
                <w:color w:val="auto"/>
                <w:sz w:val="24"/>
                <w:lang w:val="en-US" w:eastAsia="zh-CN"/>
              </w:rPr>
              <w:t>2</w:t>
            </w:r>
          </w:p>
        </w:tc>
        <w:tc>
          <w:tcPr>
            <w:tcW w:w="8558" w:type="dxa"/>
            <w:vAlign w:val="center"/>
          </w:tcPr>
          <w:p w14:paraId="45E78351">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合同纠纷的解决方式：</w:t>
            </w:r>
          </w:p>
          <w:p w14:paraId="2C8E9DF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首先通过双方协商解决，协商解决不成，向甲方所在地人民法院提起诉讼</w:t>
            </w:r>
          </w:p>
        </w:tc>
      </w:tr>
    </w:tbl>
    <w:p w14:paraId="3064D204">
      <w:pPr>
        <w:spacing w:line="360" w:lineRule="auto"/>
        <w:ind w:firstLine="480"/>
        <w:rPr>
          <w:rFonts w:hint="eastAsia" w:ascii="仿宋" w:hAnsi="仿宋" w:eastAsia="仿宋" w:cs="宋体"/>
          <w:color w:val="auto"/>
          <w:kern w:val="2"/>
          <w:sz w:val="24"/>
          <w:szCs w:val="24"/>
          <w:lang w:val="zh-TW" w:eastAsia="zh-TW" w:bidi="zh-TW"/>
        </w:rPr>
      </w:pPr>
      <w:r>
        <w:rPr>
          <w:rFonts w:hint="eastAsia" w:ascii="仿宋" w:hAnsi="仿宋" w:eastAsia="仿宋" w:cs="宋体"/>
          <w:color w:val="auto"/>
          <w:kern w:val="2"/>
          <w:sz w:val="24"/>
          <w:szCs w:val="24"/>
          <w:lang w:val="zh-TW" w:eastAsia="zh-TW" w:bidi="zh-TW"/>
        </w:rPr>
        <w:t>1.定义</w:t>
      </w:r>
    </w:p>
    <w:p w14:paraId="0523DF4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本合同下列术语应解释为：</w:t>
      </w:r>
    </w:p>
    <w:p w14:paraId="36E371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　“甲方”是指采购人。</w:t>
      </w:r>
    </w:p>
    <w:p w14:paraId="3605ADC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　“乙方”是指中标人。</w:t>
      </w:r>
    </w:p>
    <w:p w14:paraId="4E66B63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　“合同”系指甲乙双方签署的、合同中载明的甲乙双方所达成的协议，包括所有的附件、附录和上述文件所提到的构成合同的所有文件。</w:t>
      </w:r>
    </w:p>
    <w:p w14:paraId="1240BE1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　“服务”是指乙方按照招标(采购)、投标(响应)文件要求，向采购人提供的技术支持服务。</w:t>
      </w:r>
    </w:p>
    <w:p w14:paraId="4126568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　“项目现场”是指甲方指定的最终服务地点。</w:t>
      </w:r>
    </w:p>
    <w:p w14:paraId="131FB7C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　“天”除非特别指出，“天”均为自然天。</w:t>
      </w:r>
    </w:p>
    <w:p w14:paraId="01FBD8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2.服务标准</w:t>
      </w:r>
    </w:p>
    <w:p w14:paraId="0676016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　乙方为甲方交付的服务和货物应符合采购文件所述的内容，如果没有提及适用标准，则应符合相应的国家标准。这些标准必须是有关机构发布的最新版本的标准。</w:t>
      </w:r>
    </w:p>
    <w:p w14:paraId="40D352A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　除非技术要求中另有规定，计量单位均采用中华人民共和国法定计量单位。</w:t>
      </w:r>
    </w:p>
    <w:p w14:paraId="05D24C0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3.货物和服务</w:t>
      </w:r>
    </w:p>
    <w:p w14:paraId="618D77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3.1　乙方应按照合同的规定，提供符合甲方要求的货物和服务。</w:t>
      </w:r>
    </w:p>
    <w:p w14:paraId="7A67445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4.知识产权</w:t>
      </w:r>
    </w:p>
    <w:p w14:paraId="4F1C62E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4.1 技术支持服务过程中所产生的所有文件、资料等的知识产权均归甲方所有。未经甲方书面许可，乙方不得用于本项目以外的其他用途。因乙方原因造成甲方知识产权遭受侵害的，由乙方负责赔偿。</w:t>
      </w:r>
    </w:p>
    <w:p w14:paraId="7DCC50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4.2 乙方保证甲方在接受乙方提供的技术支持服务过程中免受第三方提出侵犯其专利权、商标权、著作权或其他权利诉求。因乙方原因导致对其他任何权利的侵犯，应由乙方自行承担全部责任，甲方不承担任何责任。如因乙方原因导致甲方被追诉的，乙方应承担因此给甲方造成的一切损失包括但不限于甲方为此支付的律师费、案件受理费、仲裁费、保险费、执行费、鉴定费及公证费等。</w:t>
      </w:r>
    </w:p>
    <w:p w14:paraId="5D1198C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4.3 甲方利用乙方提交的技术服务工作成果所完成的新的技术成果，归甲方所有。</w:t>
      </w:r>
    </w:p>
    <w:p w14:paraId="2111E81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4.4 乙方利用甲方所提供的技术资料和工作条件完成的新的技术成果，归甲方所有。</w:t>
      </w:r>
    </w:p>
    <w:p w14:paraId="2FC541C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4.5 乙方郑重承诺：在为本项目提供技术服务过程中，需使用任何第三方拥有所有权、专利权、著作权、商标权或商业秘密等权利的产品或者服务时，须书面告知甲方</w:t>
      </w:r>
      <w:r>
        <w:rPr>
          <w:rFonts w:hint="eastAsia" w:ascii="仿宋" w:hAnsi="仿宋" w:eastAsia="仿宋" w:cs="宋体"/>
          <w:color w:val="auto"/>
          <w:kern w:val="2"/>
          <w:sz w:val="24"/>
          <w:szCs w:val="24"/>
          <w:lang w:val="en-US" w:eastAsia="zh-CN" w:bidi="zh-TW"/>
        </w:rPr>
        <w:t>并向甲方提交第三方的授权声明</w:t>
      </w:r>
      <w:r>
        <w:rPr>
          <w:rFonts w:hint="eastAsia" w:ascii="仿宋" w:hAnsi="仿宋" w:eastAsia="仿宋" w:cs="宋体"/>
          <w:color w:val="auto"/>
          <w:kern w:val="2"/>
          <w:sz w:val="24"/>
          <w:szCs w:val="24"/>
          <w:lang w:val="zh-TW" w:eastAsia="zh-CN" w:bidi="zh-TW"/>
        </w:rPr>
        <w:t>，在征得甲方的书面同意后，方可执行。</w:t>
      </w:r>
    </w:p>
    <w:p w14:paraId="51D6EA8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5.保密条款</w:t>
      </w:r>
    </w:p>
    <w:p w14:paraId="6333CD9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5.1 甲乙双方应对在本合同签订或履行过程中所接触的对方信息，包括但不限于知识产权、技术资料、技术诀窍、内部管理及其他相关信息，负有保密义务。</w:t>
      </w:r>
    </w:p>
    <w:p w14:paraId="378D23A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2DF26B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（1）应以审慎态度避免泄露、公开或传播甲方的信息；</w:t>
      </w:r>
    </w:p>
    <w:p w14:paraId="2182465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（2）未经甲方书面许可，不得对有关信息进行修改、补充、复制；</w:t>
      </w:r>
    </w:p>
    <w:p w14:paraId="10D6D5A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（3）未经甲方书面许可，不得将信息以任何方式(如E－mail)携带出甲方场所；</w:t>
      </w:r>
    </w:p>
    <w:p w14:paraId="78F086D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（4）未经甲方书面许可，不得将信息透露给任何其他人；</w:t>
      </w:r>
    </w:p>
    <w:p w14:paraId="419ECE0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（5）甲方以书面形式提出的其他保密措施。</w:t>
      </w:r>
    </w:p>
    <w:p w14:paraId="254A04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5.3 保密范围</w:t>
      </w:r>
    </w:p>
    <w:p w14:paraId="1D6D631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未经甲方书面同意，乙方不得以任何形式公开本合同及其附件及本项目相关文件、资料的任何内容。由甲方收集的、开发的、整理的、复制的、研究的和准备的与本合同项下工作有关的所有资料在提供给乙方时，均被视为保密的，乙方不得泄漏给本合同以外的第三方。</w:t>
      </w:r>
    </w:p>
    <w:p w14:paraId="07BDE95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（2）乙方在履行合同过程中所获得或接触到的来源于甲方的其他数据资料，未经甲方书面同意，不得向本合同以外的第三方透露。</w:t>
      </w:r>
    </w:p>
    <w:p w14:paraId="58E2DC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（3）乙方在未征得甲方书面同意的情况下，不得为任何其它目的而自行使用或允许他人使用从甲方获得的信息（包括但不限于所有的报告、摘录、纪要、文件、计划、报表、复印件和业务数据等）。</w:t>
      </w:r>
    </w:p>
    <w:p w14:paraId="57B59B1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（4）乙方需与参加本项目的人员签订保密协议，并禁止接触保密信息的人员将本项目的任何资料传播给项目外人员。</w:t>
      </w:r>
    </w:p>
    <w:p w14:paraId="2C0979D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（5）如果乙方违反本条款的规定，甲方有权解除本合同并要求乙方</w:t>
      </w:r>
      <w:r>
        <w:rPr>
          <w:rFonts w:hint="eastAsia" w:ascii="仿宋" w:hAnsi="仿宋" w:eastAsia="仿宋" w:cs="宋体"/>
          <w:color w:val="auto"/>
          <w:kern w:val="2"/>
          <w:sz w:val="24"/>
          <w:szCs w:val="24"/>
          <w:lang w:val="en-US" w:eastAsia="zh-CN" w:bidi="zh-TW"/>
        </w:rPr>
        <w:t>支付违约金，违约金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r>
        <w:rPr>
          <w:rFonts w:hint="eastAsia" w:ascii="仿宋" w:hAnsi="仿宋" w:eastAsia="仿宋" w:cs="宋体"/>
          <w:color w:val="auto"/>
          <w:kern w:val="2"/>
          <w:sz w:val="24"/>
          <w:szCs w:val="24"/>
          <w:lang w:val="zh-TW" w:eastAsia="zh-CN" w:bidi="zh-TW"/>
        </w:rPr>
        <w:t>触犯保密法律法规的情况由乙方独自承担相应法律责任。</w:t>
      </w:r>
    </w:p>
    <w:p w14:paraId="76D0BCC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（6）乙方认为的乙方商业秘密需要事先向甲方书面声明。</w:t>
      </w:r>
    </w:p>
    <w:p w14:paraId="2F89F9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5.3 保密期限不受合同有效期的限制，在合同有效期结束后，信息接受方仍应承担保密义务，直至该信息成为公开信息。</w:t>
      </w:r>
    </w:p>
    <w:p w14:paraId="619B70A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5.4 甲乙双方如出现泄密行为，泄密方应承担相关的法律责任，包括但不限于对由此给对方造成的经济损失进行赔偿。</w:t>
      </w:r>
    </w:p>
    <w:p w14:paraId="3964511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5.5 本保密条款不因本合同履行完毕或提前终止而失效，合同终止或解除等不影响本保密条款的效力。</w:t>
      </w:r>
    </w:p>
    <w:p w14:paraId="12525D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6.技术支持</w:t>
      </w:r>
    </w:p>
    <w:p w14:paraId="60D5530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6.1 服务期内，提供7×24小时的技术咨询服务。</w:t>
      </w:r>
    </w:p>
    <w:p w14:paraId="06C6D8D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6.2 需提供现场支持的，乙方应保证2小时内到达用户现场提供服务；</w:t>
      </w:r>
    </w:p>
    <w:p w14:paraId="179C8F3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6.3 乙方在工作期间须指定项目联系人、项目总协调人。乙方指定的项目总协调人必须是乙方公司管理层人员（提供总协调人的姓名、职务、联系方式等）。项目服务过程中一旦出现重大问题，项目总协调人应能及时赶到现场。乙方更换项目负责人和主要技术人员，须将变更人及其工作影响、替换人资历等情况以书面材料报告甲方审核，经甲方同意后方可更换。因乙方的人员变更原因所造成的任何项目质量、进度滞后等后果，由乙方承担。</w:t>
      </w:r>
    </w:p>
    <w:p w14:paraId="6E54734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6.4甲乙双方确定，在本合同有效期内，甲方指定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为甲方项目联系人，乙方指定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为乙方项目联系人，同时指定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本项目项目经理，负责项目服务质量、进度和日常管理工作。乙方保证前述提供的乙方联系人和项目经理的联系方式真实有效，乙方更换项目联系人和项目经理应当在决定变更联系人前3日内书面通知甲方，在征得甲方的书面同意后方可以更换；决定变更联系方式的，应在变更联系方式前3日内书面通知甲方。</w:t>
      </w:r>
    </w:p>
    <w:p w14:paraId="7F6363F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6.5 乙方在项目实施过程中，质量保障人员、资源不足或者执行不力，给项目质量带来的风险超出甲方认定的允许范围时，甲方可</w:t>
      </w:r>
      <w:r>
        <w:rPr>
          <w:rFonts w:hint="eastAsia" w:ascii="仿宋" w:hAnsi="仿宋" w:eastAsia="仿宋" w:cs="宋体"/>
          <w:color w:val="auto"/>
          <w:kern w:val="2"/>
          <w:sz w:val="24"/>
          <w:szCs w:val="24"/>
          <w:lang w:val="en-US" w:eastAsia="zh-CN" w:bidi="zh-TW"/>
        </w:rPr>
        <w:t>单方通知乙方</w:t>
      </w:r>
      <w:r>
        <w:rPr>
          <w:rFonts w:hint="eastAsia" w:ascii="仿宋" w:hAnsi="仿宋" w:eastAsia="仿宋" w:cs="宋体"/>
          <w:color w:val="auto"/>
          <w:kern w:val="2"/>
          <w:sz w:val="24"/>
          <w:szCs w:val="24"/>
          <w:lang w:val="zh-TW" w:eastAsia="zh-CN" w:bidi="zh-TW"/>
        </w:rPr>
        <w:t>终止本项目的合作并进行索赔。</w:t>
      </w:r>
    </w:p>
    <w:p w14:paraId="1FC8E1F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7．技术培训</w:t>
      </w:r>
    </w:p>
    <w:p w14:paraId="654B26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w:t>
      </w:r>
    </w:p>
    <w:p w14:paraId="5913E9A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 xml:space="preserve">8.技术资料要求 </w:t>
      </w:r>
    </w:p>
    <w:p w14:paraId="2AA9952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乙方应向甲方提供全套中文技术资料，所有的技术资料必须包括书面和电子两种形式。其费用包括在合同总价款中：</w:t>
      </w:r>
    </w:p>
    <w:p w14:paraId="54253F1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验收通过后，乙方协助甲方完成建设转运维手续，并协助甲方完成各种文件资料及最终验收审批报告的归档整理并列出清单。</w:t>
      </w:r>
    </w:p>
    <w:p w14:paraId="0C9DEF0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 服务时间、地点与验收</w:t>
      </w:r>
    </w:p>
    <w:p w14:paraId="6704518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9.1 服务地点：合同条款前附表指定地点。</w:t>
      </w:r>
    </w:p>
    <w:p w14:paraId="307137D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9.2 服务期：合同条款前附表指定时间。</w:t>
      </w:r>
    </w:p>
    <w:p w14:paraId="1DC1C93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9.3 甲方应在乙方完成相关服务工作后及时对服务成果进行验收。</w:t>
      </w:r>
    </w:p>
    <w:p w14:paraId="75F4467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10.双方权利和义务</w:t>
      </w:r>
    </w:p>
    <w:p w14:paraId="70C6837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10.1 甲方的责任与义务</w:t>
      </w:r>
    </w:p>
    <w:p w14:paraId="27E169F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（1）按本合同约定向乙方支付合同款项；</w:t>
      </w:r>
    </w:p>
    <w:p w14:paraId="15E27CC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（2）甲方根据实际需求为乙方提供必要的工作场地，以及为完成项目内容所需要的联络协调等支持；</w:t>
      </w:r>
    </w:p>
    <w:p w14:paraId="641F7D9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（3）甲方有权根据本合同规定的质量要求对乙方的服务进行监督；</w:t>
      </w:r>
    </w:p>
    <w:p w14:paraId="57A7C1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（4）如甲方对乙方提供服务的质量有异议，以书面方式向乙方提出，乙方须根据合同要求进行调整；</w:t>
      </w:r>
    </w:p>
    <w:p w14:paraId="194200A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（5）甲方有权根据本合同的进度要求对乙方的服务实施情况进行监督并提出改进意见和建议；乙方应当按照甲方提出的意见整改，乙方未整改或整改未达到甲方要求及合同约定标准，视为乙方违约，乙方应</w:t>
      </w:r>
      <w:r>
        <w:rPr>
          <w:rFonts w:hint="eastAsia" w:ascii="仿宋" w:hAnsi="仿宋" w:eastAsia="仿宋" w:cs="宋体"/>
          <w:color w:val="auto"/>
          <w:kern w:val="2"/>
          <w:sz w:val="24"/>
          <w:szCs w:val="24"/>
          <w:lang w:val="en-US" w:eastAsia="zh-CN" w:bidi="zh-TW"/>
        </w:rPr>
        <w:t>向甲方支付违约金</w:t>
      </w:r>
      <w:r>
        <w:rPr>
          <w:rFonts w:hint="eastAsia" w:ascii="仿宋" w:hAnsi="仿宋" w:eastAsia="仿宋" w:cs="宋体"/>
          <w:color w:val="auto"/>
          <w:kern w:val="2"/>
          <w:sz w:val="24"/>
          <w:szCs w:val="24"/>
          <w:lang w:val="zh-TW" w:eastAsia="zh-CN" w:bidi="zh-TW"/>
        </w:rPr>
        <w:t>。</w:t>
      </w:r>
      <w:r>
        <w:rPr>
          <w:rFonts w:hint="eastAsia" w:ascii="仿宋" w:hAnsi="仿宋" w:eastAsia="仿宋" w:cs="宋体"/>
          <w:color w:val="auto"/>
          <w:kern w:val="2"/>
          <w:sz w:val="24"/>
          <w:szCs w:val="24"/>
          <w:lang w:val="en-US" w:eastAsia="zh-CN" w:bidi="zh-TW"/>
        </w:rPr>
        <w:t>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p>
    <w:p w14:paraId="6A87C6D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（6)审核乙方提交的报告以及合同约定须乙方提供的相关资料等。</w:t>
      </w:r>
    </w:p>
    <w:p w14:paraId="708082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10.2 乙方的责任与义务</w:t>
      </w:r>
    </w:p>
    <w:p w14:paraId="013027D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（1）按照合同约定的工作内容和要求完成所有工作内容；</w:t>
      </w:r>
    </w:p>
    <w:p w14:paraId="5C9C216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（2）保证项目质量，确保项目按照合同约定的工期完成；</w:t>
      </w:r>
    </w:p>
    <w:p w14:paraId="2A191C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（3）编制项目相关的所有资料文件；</w:t>
      </w:r>
    </w:p>
    <w:p w14:paraId="67CD494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（4）乙方应当听取甲方监督过程中提出的意见和建议；</w:t>
      </w:r>
    </w:p>
    <w:p w14:paraId="610737A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（5）乙方向甲方提出赔偿请求不能成立时，乙方应当补偿由于该索赔导致甲方的各种费用支出；</w:t>
      </w:r>
    </w:p>
    <w:p w14:paraId="25DED28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（6）乙方借用甲方的资料，应当办理借用手续并妥善保存，不得用于其他用途；</w:t>
      </w:r>
    </w:p>
    <w:p w14:paraId="3635575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（7）乙方使用甲方提供的设施与物品属于甲方财产。在项目工作完成后或中止时，应将其设施和剩余的物品按照约定的时间和方式移交甲方；</w:t>
      </w:r>
    </w:p>
    <w:p w14:paraId="100E72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（8）乙方对在本项目施工过程中的安全负全责，造成第三方人身伤害、财产损失，安全责任和事故费用全部由乙方承担。甲方依据法律规定承担相应责任的有权向乙方追偿；</w:t>
      </w:r>
    </w:p>
    <w:p w14:paraId="665DFFC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（9）乙方在责任期内，应当履行合同中的约定的义务。如果因乙方违反国家法律、法规，造成重大质量、安全事故的，应承担相应的经济责任和法律责任。</w:t>
      </w:r>
    </w:p>
    <w:p w14:paraId="3A39E3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11.违约责任</w:t>
      </w:r>
    </w:p>
    <w:p w14:paraId="311EBFC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11.1　服务缺陷的补救措施和索赔</w:t>
      </w:r>
    </w:p>
    <w:p w14:paraId="5BFCCA8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（1）如果乙方提供的服务不符合本合同约定以及采购文件、响应文件关于服务的要求和承诺，乙方应按照甲方同意的下列一种或几种方式结合起来解决索赔事宜：</w:t>
      </w:r>
    </w:p>
    <w:p w14:paraId="40D7DCD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①乙方同意将已经履行的服务款退还给甲方，由此发生的一切费用和损失由乙方承担。如甲方以适当的条件和方法购买与未履约标的相类似的服务，乙方应负担新购买类似服务的费用。</w:t>
      </w:r>
    </w:p>
    <w:p w14:paraId="1DC701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②根据服务的质量状况以及甲方所遭受的损失，经过甲乙双方商定降低服务的价格。</w:t>
      </w:r>
    </w:p>
    <w:p w14:paraId="4D8BE7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7D9E43B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11.2　迟延履约的违约责任</w:t>
      </w:r>
    </w:p>
    <w:p w14:paraId="1AE2E30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（1）乙方应按照本合同规定的时间、地点提供服务。</w:t>
      </w:r>
    </w:p>
    <w:p w14:paraId="3FBAAAC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441A5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w:t>
      </w:r>
    </w:p>
    <w:p w14:paraId="3DA286B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（4）如果乙方延迟履约超过30日，甲方有权</w:t>
      </w:r>
      <w:r>
        <w:rPr>
          <w:rFonts w:hint="eastAsia" w:ascii="仿宋" w:hAnsi="仿宋" w:eastAsia="仿宋" w:cs="宋体"/>
          <w:color w:val="auto"/>
          <w:kern w:val="2"/>
          <w:sz w:val="24"/>
          <w:szCs w:val="24"/>
          <w:lang w:val="en-US" w:eastAsia="zh-CN" w:bidi="zh-TW"/>
        </w:rPr>
        <w:t>单方</w:t>
      </w:r>
      <w:r>
        <w:rPr>
          <w:rFonts w:hint="eastAsia" w:ascii="仿宋" w:hAnsi="仿宋" w:eastAsia="仿宋" w:cs="宋体"/>
          <w:color w:val="auto"/>
          <w:kern w:val="2"/>
          <w:sz w:val="24"/>
          <w:szCs w:val="24"/>
          <w:lang w:val="zh-TW" w:eastAsia="zh-CN" w:bidi="zh-TW"/>
        </w:rPr>
        <w:t>终止</w:t>
      </w:r>
      <w:r>
        <w:rPr>
          <w:rFonts w:hint="eastAsia" w:ascii="仿宋" w:hAnsi="仿宋" w:eastAsia="仿宋" w:cs="宋体"/>
          <w:color w:val="auto"/>
          <w:kern w:val="2"/>
          <w:sz w:val="24"/>
          <w:szCs w:val="24"/>
          <w:lang w:val="en-US" w:eastAsia="zh-CN" w:bidi="zh-TW"/>
        </w:rPr>
        <w:t>或解除本</w:t>
      </w:r>
      <w:r>
        <w:rPr>
          <w:rFonts w:hint="eastAsia" w:ascii="仿宋" w:hAnsi="仿宋" w:eastAsia="仿宋" w:cs="宋体"/>
          <w:color w:val="auto"/>
          <w:kern w:val="2"/>
          <w:sz w:val="24"/>
          <w:szCs w:val="24"/>
          <w:lang w:val="zh-TW" w:eastAsia="zh-CN" w:bidi="zh-TW"/>
        </w:rPr>
        <w:t>合同，并依其认为适当的条件和方法购买与未履约类似的服务，乙方应负担购买类似服务的费用。同时，乙方应继续执行合同中未终止的部分。</w:t>
      </w:r>
    </w:p>
    <w:p w14:paraId="334620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11.3　未履行合同义务的违约责任</w:t>
      </w:r>
    </w:p>
    <w:p w14:paraId="28D3A09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（1）乙方不履行合同义务或履行合同义务不符合要求的，甲方有权</w:t>
      </w:r>
      <w:r>
        <w:rPr>
          <w:rFonts w:hint="eastAsia" w:ascii="仿宋" w:hAnsi="仿宋" w:eastAsia="仿宋" w:cs="宋体"/>
          <w:color w:val="auto"/>
          <w:kern w:val="2"/>
          <w:sz w:val="24"/>
          <w:szCs w:val="24"/>
          <w:lang w:val="en-US" w:eastAsia="zh-CN" w:bidi="zh-TW"/>
        </w:rPr>
        <w:t>单方</w:t>
      </w:r>
      <w:r>
        <w:rPr>
          <w:rFonts w:hint="eastAsia" w:ascii="仿宋" w:hAnsi="仿宋" w:eastAsia="仿宋" w:cs="宋体"/>
          <w:color w:val="auto"/>
          <w:kern w:val="2"/>
          <w:sz w:val="24"/>
          <w:szCs w:val="24"/>
          <w:lang w:val="zh-TW" w:eastAsia="zh-CN" w:bidi="zh-TW"/>
        </w:rPr>
        <w:t>终止</w:t>
      </w:r>
      <w:r>
        <w:rPr>
          <w:rFonts w:hint="eastAsia" w:ascii="仿宋" w:hAnsi="仿宋" w:eastAsia="仿宋" w:cs="宋体"/>
          <w:color w:val="auto"/>
          <w:kern w:val="2"/>
          <w:sz w:val="24"/>
          <w:szCs w:val="24"/>
          <w:lang w:val="en-US" w:eastAsia="zh-CN" w:bidi="zh-TW"/>
        </w:rPr>
        <w:t>或解除本</w:t>
      </w:r>
      <w:r>
        <w:rPr>
          <w:rFonts w:hint="eastAsia" w:ascii="仿宋" w:hAnsi="仿宋" w:eastAsia="仿宋" w:cs="宋体"/>
          <w:color w:val="auto"/>
          <w:kern w:val="2"/>
          <w:sz w:val="24"/>
          <w:szCs w:val="24"/>
          <w:lang w:val="zh-TW" w:eastAsia="zh-CN" w:bidi="zh-TW"/>
        </w:rPr>
        <w:t>合同。</w:t>
      </w:r>
    </w:p>
    <w:p w14:paraId="5A4B78A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（2）乙方应支付违约金，违约金标准见合同条款前附表。</w:t>
      </w:r>
    </w:p>
    <w:p w14:paraId="21C5215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（3）违约金不足以弥补甲方实际损失、可预见或者应当预见的损失，由乙方全额予以赔偿。</w:t>
      </w:r>
    </w:p>
    <w:p w14:paraId="6307B0A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12.不可抗力</w:t>
      </w:r>
    </w:p>
    <w:p w14:paraId="1BFFEFA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12.1 如果合同双方因不可抗力而导致合同实施延误或合同无法实施，不应该承担误期赔偿或不能履行合同义务的责任。</w:t>
      </w:r>
    </w:p>
    <w:p w14:paraId="00026D1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12.2 本条所述的“不可抗力”系指那些双方不可预见、不可避免、不可克服的客观情况，但不包括双方的违约或疏忽。这些事件包括但不限于：战争、严重火灾、洪水、台风、地震等。</w:t>
      </w:r>
    </w:p>
    <w:p w14:paraId="06C061F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1E1938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13.合同纠纷的解决方式</w:t>
      </w:r>
    </w:p>
    <w:p w14:paraId="5FE79D3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13.1 合同各方应通过友好协商，解决在执行合同过程中所发生的或与合同有关的一切争端。如协商30日内不能解决，可以提起诉讼。</w:t>
      </w:r>
    </w:p>
    <w:p w14:paraId="27D5487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13.2 诉讼应由甲方住所地人民法院管辖。财产保全担保保险费、财产保全申请费、律师代理费、差旅费、评估费、鉴定费及诉讼费等与诉讼活动相关费用应由败诉方负担。</w:t>
      </w:r>
    </w:p>
    <w:p w14:paraId="3A9B3E2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13.3 如诉讼事项不影响合同其他部分的履行，则在诉讼期间，除正在进行诉讼的部分外，合同的其他部分应继续执行。</w:t>
      </w:r>
    </w:p>
    <w:p w14:paraId="6747D35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14.合同修改或变更</w:t>
      </w:r>
    </w:p>
    <w:p w14:paraId="7794EE7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14.1 如无重大变故，甲方双方不得擅自变更合同。</w:t>
      </w:r>
    </w:p>
    <w:p w14:paraId="74DB956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14.2 如确需变更合同，甲乙双方应签署书面变更协议。变更协议为本合同不可分割的一部分。</w:t>
      </w:r>
    </w:p>
    <w:p w14:paraId="5F3DD0E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14.3 在不改变合同其他条款的前提下，甲方有权在合同价款10%的范围内追加与合同标的相同的货物或服务，并就此与乙方签订补充合同，乙方不得拒绝。</w:t>
      </w:r>
    </w:p>
    <w:p w14:paraId="5290173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15.合同中止</w:t>
      </w:r>
    </w:p>
    <w:p w14:paraId="7509DD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15.1合同在履行过程中，因采购计划调整，甲方可以要求中止履行，待计划确定后继续履行；合同履行过程中因供应商就采购过程或结果提起投诉的，甲方认为有必要或财政部责令中止的，应当中止合同的履行。</w:t>
      </w:r>
    </w:p>
    <w:p w14:paraId="61F29DE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16.终止合同</w:t>
      </w:r>
    </w:p>
    <w:p w14:paraId="039723E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16.1 若出现如下情况，在甲方对乙方违约行为而采取的任何补救措施不受影响的情况下，甲方可向乙方发出书面通知书，提出终止部分或全部合同，由此给甲方造成损失的乙方应承担赔偿责任。</w:t>
      </w:r>
    </w:p>
    <w:p w14:paraId="2B6D3C8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（1）如果乙方未能在合同规定的期限或甲方同意延长的期限内提供服务；</w:t>
      </w:r>
    </w:p>
    <w:p w14:paraId="3DA5A69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（2）因乙方技术人员自身技术能力、经验不足等原因造成甲方硬件设备、应用系统发生重大紧急故障或应用系统数据丢失，带来重大影响和损失的；</w:t>
      </w:r>
    </w:p>
    <w:p w14:paraId="4610CF3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（3）乙方对甲方硬件设备、应用系统重大紧急故障没有及时响应，或不能在规定时间内解决处理故障，恢复系统正常运行的；</w:t>
      </w:r>
    </w:p>
    <w:p w14:paraId="3137017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（4）不能满足本项目技术需求的管理要求和规范，且经多次整改无明显改进的；</w:t>
      </w:r>
    </w:p>
    <w:p w14:paraId="7A3419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（5）在合同规定的每个服务年度(12个自然月)内，在运行维护支持服务过程中，出现2次经甲乙双方确认的违规操作的。</w:t>
      </w:r>
    </w:p>
    <w:p w14:paraId="1CA4EF0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16.2 如果甲方根据上述的规定，终止了全部或部分合同，甲方可以适当的条件和方法购买乙方未能提供的服务，乙方应对甲方购买类似服务的费用负责。同时，乙方应继续执行合同中未终止的部分。</w:t>
      </w:r>
    </w:p>
    <w:p w14:paraId="7487B62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17.破产终止合同</w:t>
      </w:r>
    </w:p>
    <w:p w14:paraId="0324ECE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17.1 如果乙方破产或无清偿能力，甲方可在任何时候以书面形式通知乙方终止合同而不给乙方补偿。</w:t>
      </w:r>
    </w:p>
    <w:p w14:paraId="7C8BF07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17.2 该终止行为将不损害或影响甲方已经采取或将要采取的任何行动或补救措施的权利。</w:t>
      </w:r>
    </w:p>
    <w:p w14:paraId="3928373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18.其他情况的终止合同</w:t>
      </w:r>
    </w:p>
    <w:p w14:paraId="67F7C36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18.1 若合同继续履行将给甲方造成重大损失的，甲方可以终止合同而不给予乙方任何补偿。</w:t>
      </w:r>
    </w:p>
    <w:p w14:paraId="64C5BCF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18.2 乙方在执行合同的过程中发生重大事故，对履行合同有直接影响的，甲方可以终止合同而不给予乙方任何补偿。</w:t>
      </w:r>
    </w:p>
    <w:p w14:paraId="57295D9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18.3 甲方因重大变故取消或部分取消原来的采购任务，导致合同全部或部分内容无须继续履行的，可以终止合同而不给予乙方任何补偿。</w:t>
      </w:r>
    </w:p>
    <w:p w14:paraId="5818132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19.合同转让和分包</w:t>
      </w:r>
    </w:p>
    <w:p w14:paraId="773E08C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19.1 乙方不得以任何形式将合同转包，或部分或全部转让其应履行的合同义务。</w:t>
      </w:r>
      <w:r>
        <w:rPr>
          <w:rFonts w:hint="eastAsia" w:ascii="仿宋" w:hAnsi="仿宋" w:eastAsia="仿宋" w:cs="宋体"/>
          <w:color w:val="auto"/>
          <w:kern w:val="2"/>
          <w:sz w:val="24"/>
          <w:szCs w:val="24"/>
          <w:lang w:val="en-US" w:eastAsia="zh-CN" w:bidi="zh-TW"/>
        </w:rPr>
        <w:t>乙方如违反本约定，甲方可单方解除或终止本合同，并可要求乙方退回已收取款项。同时，乙方应向甲方支付违约金，违约金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p>
    <w:p w14:paraId="583D747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19.2 除经甲方事先书面同意外，乙方不得以任何形式将合同分包。</w:t>
      </w:r>
    </w:p>
    <w:p w14:paraId="4340FB9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20.适用法律</w:t>
      </w:r>
    </w:p>
    <w:p w14:paraId="171A489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20.1 本合同适用中华人民共和国现行法律、行政法规和规章，如合同条款与法律、行政法规和规章不一致的，按照法律、行政法规和规章修改本合同。</w:t>
      </w:r>
    </w:p>
    <w:p w14:paraId="707D469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21.合同语言</w:t>
      </w:r>
    </w:p>
    <w:p w14:paraId="67E582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21.1 本合同语言为中文。</w:t>
      </w:r>
    </w:p>
    <w:p w14:paraId="0620A1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21.2 双方交换的与合同有关的信件和其他文件应用合同语言书写。</w:t>
      </w:r>
    </w:p>
    <w:p w14:paraId="06C5883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22.合同生效</w:t>
      </w:r>
    </w:p>
    <w:p w14:paraId="1BF0FB3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22.1 本合同应在双方签字盖章后生效。</w:t>
      </w:r>
    </w:p>
    <w:p w14:paraId="059292B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23.合同效力</w:t>
      </w:r>
    </w:p>
    <w:p w14:paraId="0E94DA3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23.1 除本合同和甲乙双方书面签署的补充协议外，其他任何形式的双方约定和往来函件均不具有法律效力，对本项目无约束力。</w:t>
      </w:r>
    </w:p>
    <w:p w14:paraId="5BAFE36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24.检查和审计</w:t>
      </w:r>
    </w:p>
    <w:p w14:paraId="1D44F2E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24.1 在本合同的履行过程中，甲方有权对乙方的合同履约情况进行阶段性检查，并对乙方协商时提供的相关资料进行复核。</w:t>
      </w:r>
    </w:p>
    <w:p w14:paraId="4F60B87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24.2 在本合同的履行过程中，如果甲乙双方发生争议或者乙方没有按照合同约定履行义务，乙方应允许甲方检查乙方与实施本合同有关的账户和记录，并由甲方指定的审计人员对其进行审计。</w:t>
      </w:r>
    </w:p>
    <w:p w14:paraId="2E61B299">
      <w:pPr>
        <w:pStyle w:val="3"/>
        <w:ind w:left="420" w:leftChars="200" w:firstLine="480" w:firstLineChars="20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25.结合项目实际特在此处进行说明：本项目合同履行期限:一年（服务起止时间按采购人实际要求），若因国家或省委省政府工作安排变化，将根据有关政策或要求缩短服务期限，提前终止合同。费用按照实际服务情况进项支付。中标供应商表示完全理解并接受本条款，如因上述原因采购人单方提前终止合同，中标供应商承诺不向采购人主张任何违约责任。</w:t>
      </w:r>
    </w:p>
    <w:p w14:paraId="76E5F03B"/>
    <w:sectPr>
      <w:headerReference r:id="rId5" w:type="first"/>
      <w:footerReference r:id="rId6" w:type="default"/>
      <w:pgSz w:w="11906" w:h="16838"/>
      <w:pgMar w:top="1440" w:right="1800" w:bottom="1440" w:left="1800" w:header="851" w:footer="992"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roma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EEFB">
    <w:pPr>
      <w:pStyle w:val="4"/>
      <w:jc w:val="center"/>
      <w:rPr>
        <w:rFonts w:ascii="宋体" w:hAnsi="宋体" w:eastAsia="宋体"/>
        <w:sz w:val="21"/>
        <w:szCs w:val="21"/>
      </w:rPr>
    </w:pP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62</w:t>
    </w:r>
    <w:r>
      <w:rPr>
        <w:rFonts w:ascii="宋体" w:hAnsi="宋体"/>
        <w:szCs w:val="21"/>
      </w:rPr>
      <w:fldChar w:fldCharType="end"/>
    </w:r>
    <w:r>
      <w:rPr>
        <w:rFonts w:hint="eastAsia" w:ascii="宋体" w:hAnsi="宋体"/>
        <w:szCs w:val="21"/>
      </w:rPr>
      <w:t xml:space="preserve"> 页</w:t>
    </w:r>
  </w:p>
  <w:p w14:paraId="220D62FB"/>
  <w:p w14:paraId="04333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4C060">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8083F"/>
    <w:rsid w:val="1828083F"/>
    <w:rsid w:val="1CEC7E01"/>
    <w:rsid w:val="6E220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color w:val="993300"/>
      <w:sz w:val="24"/>
    </w:rPr>
  </w:style>
  <w:style w:type="paragraph" w:styleId="4">
    <w:name w:val="footer"/>
    <w:basedOn w:val="1"/>
    <w:qFormat/>
    <w:uiPriority w:val="99"/>
    <w:pPr>
      <w:tabs>
        <w:tab w:val="center" w:pos="4153"/>
        <w:tab w:val="right" w:pos="8306"/>
      </w:tabs>
      <w:snapToGrid w:val="0"/>
      <w:spacing w:line="240" w:lineRule="auto"/>
      <w:jc w:val="left"/>
    </w:pPr>
    <w:rPr>
      <w:sz w:val="18"/>
      <w:szCs w:val="18"/>
    </w:rPr>
  </w:style>
  <w:style w:type="paragraph" w:styleId="5">
    <w:name w:val="header"/>
    <w:basedOn w:val="1"/>
    <w:qFormat/>
    <w:uiPriority w:val="0"/>
    <w:pPr>
      <w:tabs>
        <w:tab w:val="center" w:pos="4153"/>
        <w:tab w:val="right" w:pos="8306"/>
      </w:tabs>
      <w:snapToGrid w:val="0"/>
      <w:spacing w:line="240" w:lineRule="auto"/>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Body text|1"/>
    <w:basedOn w:val="1"/>
    <w:qFormat/>
    <w:uiPriority w:val="0"/>
    <w:pPr>
      <w:spacing w:line="437" w:lineRule="auto"/>
      <w:ind w:firstLine="400"/>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7809</Words>
  <Characters>8078</Characters>
  <Lines>0</Lines>
  <Paragraphs>0</Paragraphs>
  <TotalTime>0</TotalTime>
  <ScaleCrop>false</ScaleCrop>
  <LinksUpToDate>false</LinksUpToDate>
  <CharactersWithSpaces>8398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2025-10-13T09:50:00Z</dcterms:created>
  <dc:creator>＾响聊聊♪</dc:creator>
  <cp:lastModifiedBy>钟玉艳</cp:lastModifiedBy>
  <dcterms:modified xsi:type="dcterms:W3CDTF">2026-05-11T07:25:28Z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8E5047FE2358445092374D133D1EB2D3_13</vt:lpwstr>
  </property>
  <property fmtid="{D5CDD505-2E9C-101B-9397-08002B2CF9AE}" pid="4" name="KSOTemplateDocerSaveRecord">
    <vt:lpwstr>eyJoZGlkIjoiMWE4MGU5ZDcwY2RiMTU1NzlmMjcyMmQzMzQ5ZGI0OWQiLCJ1c2VySWQiOiIzMzYwMzQ1MTgifQ==</vt:lpwstr>
  </property>
</Properties>
</file>