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版本号：SXHC2026-12620260603001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野生动植物保护宣传项目（野生动植物专项）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SXHC2026-126</w:t>
      </w:r>
      <w:r>
        <w:br/>
      </w:r>
      <w:r>
        <w:br/>
      </w:r>
      <w:r>
        <w:br/>
      </w:r>
    </w:p>
    <w:p>
      <w:pPr>
        <w:pStyle w:val="null3"/>
        <w:jc w:val="center"/>
        <w:outlineLvl w:val="2"/>
      </w:pPr>
      <w:r>
        <w:rPr>
          <w:rFonts w:ascii="仿宋_GB2312" w:hAnsi="仿宋_GB2312" w:cs="仿宋_GB2312" w:eastAsia="仿宋_GB2312"/>
          <w:sz w:val="28"/>
          <w:b/>
        </w:rPr>
        <w:t>西安市野生动植物保护管理站</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西安市野生动植物保护管理站</w:t>
      </w:r>
      <w:r>
        <w:rPr>
          <w:rFonts w:ascii="仿宋_GB2312" w:hAnsi="仿宋_GB2312" w:cs="仿宋_GB2312" w:eastAsia="仿宋_GB2312"/>
        </w:rPr>
        <w:t>委托，拟对</w:t>
      </w:r>
      <w:r>
        <w:rPr>
          <w:rFonts w:ascii="仿宋_GB2312" w:hAnsi="仿宋_GB2312" w:cs="仿宋_GB2312" w:eastAsia="仿宋_GB2312"/>
        </w:rPr>
        <w:t>野生动植物保护宣传项目（野生动植物专项）</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SXHC2026-126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野生动植物保护宣传项目（野生动植物专项）</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野生动植物保护宣传项目（野生动植物专项）。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采购包1（野生动植物保护宣传项目（野生动植物专项）一标段）：属于专门面向中小企业采购。</w:t>
      </w:r>
    </w:p>
    <w:p>
      <w:pPr>
        <w:pStyle w:val="null3"/>
      </w:pPr>
      <w:r>
        <w:rPr>
          <w:rFonts w:ascii="仿宋_GB2312" w:hAnsi="仿宋_GB2312" w:cs="仿宋_GB2312" w:eastAsia="仿宋_GB2312"/>
        </w:rPr>
        <w:t>采购包2（野生动植物保护宣传项目（野生动植物专项）二标段）：属于专门面向中小企业采购。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依法缴纳税收和社会保障资金：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4、履行本合同所必需的设备和专业技术能力：提供具有履行本合同所必需的设备和专业技术能力的书面声明。</w:t>
      </w:r>
    </w:p>
    <w:p>
      <w:pPr>
        <w:pStyle w:val="null3"/>
      </w:pPr>
      <w:r>
        <w:rPr>
          <w:rFonts w:ascii="仿宋_GB2312" w:hAnsi="仿宋_GB2312" w:cs="仿宋_GB2312" w:eastAsia="仿宋_GB2312"/>
        </w:rPr>
        <w:t>5、无重大违法记录书面声明：提供参加政府采购活动前3年内在经营活动中没有重大违法记录的书面声明。</w:t>
      </w:r>
    </w:p>
    <w:p>
      <w:pPr>
        <w:pStyle w:val="null3"/>
      </w:pPr>
      <w:r>
        <w:rPr>
          <w:rFonts w:ascii="仿宋_GB2312" w:hAnsi="仿宋_GB2312" w:cs="仿宋_GB2312" w:eastAsia="仿宋_GB2312"/>
        </w:rPr>
        <w:t>6、信誉要求：供应商未列入“失信被执行人”、“重大税收违法案件当事人名单”和“政府采购严重违法失信行为记录名单”。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依法缴纳税收和社会保障资金：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4、履行本合同所必需的设备和专业技术能力：提供具有履行本合同所必需的设备和专业技术能力的书面声明。</w:t>
      </w:r>
    </w:p>
    <w:p>
      <w:pPr>
        <w:pStyle w:val="null3"/>
      </w:pPr>
      <w:r>
        <w:rPr>
          <w:rFonts w:ascii="仿宋_GB2312" w:hAnsi="仿宋_GB2312" w:cs="仿宋_GB2312" w:eastAsia="仿宋_GB2312"/>
        </w:rPr>
        <w:t>5、无重大违法记录书面声明：提供参加政府采购活动前3年内在经营活动中没有重大违法记录的书面声明。</w:t>
      </w:r>
    </w:p>
    <w:p>
      <w:pPr>
        <w:pStyle w:val="null3"/>
      </w:pPr>
      <w:r>
        <w:rPr>
          <w:rFonts w:ascii="仿宋_GB2312" w:hAnsi="仿宋_GB2312" w:cs="仿宋_GB2312" w:eastAsia="仿宋_GB2312"/>
        </w:rPr>
        <w:t>6、信誉要求：供应商未列入“失信被执行人”、“重大税收违法案件当事人名单”和“政府采购严重违法失信行为记录名单”。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西安市野生动植物保护管理站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西安市莲湖区太白北路320号华弘大厦7楼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029-87518112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潘聪、赵凡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采购包2：400,000.00元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各标段成交金额为基数，参考《国家计委关于印发&lt;招标代理服务收费管理暂行办法&gt;的通知》（计价格〔2002〕1980号）及《国家发改委关于降低部分建设项目收费标准规范收费行为等有关问题的通知（发改价格〔2011〕534号）规定按标准收取，服务类项目成交金额100万元以下按成交金额的1.5%收取。若按照标准收取不足6000元，按6000元计取。 （2）代理服务费可以采取现金、支票、银行汇票、电汇、网银等方式缴纳。 （3）代理服务费缴纳信息： 银行户名：陕西华采招标有限公司 开户银行：招商银行陕西自贸试验区西安高新科技支行 账 号：1299 0594 2210 666 联 系人：韩工 联系电话：029-68255920转802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西安市野生动植物保护管理站</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西安市野生动植物保护管理站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西安市野生动植物保护管理站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联系电话：029-68255920转806</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color w:val="000000"/>
        </w:rPr>
        <w:t>野生动植物保护宣传项目（野生动植物专项）</w:t>
      </w: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野生动植物保护宣传项目（野生动植物专项）一标段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野生动植物保护宣传项目（野生动植物专项）二标段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标的名称：野生动植物保护宣传项目（野生动植物专项）一标段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pPr>
            <w:r>
              <w:rPr>
                <w:rFonts w:ascii="仿宋_GB2312" w:hAnsi="仿宋_GB2312" w:cs="仿宋_GB2312" w:eastAsia="仿宋_GB2312"/>
                <w:b/>
              </w:rPr>
              <w:t>一、活动总则</w:t>
            </w:r>
          </w:p>
          <w:p>
            <w:pPr>
              <w:pStyle w:val="null3"/>
              <w:ind w:firstLine="562"/>
            </w:pPr>
            <w:r>
              <w:rPr>
                <w:rFonts w:ascii="仿宋_GB2312" w:hAnsi="仿宋_GB2312" w:cs="仿宋_GB2312" w:eastAsia="仿宋_GB2312"/>
                <w:b/>
              </w:rPr>
              <w:t>（一）活动宗旨</w:t>
            </w:r>
          </w:p>
          <w:p>
            <w:pPr>
              <w:pStyle w:val="null3"/>
              <w:ind w:firstLine="560"/>
            </w:pPr>
            <w:r>
              <w:rPr>
                <w:rFonts w:ascii="仿宋_GB2312" w:hAnsi="仿宋_GB2312" w:cs="仿宋_GB2312" w:eastAsia="仿宋_GB2312"/>
              </w:rPr>
              <w:t>以鸟类科普宣传为抓手，常态化开展野生动植物保护主题宣传活动，面向社会公众、青少年学生、社区居民普及鸟类保护、野生动植物保护及生物多样性保护知识，倡导科学护鸟、文明观鸟、依法保护野生动植物的理念，引导全社会树立尊重自然、顺应自然、保护自然的生态文明意识，营造全民参与、共同守护野生动植物家园的浓厚氛围。</w:t>
            </w:r>
          </w:p>
          <w:p>
            <w:pPr>
              <w:pStyle w:val="null3"/>
              <w:ind w:firstLine="560"/>
            </w:pPr>
            <w:r>
              <w:rPr>
                <w:rFonts w:ascii="仿宋_GB2312" w:hAnsi="仿宋_GB2312" w:cs="仿宋_GB2312" w:eastAsia="仿宋_GB2312"/>
              </w:rPr>
              <w:t>通过系列主题活动、线下物料覆盖、全媒体传播相结合的模式，构建全方位、多层次、广覆盖的野生动植物保护宣传体系。全面普及鸟类等野生动植物保护知识，强化相关法律法规意识，动员社会各界广泛参与，助力生态文明建设高质量发展。</w:t>
            </w:r>
          </w:p>
          <w:p>
            <w:pPr>
              <w:pStyle w:val="null3"/>
              <w:ind w:firstLine="562"/>
            </w:pPr>
            <w:r>
              <w:rPr>
                <w:rFonts w:ascii="仿宋_GB2312" w:hAnsi="仿宋_GB2312" w:cs="仿宋_GB2312" w:eastAsia="仿宋_GB2312"/>
                <w:b/>
              </w:rPr>
              <w:t>（二）活动目标</w:t>
            </w:r>
          </w:p>
          <w:p>
            <w:pPr>
              <w:pStyle w:val="null3"/>
              <w:ind w:firstLine="560"/>
            </w:pPr>
            <w:r>
              <w:rPr>
                <w:rFonts w:ascii="仿宋_GB2312" w:hAnsi="仿宋_GB2312" w:cs="仿宋_GB2312" w:eastAsia="仿宋_GB2312"/>
              </w:rPr>
              <w:t>1、提升公众对野生动植物保护法律法规、本地珍稀物种保护常识等知识的知晓度，实现多群体、多渠道有效覆盖。</w:t>
            </w:r>
          </w:p>
          <w:p>
            <w:pPr>
              <w:pStyle w:val="null3"/>
              <w:ind w:firstLine="560"/>
            </w:pPr>
            <w:r>
              <w:rPr>
                <w:rFonts w:ascii="仿宋_GB2312" w:hAnsi="仿宋_GB2312" w:cs="仿宋_GB2312" w:eastAsia="仿宋_GB2312"/>
              </w:rPr>
              <w:t>2、广泛动员社会力量参与，开展主题宣传活动，带动学校、社区、企业、公益组织等多元主体主动加入鸟类等野生动植物保护行动。</w:t>
            </w:r>
          </w:p>
          <w:p>
            <w:pPr>
              <w:pStyle w:val="null3"/>
              <w:ind w:firstLine="560"/>
            </w:pPr>
            <w:r>
              <w:rPr>
                <w:rFonts w:ascii="仿宋_GB2312" w:hAnsi="仿宋_GB2312" w:cs="仿宋_GB2312" w:eastAsia="仿宋_GB2312"/>
              </w:rPr>
              <w:t>3、营造浓厚保护氛围，在公共场所开展宣传展示，通过线上话题传播、音视频推广等形式，形成全民参与的保护热潮。</w:t>
            </w:r>
          </w:p>
          <w:p>
            <w:pPr>
              <w:pStyle w:val="null3"/>
              <w:ind w:firstLine="562"/>
            </w:pPr>
            <w:r>
              <w:rPr>
                <w:rFonts w:ascii="仿宋_GB2312" w:hAnsi="仿宋_GB2312" w:cs="仿宋_GB2312" w:eastAsia="仿宋_GB2312"/>
                <w:b/>
              </w:rPr>
              <w:t>二、五次主题日活动内容</w:t>
            </w:r>
          </w:p>
          <w:p>
            <w:pPr>
              <w:pStyle w:val="null3"/>
              <w:ind w:firstLine="562"/>
            </w:pPr>
            <w:r>
              <w:rPr>
                <w:rFonts w:ascii="仿宋_GB2312" w:hAnsi="仿宋_GB2312" w:cs="仿宋_GB2312" w:eastAsia="仿宋_GB2312"/>
                <w:b/>
              </w:rPr>
              <w:t>活动一：“清风行动”主题宣传活动</w:t>
            </w:r>
          </w:p>
          <w:p>
            <w:pPr>
              <w:pStyle w:val="null3"/>
              <w:ind w:firstLine="560"/>
            </w:pPr>
            <w:r>
              <w:rPr>
                <w:rFonts w:ascii="仿宋_GB2312" w:hAnsi="仿宋_GB2312" w:cs="仿宋_GB2312" w:eastAsia="仿宋_GB2312"/>
              </w:rPr>
              <w:t>为坚决遏制鸟类等野生动物非法猎捕行为、严厉打击野生植物非法采挖售卖等行为，守护区域生物多样性，筑牢生态安全屏障，引导群众树野生动植物保护意识，计划组织开展“清风行动”主题宣传活动。主要面向全体市民、林区周边群众等，在林区出入口设立宣传点，由工作人员及志愿者现场宣讲，结合本地非法猎捕鸟类等野生动物、非法采挖野生植物典型案例，讲解鸟类等野生动物及野生植物保护法律法规、非法猎捕采挖的生态危害及法律后果；发放图文并茂的宣传手册、海报、倡议书，同步开展野生动植物宣传科普，张贴警示标语，现场解答群众疑问，引导群众主动拒绝猎捕工具购买、使用，自觉抵制非法猎捕鸟类等野生动物、非法采挖售卖野生植物行为，凝聚全民护鸟护植合力，彰显“清风”生态正气，推动形成“人人爱护野生植物”的良好社会风尚。</w:t>
            </w:r>
          </w:p>
          <w:p>
            <w:pPr>
              <w:pStyle w:val="null3"/>
              <w:ind w:firstLine="562"/>
            </w:pPr>
            <w:r>
              <w:rPr>
                <w:rFonts w:ascii="仿宋_GB2312" w:hAnsi="仿宋_GB2312" w:cs="仿宋_GB2312" w:eastAsia="仿宋_GB2312"/>
                <w:b/>
              </w:rPr>
              <w:t>活动二：“野生动物保护宣传月”主题活动</w:t>
            </w:r>
          </w:p>
          <w:p>
            <w:pPr>
              <w:pStyle w:val="null3"/>
              <w:ind w:firstLine="560"/>
            </w:pPr>
            <w:r>
              <w:rPr>
                <w:rFonts w:ascii="仿宋_GB2312" w:hAnsi="仿宋_GB2312" w:cs="仿宋_GB2312" w:eastAsia="仿宋_GB2312"/>
              </w:rPr>
              <w:t>为落实野生动物保护宣传月工作要求，聚焦青少年群体开展科普教育，特组织本次主题活动。活动核心定位为：面向青少年普及鸟类保护知识，以趣味化、沉浸式课堂为载体，开展“小手拉大手”宣传行动，培育青少年生态保护意识，带动家庭及社会共同参与鸟类保护，营造全民护鸟的良好氛围。通过播放鸟类相关短视频、讲解鸟类生活习性及生态价值小故事、开展鸟类知识互动问答等形式，生动普及鸟类保护知识，重点讲解拒绝鸟类非法交易、非法猎捕的重要意义，增强青少年的保护意识，鼓励学生主动成为鸟类保护宣传使者，引导其向家人、朋友传递护鸟理念，带动家庭共同参与鸟类保护行动，实现“教育一个学生、带动一个家庭、影响整个社会”的宣传效果，助力野生动物保护宣传月活动走深走实。</w:t>
            </w:r>
          </w:p>
          <w:p>
            <w:pPr>
              <w:pStyle w:val="null3"/>
              <w:ind w:firstLine="562"/>
            </w:pPr>
            <w:r>
              <w:rPr>
                <w:rFonts w:ascii="仿宋_GB2312" w:hAnsi="仿宋_GB2312" w:cs="仿宋_GB2312" w:eastAsia="仿宋_GB2312"/>
                <w:b/>
              </w:rPr>
              <w:t>活动三：“网盾行动”主题宣传活动</w:t>
            </w:r>
          </w:p>
          <w:p>
            <w:pPr>
              <w:pStyle w:val="null3"/>
              <w:ind w:firstLine="560"/>
            </w:pPr>
            <w:r>
              <w:rPr>
                <w:rFonts w:ascii="仿宋_GB2312" w:hAnsi="仿宋_GB2312" w:cs="仿宋_GB2312" w:eastAsia="仿宋_GB2312"/>
              </w:rPr>
              <w:t>为规范网络空间秩序，严厉打击鸟类等野生动植物非法交易行为，斩断网络非法交易链条，守护生物多样性，践行生态保护责任，特开展“网盾行动”主题宣传活动。在花鸟市场、宠物市场等重点场所，张贴警示海报、悬挂宣传横幅，明确禁止非法收购、售卖鸟类等野生动植物，现场宣讲非法交易的法律责任，引导经营户诚信经营。</w:t>
            </w:r>
          </w:p>
          <w:p>
            <w:pPr>
              <w:pStyle w:val="null3"/>
              <w:ind w:firstLine="562"/>
            </w:pPr>
            <w:r>
              <w:rPr>
                <w:rFonts w:ascii="仿宋_GB2312" w:hAnsi="仿宋_GB2312" w:cs="仿宋_GB2312" w:eastAsia="仿宋_GB2312"/>
                <w:b/>
              </w:rPr>
              <w:t>活动四：“世界野生动植物日”主题宣传活动</w:t>
            </w:r>
          </w:p>
          <w:p>
            <w:pPr>
              <w:pStyle w:val="null3"/>
              <w:ind w:firstLine="560"/>
            </w:pPr>
            <w:r>
              <w:rPr>
                <w:rFonts w:ascii="仿宋_GB2312" w:hAnsi="仿宋_GB2312" w:cs="仿宋_GB2312" w:eastAsia="仿宋_GB2312"/>
              </w:rPr>
              <w:t>为响应2027年“世界野生动植物日”，结合西安市野生动植物资源优势，切实提升市民保护意识，特开展本次主题宣传活动。活动以科普宣传、互动实践为核心，现场布设宣传展板，发放宣传资料，解读相关法律法规。线上同步推送科普短视频，畅通举报渠道，引导全民参与监督，凝聚保护合力，推动野生动植物保护理念深入人心。</w:t>
            </w:r>
          </w:p>
          <w:p>
            <w:pPr>
              <w:pStyle w:val="null3"/>
              <w:ind w:firstLine="562"/>
            </w:pPr>
            <w:r>
              <w:rPr>
                <w:rFonts w:ascii="仿宋_GB2312" w:hAnsi="仿宋_GB2312" w:cs="仿宋_GB2312" w:eastAsia="仿宋_GB2312"/>
                <w:b/>
              </w:rPr>
              <w:t>活动五：“爱鸟周”主题宣传活动</w:t>
            </w:r>
          </w:p>
          <w:p>
            <w:pPr>
              <w:pStyle w:val="null3"/>
              <w:ind w:firstLine="560"/>
            </w:pPr>
            <w:r>
              <w:rPr>
                <w:rFonts w:ascii="仿宋_GB2312" w:hAnsi="仿宋_GB2312" w:cs="仿宋_GB2312" w:eastAsia="仿宋_GB2312"/>
              </w:rPr>
              <w:t>举办2027年西安市第46届爱鸟周宣传活动，创新宣传形式，在西安市景区、公园、博物馆等地设立宣传站点，开展鸟类标本展示、护鸟工具科普、现场观鸟教学等活动，邀请资深护鸟志愿者分享一线护鸟故事，结合“清风行动”“网盾行动”涉鸟违规案例，开展普法警示宣传。线上依托官方平台、微信公众号等，推出“护鸟知识闯关”线上活动，鼓励市民随手记录身边鸟类，分享护鸟故事。活动全程突出“参与感、趣味性、本地化”，引导全社会主动参与鸟类保护，守护秦岭生态家园。</w:t>
            </w:r>
          </w:p>
          <w:p>
            <w:pPr>
              <w:pStyle w:val="null3"/>
              <w:ind w:firstLine="562"/>
            </w:pPr>
            <w:r>
              <w:rPr>
                <w:rFonts w:ascii="仿宋_GB2312" w:hAnsi="仿宋_GB2312" w:cs="仿宋_GB2312" w:eastAsia="仿宋_GB2312"/>
                <w:b/>
              </w:rPr>
              <w:t>三、宣传物料制作</w:t>
            </w:r>
          </w:p>
          <w:p>
            <w:pPr>
              <w:pStyle w:val="null3"/>
              <w:ind w:firstLine="560"/>
            </w:pPr>
            <w:r>
              <w:rPr>
                <w:rFonts w:ascii="仿宋_GB2312" w:hAnsi="仿宋_GB2312" w:cs="仿宋_GB2312" w:eastAsia="仿宋_GB2312"/>
              </w:rPr>
              <w:t>围绕活动开展需要，系统制作并投放宣传物料，包括：《野生动物保护法》《野生植物保护条例》《鸟类保护宣传图册》《观鸟手册》《西安市分布的重点保护野生植物》等资料。</w:t>
            </w:r>
          </w:p>
          <w:p>
            <w:pPr>
              <w:pStyle w:val="null3"/>
              <w:ind w:firstLine="562"/>
            </w:pPr>
            <w:r>
              <w:rPr>
                <w:rFonts w:ascii="仿宋_GB2312" w:hAnsi="仿宋_GB2312" w:cs="仿宋_GB2312" w:eastAsia="仿宋_GB2312"/>
                <w:b/>
              </w:rPr>
              <w:t>四、文创品制作</w:t>
            </w:r>
          </w:p>
          <w:p>
            <w:pPr>
              <w:pStyle w:val="null3"/>
              <w:ind w:firstLine="560"/>
            </w:pPr>
            <w:r>
              <w:rPr>
                <w:rFonts w:ascii="仿宋_GB2312" w:hAnsi="仿宋_GB2312" w:cs="仿宋_GB2312" w:eastAsia="仿宋_GB2312"/>
              </w:rPr>
              <w:t>结合活动传播需要，设计制作野生动植物保护主题文创产品，包括：毛毡垫、鼠标垫、手机支架等文创产品。</w:t>
            </w:r>
          </w:p>
          <w:p>
            <w:pPr>
              <w:pStyle w:val="null3"/>
              <w:ind w:firstLine="562"/>
            </w:pPr>
            <w:r>
              <w:rPr>
                <w:rFonts w:ascii="仿宋_GB2312" w:hAnsi="仿宋_GB2312" w:cs="仿宋_GB2312" w:eastAsia="仿宋_GB2312"/>
                <w:b/>
              </w:rPr>
              <w:t>五、短视频制作及推广</w:t>
            </w:r>
          </w:p>
          <w:p>
            <w:pPr>
              <w:pStyle w:val="null3"/>
              <w:ind w:firstLine="560"/>
            </w:pPr>
            <w:r>
              <w:rPr>
                <w:rFonts w:ascii="仿宋_GB2312" w:hAnsi="仿宋_GB2312" w:cs="仿宋_GB2312" w:eastAsia="仿宋_GB2312"/>
              </w:rPr>
              <w:t>围绕野生动植物保护、西安分布的重点保护野生植物科普主题，制作1条短视频。短视频将采用生动形象的画面、通俗易懂的语言，普及科普知识，增强宣传吸引力。</w:t>
            </w:r>
          </w:p>
          <w:p>
            <w:pPr>
              <w:pStyle w:val="null3"/>
              <w:ind w:firstLine="560"/>
            </w:pPr>
            <w:r>
              <w:rPr>
                <w:rFonts w:ascii="仿宋_GB2312" w:hAnsi="仿宋_GB2312" w:cs="仿宋_GB2312" w:eastAsia="仿宋_GB2312"/>
              </w:rPr>
              <w:t>将制作完成的野生植物宣传短视频在电视、公众号等平台进行宣传推广，提升视频传播效果，扩大宣传影响力。</w:t>
            </w:r>
          </w:p>
          <w:p>
            <w:pPr>
              <w:pStyle w:val="null3"/>
              <w:ind w:firstLine="562"/>
            </w:pPr>
            <w:r>
              <w:rPr>
                <w:rFonts w:ascii="仿宋_GB2312" w:hAnsi="仿宋_GB2312" w:cs="仿宋_GB2312" w:eastAsia="仿宋_GB2312"/>
                <w:b/>
              </w:rPr>
              <w:t>六、</w:t>
            </w:r>
            <w:r>
              <w:rPr>
                <w:rFonts w:ascii="仿宋_GB2312" w:hAnsi="仿宋_GB2312" w:cs="仿宋_GB2312" w:eastAsia="仿宋_GB2312"/>
                <w:b/>
              </w:rPr>
              <w:t>具体明细及各项最高限价</w:t>
            </w:r>
          </w:p>
          <w:tbl>
            <w:tblPr>
              <w:tblInd w:type="dxa" w:w="120"/>
              <w:tblBorders>
                <w:top w:val="none" w:color="000000" w:sz="4"/>
                <w:left w:val="none" w:color="000000" w:sz="4"/>
                <w:bottom w:val="none" w:color="000000" w:sz="4"/>
                <w:right w:val="none" w:color="000000" w:sz="4"/>
                <w:insideH w:val="none"/>
                <w:insideV w:val="none"/>
              </w:tblBorders>
            </w:tblPr>
            <w:tblGrid>
              <w:gridCol w:w="193"/>
              <w:gridCol w:w="413"/>
              <w:gridCol w:w="605"/>
              <w:gridCol w:w="612"/>
              <w:gridCol w:w="294"/>
              <w:gridCol w:w="436"/>
            </w:tblGrid>
            <w:tr>
              <w:tc>
                <w:tcPr>
                  <w:tcW w:type="dxa" w:w="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4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类目</w:t>
                  </w:r>
                </w:p>
              </w:tc>
              <w:tc>
                <w:tcPr>
                  <w:tcW w:type="dxa" w:w="6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印刷品</w:t>
                  </w:r>
                </w:p>
              </w:tc>
              <w:tc>
                <w:tcPr>
                  <w:tcW w:type="dxa" w:w="6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规格</w:t>
                  </w:r>
                </w:p>
              </w:tc>
              <w:tc>
                <w:tcPr>
                  <w:tcW w:type="dxa" w:w="2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暂定数量</w:t>
                  </w:r>
                </w:p>
              </w:tc>
              <w:tc>
                <w:tcPr>
                  <w:tcW w:type="dxa" w:w="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单项最高限价（元）</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五次主题日活动</w:t>
                  </w:r>
                </w:p>
              </w:tc>
              <w:tc>
                <w:tcPr>
                  <w:tcW w:type="dxa" w:w="121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活动现场搭建、喷绘桁架、物料安装、音响设备租赁、桌子、凳子等。</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100000</w:t>
                  </w:r>
                </w:p>
              </w:tc>
            </w:tr>
            <w:tr>
              <w:tc>
                <w:tcPr>
                  <w:tcW w:type="dxa" w:w="1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宣传物料制作</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观鸟手册</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130*90mm（彩印60页码）</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2500</w:t>
                  </w:r>
                </w:p>
              </w:tc>
              <w:tc>
                <w:tcPr>
                  <w:tcW w:type="dxa" w:w="43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100000</w:t>
                  </w:r>
                </w:p>
              </w:tc>
            </w:tr>
            <w:tr>
              <w:tc>
                <w:tcPr>
                  <w:tcW w:type="dxa" w:w="193"/>
                  <w:vMerge/>
                  <w:tcBorders>
                    <w:top w:val="none" w:color="000000" w:sz="4"/>
                    <w:left w:val="single" w:color="000000" w:sz="4"/>
                    <w:bottom w:val="single" w:color="000000" w:sz="4"/>
                    <w:right w:val="single" w:color="000000" w:sz="4"/>
                  </w:tcBorders>
                </w:tcPr>
                <w:p/>
              </w:tc>
              <w:tc>
                <w:tcPr>
                  <w:tcW w:type="dxa" w:w="413"/>
                  <w:vMerge/>
                  <w:tcBorders>
                    <w:top w:val="none" w:color="000000" w:sz="4"/>
                    <w:left w:val="single" w:color="000000" w:sz="4"/>
                    <w:bottom w:val="single" w:color="000000" w:sz="4"/>
                    <w:right w:val="single" w:color="000000" w:sz="4"/>
                  </w:tcBorders>
                </w:tc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r>
                    <w:rPr>
                      <w:rFonts w:ascii="仿宋_GB2312" w:hAnsi="仿宋_GB2312" w:cs="仿宋_GB2312" w:eastAsia="仿宋_GB2312"/>
                      <w:sz w:val="19"/>
                      <w:color w:val="000000"/>
                    </w:rPr>
                    <w:t>种西安周边的鸟类</w:t>
                  </w:r>
                  <w:r>
                    <w:rPr>
                      <w:rFonts w:ascii="仿宋_GB2312" w:hAnsi="仿宋_GB2312" w:cs="仿宋_GB2312" w:eastAsia="仿宋_GB2312"/>
                      <w:sz w:val="19"/>
                      <w:color w:val="000000"/>
                    </w:rPr>
                    <w:t>宣传册</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159*776mm</w:t>
                  </w:r>
                  <w:r>
                    <w:rPr>
                      <w:rFonts w:ascii="仿宋_GB2312" w:hAnsi="仿宋_GB2312" w:cs="仿宋_GB2312" w:eastAsia="仿宋_GB2312"/>
                      <w:sz w:val="19"/>
                      <w:color w:val="000000"/>
                    </w:rPr>
                    <w:t>（彩印</w:t>
                  </w:r>
                  <w:r>
                    <w:rPr>
                      <w:rFonts w:ascii="仿宋_GB2312" w:hAnsi="仿宋_GB2312" w:cs="仿宋_GB2312" w:eastAsia="仿宋_GB2312"/>
                      <w:sz w:val="19"/>
                      <w:color w:val="000000"/>
                    </w:rPr>
                    <w:t>8折页</w:t>
                  </w:r>
                  <w:r>
                    <w:rPr>
                      <w:rFonts w:ascii="仿宋_GB2312" w:hAnsi="仿宋_GB2312" w:cs="仿宋_GB2312" w:eastAsia="仿宋_GB2312"/>
                      <w:sz w:val="19"/>
                      <w:color w:val="000000"/>
                    </w:rPr>
                    <w:t>）</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3000</w:t>
                  </w:r>
                </w:p>
              </w:tc>
              <w:tc>
                <w:tcPr>
                  <w:tcW w:type="dxa" w:w="436"/>
                  <w:vMerge/>
                  <w:tcBorders>
                    <w:top w:val="single" w:color="000000" w:sz="4"/>
                    <w:left w:val="single" w:color="000000" w:sz="4"/>
                    <w:bottom w:val="single" w:color="000000" w:sz="4"/>
                    <w:right w:val="single" w:color="000000" w:sz="4"/>
                  </w:tcBorders>
                </w:tcPr>
                <w:p/>
              </w:tc>
            </w:tr>
            <w:tr>
              <w:tc>
                <w:tcPr>
                  <w:tcW w:type="dxa" w:w="193"/>
                  <w:vMerge/>
                  <w:tcBorders>
                    <w:top w:val="none" w:color="000000" w:sz="4"/>
                    <w:left w:val="single" w:color="000000" w:sz="4"/>
                    <w:bottom w:val="single" w:color="000000" w:sz="4"/>
                    <w:right w:val="single" w:color="000000" w:sz="4"/>
                  </w:tcBorders>
                </w:tcPr>
                <w:p/>
              </w:tc>
              <w:tc>
                <w:tcPr>
                  <w:tcW w:type="dxa" w:w="413"/>
                  <w:vMerge/>
                  <w:tcBorders>
                    <w:top w:val="none" w:color="000000" w:sz="4"/>
                    <w:left w:val="single" w:color="000000" w:sz="4"/>
                    <w:bottom w:val="single" w:color="000000" w:sz="4"/>
                    <w:right w:val="single" w:color="000000" w:sz="4"/>
                  </w:tcBorders>
                </w:tc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中华人民共和国野生动物保护法</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210*140mm（黑白40页码）</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3500</w:t>
                  </w:r>
                </w:p>
              </w:tc>
              <w:tc>
                <w:tcPr>
                  <w:tcW w:type="dxa" w:w="436"/>
                  <w:vMerge/>
                  <w:tcBorders>
                    <w:top w:val="single" w:color="000000" w:sz="4"/>
                    <w:left w:val="single" w:color="000000" w:sz="4"/>
                    <w:bottom w:val="single" w:color="000000" w:sz="4"/>
                    <w:right w:val="single" w:color="000000" w:sz="4"/>
                  </w:tcBorders>
                </w:tcPr>
                <w:p/>
              </w:tc>
            </w:tr>
            <w:tr>
              <w:tc>
                <w:tcPr>
                  <w:tcW w:type="dxa" w:w="193"/>
                  <w:vMerge/>
                  <w:tcBorders>
                    <w:top w:val="none" w:color="000000" w:sz="4"/>
                    <w:left w:val="single" w:color="000000" w:sz="4"/>
                    <w:bottom w:val="single" w:color="000000" w:sz="4"/>
                    <w:right w:val="single" w:color="000000" w:sz="4"/>
                  </w:tcBorders>
                </w:tcPr>
                <w:p/>
              </w:tc>
              <w:tc>
                <w:tcPr>
                  <w:tcW w:type="dxa" w:w="413"/>
                  <w:vMerge/>
                  <w:tcBorders>
                    <w:top w:val="none" w:color="000000" w:sz="4"/>
                    <w:left w:val="single" w:color="000000" w:sz="4"/>
                    <w:bottom w:val="single" w:color="000000" w:sz="4"/>
                    <w:right w:val="single" w:color="000000" w:sz="4"/>
                  </w:tcBorders>
                </w:tc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鸟类保护宣传册</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210*140mm（彩印30页码）</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4000</w:t>
                  </w:r>
                </w:p>
              </w:tc>
              <w:tc>
                <w:tcPr>
                  <w:tcW w:type="dxa" w:w="436"/>
                  <w:vMerge/>
                  <w:tcBorders>
                    <w:top w:val="single" w:color="000000" w:sz="4"/>
                    <w:left w:val="single" w:color="000000" w:sz="4"/>
                    <w:bottom w:val="single" w:color="000000" w:sz="4"/>
                    <w:right w:val="single" w:color="000000" w:sz="4"/>
                  </w:tcBorders>
                </w:tcPr>
                <w:p/>
              </w:tc>
            </w:tr>
            <w:tr>
              <w:tc>
                <w:tcPr>
                  <w:tcW w:type="dxa" w:w="193"/>
                  <w:vMerge/>
                  <w:tcBorders>
                    <w:top w:val="none" w:color="000000" w:sz="4"/>
                    <w:left w:val="single" w:color="000000" w:sz="4"/>
                    <w:bottom w:val="single" w:color="000000" w:sz="4"/>
                    <w:right w:val="single" w:color="000000" w:sz="4"/>
                  </w:tcBorders>
                </w:tcPr>
                <w:p/>
              </w:tc>
              <w:tc>
                <w:tcPr>
                  <w:tcW w:type="dxa" w:w="413"/>
                  <w:vMerge/>
                  <w:tcBorders>
                    <w:top w:val="none" w:color="000000" w:sz="4"/>
                    <w:left w:val="single" w:color="000000" w:sz="4"/>
                    <w:bottom w:val="single" w:color="000000" w:sz="4"/>
                    <w:right w:val="single" w:color="000000" w:sz="4"/>
                  </w:tcBorders>
                </w:tc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常见非法采挖、携带、买卖野生植物宣传册</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570*210mm（彩印</w:t>
                  </w:r>
                  <w:r>
                    <w:rPr>
                      <w:rFonts w:ascii="仿宋_GB2312" w:hAnsi="仿宋_GB2312" w:cs="仿宋_GB2312" w:eastAsia="仿宋_GB2312"/>
                      <w:sz w:val="19"/>
                      <w:color w:val="000000"/>
                    </w:rPr>
                    <w:t>8折页</w:t>
                  </w:r>
                  <w:r>
                    <w:rPr>
                      <w:rFonts w:ascii="仿宋_GB2312" w:hAnsi="仿宋_GB2312" w:cs="仿宋_GB2312" w:eastAsia="仿宋_GB2312"/>
                      <w:sz w:val="19"/>
                      <w:color w:val="000000"/>
                    </w:rPr>
                    <w:t>）</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2500</w:t>
                  </w:r>
                </w:p>
              </w:tc>
              <w:tc>
                <w:tcPr>
                  <w:tcW w:type="dxa" w:w="436"/>
                  <w:vMerge/>
                  <w:tcBorders>
                    <w:top w:val="single" w:color="000000" w:sz="4"/>
                    <w:left w:val="single" w:color="000000" w:sz="4"/>
                    <w:bottom w:val="single" w:color="000000" w:sz="4"/>
                    <w:right w:val="single" w:color="000000" w:sz="4"/>
                  </w:tcBorders>
                </w:tcPr>
                <w:p/>
              </w:tc>
            </w:tr>
            <w:tr>
              <w:tc>
                <w:tcPr>
                  <w:tcW w:type="dxa" w:w="193"/>
                  <w:vMerge/>
                  <w:tcBorders>
                    <w:top w:val="none" w:color="000000" w:sz="4"/>
                    <w:left w:val="single" w:color="000000" w:sz="4"/>
                    <w:bottom w:val="single" w:color="000000" w:sz="4"/>
                    <w:right w:val="single" w:color="000000" w:sz="4"/>
                  </w:tcBorders>
                </w:tcPr>
                <w:p/>
              </w:tc>
              <w:tc>
                <w:tcPr>
                  <w:tcW w:type="dxa" w:w="413"/>
                  <w:vMerge/>
                  <w:tcBorders>
                    <w:top w:val="none" w:color="000000" w:sz="4"/>
                    <w:left w:val="single" w:color="000000" w:sz="4"/>
                    <w:bottom w:val="single" w:color="000000" w:sz="4"/>
                    <w:right w:val="single" w:color="000000" w:sz="4"/>
                  </w:tcBorders>
                </w:tc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野生植物保护条例</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210*140mm（黑白60页码）</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3000</w:t>
                  </w:r>
                </w:p>
              </w:tc>
              <w:tc>
                <w:tcPr>
                  <w:tcW w:type="dxa" w:w="436"/>
                  <w:vMerge/>
                  <w:tcBorders>
                    <w:top w:val="single" w:color="000000" w:sz="4"/>
                    <w:left w:val="single" w:color="000000" w:sz="4"/>
                    <w:bottom w:val="single" w:color="000000" w:sz="4"/>
                    <w:right w:val="single" w:color="000000" w:sz="4"/>
                  </w:tcBorders>
                </w:tcPr>
                <w:p/>
              </w:tc>
            </w:tr>
            <w:tr>
              <w:tc>
                <w:tcPr>
                  <w:tcW w:type="dxa" w:w="193"/>
                  <w:vMerge/>
                  <w:tcBorders>
                    <w:top w:val="none" w:color="000000" w:sz="4"/>
                    <w:left w:val="single" w:color="000000" w:sz="4"/>
                    <w:bottom w:val="single" w:color="000000" w:sz="4"/>
                    <w:right w:val="single" w:color="000000" w:sz="4"/>
                  </w:tcBorders>
                </w:tcPr>
                <w:p/>
              </w:tc>
              <w:tc>
                <w:tcPr>
                  <w:tcW w:type="dxa" w:w="413"/>
                  <w:vMerge/>
                  <w:tcBorders>
                    <w:top w:val="none" w:color="000000" w:sz="4"/>
                    <w:left w:val="single" w:color="000000" w:sz="4"/>
                    <w:bottom w:val="single" w:color="000000" w:sz="4"/>
                    <w:right w:val="single" w:color="000000" w:sz="4"/>
                  </w:tcBorders>
                </w:tc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西安市分布的重点保护野生植物</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210*140mm（彩印200页码）</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4000</w:t>
                  </w:r>
                </w:p>
              </w:tc>
              <w:tc>
                <w:tcPr>
                  <w:tcW w:type="dxa" w:w="436"/>
                  <w:vMerge/>
                  <w:tcBorders>
                    <w:top w:val="single" w:color="000000" w:sz="4"/>
                    <w:left w:val="single" w:color="000000" w:sz="4"/>
                    <w:bottom w:val="single" w:color="000000" w:sz="4"/>
                    <w:right w:val="single" w:color="000000" w:sz="4"/>
                  </w:tcBorders>
                </w:tcPr>
                <w:p/>
              </w:tc>
            </w:tr>
            <w:tr>
              <w:tc>
                <w:tcPr>
                  <w:tcW w:type="dxa" w:w="1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4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文创品制作</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毛毡袋</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35*25*15cm压印logo</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2000</w:t>
                  </w:r>
                </w:p>
              </w:tc>
              <w:tc>
                <w:tcPr>
                  <w:tcW w:type="dxa" w:w="4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40000</w:t>
                  </w:r>
                </w:p>
              </w:tc>
            </w:tr>
            <w:tr>
              <w:tc>
                <w:tcPr>
                  <w:tcW w:type="dxa" w:w="193"/>
                  <w:vMerge/>
                  <w:tcBorders>
                    <w:top w:val="none" w:color="000000" w:sz="4"/>
                    <w:left w:val="single" w:color="000000" w:sz="4"/>
                    <w:bottom w:val="single" w:color="000000" w:sz="4"/>
                    <w:right w:val="single" w:color="000000" w:sz="4"/>
                  </w:tcBorders>
                </w:tcPr>
                <w:p/>
              </w:tc>
              <w:tc>
                <w:tcPr>
                  <w:tcW w:type="dxa" w:w="413"/>
                  <w:vMerge/>
                  <w:tcBorders>
                    <w:top w:val="none" w:color="000000" w:sz="4"/>
                    <w:left w:val="single" w:color="000000" w:sz="4"/>
                    <w:bottom w:val="single" w:color="000000" w:sz="4"/>
                    <w:right w:val="single" w:color="000000" w:sz="4"/>
                  </w:tcBorders>
                </w:tc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鸟类玩偶</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戴胜、白头鹎等鸟类</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436"/>
                  <w:vMerge/>
                  <w:tcBorders>
                    <w:top w:val="none" w:color="000000" w:sz="4"/>
                    <w:left w:val="single" w:color="000000" w:sz="4"/>
                    <w:bottom w:val="single" w:color="000000" w:sz="4"/>
                    <w:right w:val="single" w:color="000000" w:sz="4"/>
                  </w:tcBorders>
                </w:tcPr>
                <w:p/>
              </w:tc>
            </w:tr>
            <w:tr>
              <w:tc>
                <w:tcPr>
                  <w:tcW w:type="dxa" w:w="193"/>
                  <w:vMerge/>
                  <w:tcBorders>
                    <w:top w:val="none" w:color="000000" w:sz="4"/>
                    <w:left w:val="single" w:color="000000" w:sz="4"/>
                    <w:bottom w:val="single" w:color="000000" w:sz="4"/>
                    <w:right w:val="single" w:color="000000" w:sz="4"/>
                  </w:tcBorders>
                </w:tcPr>
                <w:p/>
              </w:tc>
              <w:tc>
                <w:tcPr>
                  <w:tcW w:type="dxa" w:w="413"/>
                  <w:vMerge/>
                  <w:tcBorders>
                    <w:top w:val="none" w:color="000000" w:sz="4"/>
                    <w:left w:val="single" w:color="000000" w:sz="4"/>
                    <w:bottom w:val="single" w:color="000000" w:sz="4"/>
                    <w:right w:val="single" w:color="000000" w:sz="4"/>
                  </w:tcBorders>
                </w:tc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u盘</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32G内存（印logo）</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436"/>
                  <w:vMerge/>
                  <w:tcBorders>
                    <w:top w:val="none" w:color="000000" w:sz="4"/>
                    <w:left w:val="single" w:color="000000" w:sz="4"/>
                    <w:bottom w:val="single" w:color="000000" w:sz="4"/>
                    <w:right w:val="single" w:color="000000" w:sz="4"/>
                  </w:tcBorders>
                </w:tcPr>
                <w:p/>
              </w:tc>
            </w:tr>
            <w:tr>
              <w:tc>
                <w:tcPr>
                  <w:tcW w:type="dxa" w:w="193"/>
                  <w:vMerge/>
                  <w:tcBorders>
                    <w:top w:val="none" w:color="000000" w:sz="4"/>
                    <w:left w:val="single" w:color="000000" w:sz="4"/>
                    <w:bottom w:val="single" w:color="000000" w:sz="4"/>
                    <w:right w:val="single" w:color="000000" w:sz="4"/>
                  </w:tcBorders>
                </w:tcPr>
                <w:p/>
              </w:tc>
              <w:tc>
                <w:tcPr>
                  <w:tcW w:type="dxa" w:w="413"/>
                  <w:vMerge/>
                  <w:tcBorders>
                    <w:top w:val="none" w:color="000000" w:sz="4"/>
                    <w:left w:val="single" w:color="000000" w:sz="4"/>
                    <w:bottom w:val="single" w:color="000000" w:sz="4"/>
                    <w:right w:val="single" w:color="000000" w:sz="4"/>
                  </w:tcBorders>
                </w:tc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手机支架</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印logo</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500</w:t>
                  </w:r>
                </w:p>
              </w:tc>
              <w:tc>
                <w:tcPr>
                  <w:tcW w:type="dxa" w:w="436"/>
                  <w:vMerge/>
                  <w:tcBorders>
                    <w:top w:val="none" w:color="000000" w:sz="4"/>
                    <w:left w:val="single" w:color="000000" w:sz="4"/>
                    <w:bottom w:val="single" w:color="000000" w:sz="4"/>
                    <w:right w:val="single" w:color="000000" w:sz="4"/>
                  </w:tcBorders>
                </w:tcPr>
                <w:p/>
              </w:tc>
            </w:tr>
            <w:tr>
              <w:tc>
                <w:tcPr>
                  <w:tcW w:type="dxa" w:w="193"/>
                  <w:vMerge/>
                  <w:tcBorders>
                    <w:top w:val="none" w:color="000000" w:sz="4"/>
                    <w:left w:val="single" w:color="000000" w:sz="4"/>
                    <w:bottom w:val="single" w:color="000000" w:sz="4"/>
                    <w:right w:val="single" w:color="000000" w:sz="4"/>
                  </w:tcBorders>
                </w:tcPr>
                <w:p/>
              </w:tc>
              <w:tc>
                <w:tcPr>
                  <w:tcW w:type="dxa" w:w="413"/>
                  <w:vMerge/>
                  <w:tcBorders>
                    <w:top w:val="none" w:color="000000" w:sz="4"/>
                    <w:left w:val="single" w:color="000000" w:sz="4"/>
                    <w:bottom w:val="single" w:color="000000" w:sz="4"/>
                    <w:right w:val="single" w:color="000000" w:sz="4"/>
                  </w:tcBorders>
                </w:tc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鼠标垫</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定制25*30cm</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500</w:t>
                  </w:r>
                </w:p>
              </w:tc>
              <w:tc>
                <w:tcPr>
                  <w:tcW w:type="dxa" w:w="436"/>
                  <w:vMerge/>
                  <w:tcBorders>
                    <w:top w:val="none" w:color="000000" w:sz="4"/>
                    <w:left w:val="single" w:color="000000" w:sz="4"/>
                    <w:bottom w:val="single" w:color="000000" w:sz="4"/>
                    <w:right w:val="single" w:color="000000" w:sz="4"/>
                  </w:tcBorders>
                </w:tcPr>
                <w:p/>
              </w:tc>
            </w:tr>
            <w:tr>
              <w:tc>
                <w:tcPr>
                  <w:tcW w:type="dxa" w:w="193"/>
                  <w:vMerge/>
                  <w:tcBorders>
                    <w:top w:val="none" w:color="000000" w:sz="4"/>
                    <w:left w:val="single" w:color="000000" w:sz="4"/>
                    <w:bottom w:val="single" w:color="000000" w:sz="4"/>
                    <w:right w:val="single" w:color="000000" w:sz="4"/>
                  </w:tcBorders>
                </w:tcPr>
                <w:p/>
              </w:tc>
              <w:tc>
                <w:tcPr>
                  <w:tcW w:type="dxa" w:w="413"/>
                  <w:vMerge/>
                  <w:tcBorders>
                    <w:top w:val="none" w:color="000000" w:sz="4"/>
                    <w:left w:val="single" w:color="000000" w:sz="4"/>
                    <w:bottom w:val="single" w:color="000000" w:sz="4"/>
                    <w:right w:val="single" w:color="000000" w:sz="4"/>
                  </w:tcBorders>
                </w:tc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笔记本等</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定制A5，印logo</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短视频制作及推广</w:t>
                  </w:r>
                </w:p>
              </w:tc>
              <w:tc>
                <w:tcPr>
                  <w:tcW w:type="dxa" w:w="121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围绕野生动植物保护制作视频1条，并在电视、公众号等平台进行推广。</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60000</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备注</w:t>
                  </w:r>
                </w:p>
              </w:tc>
              <w:tc>
                <w:tcPr>
                  <w:tcW w:type="dxa" w:w="236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（1）按照《市级部门全口径预算支出标准》普通数印，黑白150元/千张，彩色800元/千张”。宣传片制作用于工作交流片不超过1万元/分钟，公共媒体播放片不超过3万元/分钟”。</w:t>
                  </w:r>
                </w:p>
                <w:p>
                  <w:pPr>
                    <w:pStyle w:val="null3"/>
                    <w:jc w:val="both"/>
                  </w:pPr>
                  <w:r>
                    <w:rPr>
                      <w:rFonts w:ascii="仿宋_GB2312" w:hAnsi="仿宋_GB2312" w:cs="仿宋_GB2312" w:eastAsia="仿宋_GB2312"/>
                      <w:sz w:val="19"/>
                      <w:b/>
                    </w:rPr>
                    <w:t>（2）表中各项工作为暂定数量，后期根据采购人需求据实调整。</w:t>
                  </w:r>
                </w:p>
                <w:p>
                  <w:pPr>
                    <w:pStyle w:val="null3"/>
                    <w:jc w:val="both"/>
                  </w:pPr>
                  <w:r>
                    <w:rPr>
                      <w:rFonts w:ascii="仿宋_GB2312" w:hAnsi="仿宋_GB2312" w:cs="仿宋_GB2312" w:eastAsia="仿宋_GB2312"/>
                      <w:sz w:val="19"/>
                      <w:b/>
                    </w:rPr>
                    <w:t>（3）供应商各分项报价不得超过单项最高限价，否则按无效标处理。</w:t>
                  </w:r>
                </w:p>
              </w:tc>
            </w:tr>
          </w:tbl>
          <w:p>
            <w:pPr>
              <w:pStyle w:val="null3"/>
              <w:ind w:firstLine="562"/>
            </w:pPr>
            <w:r>
              <w:rPr>
                <w:rFonts w:ascii="仿宋_GB2312" w:hAnsi="仿宋_GB2312" w:cs="仿宋_GB2312" w:eastAsia="仿宋_GB2312"/>
                <w:b/>
              </w:rPr>
              <w:t>七</w:t>
            </w:r>
            <w:r>
              <w:rPr>
                <w:rFonts w:ascii="仿宋_GB2312" w:hAnsi="仿宋_GB2312" w:cs="仿宋_GB2312" w:eastAsia="仿宋_GB2312"/>
                <w:b/>
              </w:rPr>
              <w:t>、商务要求</w:t>
            </w:r>
          </w:p>
          <w:p>
            <w:pPr>
              <w:pStyle w:val="null3"/>
              <w:ind w:firstLine="560"/>
            </w:pPr>
            <w:r>
              <w:rPr>
                <w:rFonts w:ascii="仿宋_GB2312" w:hAnsi="仿宋_GB2312" w:cs="仿宋_GB2312" w:eastAsia="仿宋_GB2312"/>
              </w:rPr>
              <w:t>（一）服务期：自合同生效之日起至全部服务内容办结为止，整体服务周期最长不超过一年。</w:t>
            </w:r>
          </w:p>
          <w:p>
            <w:pPr>
              <w:pStyle w:val="null3"/>
              <w:ind w:firstLine="562"/>
            </w:pPr>
            <w:r>
              <w:rPr>
                <w:rFonts w:ascii="仿宋_GB2312" w:hAnsi="仿宋_GB2312" w:cs="仿宋_GB2312" w:eastAsia="仿宋_GB2312"/>
                <w:color w:val="000000"/>
              </w:rPr>
              <w:t>（二）服务地点</w:t>
            </w:r>
            <w:r>
              <w:rPr>
                <w:rFonts w:ascii="仿宋_GB2312" w:hAnsi="仿宋_GB2312" w:cs="仿宋_GB2312" w:eastAsia="仿宋_GB2312"/>
                <w:color w:val="000000"/>
              </w:rPr>
              <w:t>：</w:t>
            </w:r>
            <w:r>
              <w:rPr>
                <w:rFonts w:ascii="仿宋_GB2312" w:hAnsi="仿宋_GB2312" w:cs="仿宋_GB2312" w:eastAsia="仿宋_GB2312"/>
                <w:color w:val="000000"/>
              </w:rPr>
              <w:t>西安市范围内</w:t>
            </w:r>
            <w:r>
              <w:rPr>
                <w:rFonts w:ascii="仿宋_GB2312" w:hAnsi="仿宋_GB2312" w:cs="仿宋_GB2312" w:eastAsia="仿宋_GB2312"/>
                <w:color w:val="000000"/>
              </w:rPr>
              <w:t>，具体以采购人指定地点为准。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标的名称：野生动植物保护宣传项目（野生动植物专项）二标段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pPr>
            <w:r>
              <w:rPr>
                <w:rFonts w:ascii="仿宋_GB2312" w:hAnsi="仿宋_GB2312" w:cs="仿宋_GB2312" w:eastAsia="仿宋_GB2312"/>
                <w:b/>
              </w:rPr>
              <w:t>一、项目概况</w:t>
            </w:r>
          </w:p>
          <w:p>
            <w:pPr>
              <w:pStyle w:val="null3"/>
              <w:ind w:firstLine="562"/>
            </w:pPr>
            <w:r>
              <w:rPr>
                <w:rFonts w:ascii="仿宋_GB2312" w:hAnsi="仿宋_GB2312" w:cs="仿宋_GB2312" w:eastAsia="仿宋_GB2312"/>
                <w:b/>
                <w:color w:val="000000"/>
              </w:rPr>
              <w:t>（一）项目背景</w:t>
            </w:r>
          </w:p>
          <w:p>
            <w:pPr>
              <w:pStyle w:val="null3"/>
              <w:ind w:firstLine="560"/>
            </w:pPr>
            <w:r>
              <w:rPr>
                <w:rFonts w:ascii="仿宋_GB2312" w:hAnsi="仿宋_GB2312" w:cs="仿宋_GB2312" w:eastAsia="仿宋_GB2312"/>
                <w:color w:val="000000"/>
              </w:rPr>
              <w:t>为深入贯彻落实《西安市全面保护野生鸟类和专项打击非法猎捕贩卖野生鸟类三年行动方案》相关部署要求，切实响应国家及陕西省关于野生动植物保护、秦岭生态保护的战略导向，提升公众野生动植物保护意识，提高公众参与保护积极性，特策划实施本次多渠道、多形式、全覆盖、贴近群众的主题宣传项目。通过系统开展宣传活动，全面普及野生动植物保护相关法律法规，广泛发出全民爱护野生动植物倡议，凝聚政府主导、企业参与、社会组织协同，切实筑牢秦岭生态屏障，为西安市野生动植物保护工作夯实社会基础，营造人人爱护野生动植物、共同守护生态家园的良好社会氛围。</w:t>
            </w:r>
          </w:p>
          <w:p>
            <w:pPr>
              <w:pStyle w:val="null3"/>
              <w:ind w:firstLine="562"/>
            </w:pPr>
            <w:r>
              <w:rPr>
                <w:rFonts w:ascii="仿宋_GB2312" w:hAnsi="仿宋_GB2312" w:cs="仿宋_GB2312" w:eastAsia="仿宋_GB2312"/>
                <w:b/>
                <w:color w:val="000000"/>
              </w:rPr>
              <w:t>（二）项目核心目标</w:t>
            </w:r>
          </w:p>
          <w:p>
            <w:pPr>
              <w:pStyle w:val="null3"/>
              <w:ind w:firstLine="560"/>
            </w:pPr>
            <w:r>
              <w:rPr>
                <w:rFonts w:ascii="仿宋_GB2312" w:hAnsi="仿宋_GB2312" w:cs="仿宋_GB2312" w:eastAsia="仿宋_GB2312"/>
                <w:color w:val="000000"/>
              </w:rPr>
              <w:t>1、普法全覆盖：精准覆盖公园、社区、市场、地铁、校园、机关、景区等核心人流场景，通过线下主题活动、户外公益广告、地铁宣传等多元形式，触达西安市民超500万人次，显著提升公众对《陕西省野生植物保护条例》《野生动物保护法》《陕西省秦岭生态环境保护条例》等相关法律法规的知晓率、理解度和遵守度，推动野生动植物普法知识真正走进千家万户。</w:t>
            </w:r>
          </w:p>
          <w:p>
            <w:pPr>
              <w:pStyle w:val="null3"/>
              <w:ind w:firstLine="560"/>
            </w:pPr>
            <w:r>
              <w:rPr>
                <w:rFonts w:ascii="仿宋_GB2312" w:hAnsi="仿宋_GB2312" w:cs="仿宋_GB2312" w:eastAsia="仿宋_GB2312"/>
                <w:color w:val="000000"/>
              </w:rPr>
              <w:t>2、意识大提升：针对性扭转部分群众“野生动植物可食用、可交易、可把玩”的错误认知，深度传递“保护野生动植物就是保护人类自身”“守护野生动植物就是守护秦岭生态”的核心理念，引导公众牢固树立正确的生态保护观，切实增强全民保护野生动植物的思想自觉和行动自觉。</w:t>
            </w:r>
          </w:p>
          <w:p>
            <w:pPr>
              <w:pStyle w:val="null3"/>
              <w:ind w:firstLine="560"/>
            </w:pPr>
            <w:r>
              <w:rPr>
                <w:rFonts w:ascii="仿宋_GB2312" w:hAnsi="仿宋_GB2312" w:cs="仿宋_GB2312" w:eastAsia="仿宋_GB2312"/>
                <w:color w:val="000000"/>
              </w:rPr>
              <w:t>3、品牌强塑造：打造西安市“守护秦岭·保护野生动植物”特色宣传品牌，通过系统化、常态化的宣传举措，充分彰显官方从严执法、全域巡查、零容忍处置涉鸟等违法行为的坚定决心，持续提升西安市生态保护工作的公众认可度和社会影响力。</w:t>
            </w:r>
          </w:p>
          <w:p>
            <w:pPr>
              <w:pStyle w:val="null3"/>
              <w:ind w:firstLine="562"/>
            </w:pPr>
            <w:r>
              <w:rPr>
                <w:rFonts w:ascii="仿宋_GB2312" w:hAnsi="仿宋_GB2312" w:cs="仿宋_GB2312" w:eastAsia="仿宋_GB2312"/>
                <w:b/>
                <w:color w:val="000000"/>
              </w:rPr>
              <w:t>（三）项目实施原则</w:t>
            </w:r>
          </w:p>
          <w:p>
            <w:pPr>
              <w:pStyle w:val="null3"/>
              <w:ind w:firstLine="560"/>
            </w:pPr>
            <w:r>
              <w:rPr>
                <w:rFonts w:ascii="仿宋_GB2312" w:hAnsi="仿宋_GB2312" w:cs="仿宋_GB2312" w:eastAsia="仿宋_GB2312"/>
                <w:color w:val="000000"/>
              </w:rPr>
              <w:t>1、精准性原则：聚焦野生动植物分布密集区域、西安市重点鸟类栖息区域及城市人流密集区域，结合不同场景、不同人群的认知特点，靶向设计宣传内容和呈现形式，确保宣传工作精准发力、直击痛点、务求实效。</w:t>
            </w:r>
          </w:p>
          <w:p>
            <w:pPr>
              <w:pStyle w:val="null3"/>
              <w:ind w:firstLine="560"/>
            </w:pPr>
            <w:r>
              <w:rPr>
                <w:rFonts w:ascii="仿宋_GB2312" w:hAnsi="仿宋_GB2312" w:cs="仿宋_GB2312" w:eastAsia="仿宋_GB2312"/>
                <w:color w:val="000000"/>
              </w:rPr>
              <w:t>2、实效性原则：坚决摒弃形式主义宣传，采用群众喜闻乐见、通俗易懂、互动性强的宣传形式，将普法知识、保护野生动植物理念融入日常场景和互动体验之中，确保宣传内容入脑入心、落地见效，真正实现“宣传一次、影响一片”。</w:t>
            </w:r>
          </w:p>
          <w:p>
            <w:pPr>
              <w:pStyle w:val="null3"/>
              <w:ind w:firstLine="560"/>
            </w:pPr>
            <w:r>
              <w:rPr>
                <w:rFonts w:ascii="仿宋_GB2312" w:hAnsi="仿宋_GB2312" w:cs="仿宋_GB2312" w:eastAsia="仿宋_GB2312"/>
                <w:color w:val="000000"/>
              </w:rPr>
              <w:t>3、系统性原则：整合多形式宣传资源，统筹推进线下“七进”活动、户外宣传阵地、媒体宣传推广三大板块，构建“活动+阵地+媒体”三位一体的宣传矩阵，实现宣传内容、宣传渠道、宣传效果的有机统一，提升宣传工作的系统性和整体性。</w:t>
            </w:r>
          </w:p>
          <w:p>
            <w:pPr>
              <w:pStyle w:val="null3"/>
              <w:ind w:firstLine="560"/>
            </w:pPr>
            <w:r>
              <w:rPr>
                <w:rFonts w:ascii="仿宋_GB2312" w:hAnsi="仿宋_GB2312" w:cs="仿宋_GB2312" w:eastAsia="仿宋_GB2312"/>
                <w:color w:val="000000"/>
              </w:rPr>
              <w:t>4、安全性原则：严格遵守西安市活动安全管理相关规定，全面排查各类活动场地、施工区域的安全隐患，制定科学完善的安全应急预案，配备充足的安全保障人员和应急物资，确保所有宣传活动安全、有序、平稳推进。</w:t>
            </w:r>
          </w:p>
          <w:p>
            <w:pPr>
              <w:pStyle w:val="null3"/>
              <w:ind w:firstLine="562"/>
            </w:pPr>
            <w:r>
              <w:rPr>
                <w:rFonts w:ascii="仿宋_GB2312" w:hAnsi="仿宋_GB2312" w:cs="仿宋_GB2312" w:eastAsia="仿宋_GB2312"/>
                <w:b/>
                <w:color w:val="000000"/>
              </w:rPr>
              <w:t>二、具体实施内容及执行方案</w:t>
            </w:r>
          </w:p>
          <w:p>
            <w:pPr>
              <w:pStyle w:val="null3"/>
              <w:ind w:firstLine="562"/>
            </w:pPr>
            <w:r>
              <w:rPr>
                <w:rFonts w:ascii="仿宋_GB2312" w:hAnsi="仿宋_GB2312" w:cs="仿宋_GB2312" w:eastAsia="仿宋_GB2312"/>
                <w:b/>
                <w:color w:val="000000"/>
              </w:rPr>
              <w:t>（一）野生动植物保护“七进”主题宣传活动（5场次）</w:t>
            </w:r>
          </w:p>
          <w:tbl>
            <w:tblPr>
              <w:tblInd w:type="dxa" w:w="120"/>
              <w:tblBorders>
                <w:top w:val="none" w:color="000000" w:sz="4"/>
                <w:left w:val="none" w:color="000000" w:sz="4"/>
                <w:bottom w:val="none" w:color="000000" w:sz="4"/>
                <w:right w:val="none" w:color="000000" w:sz="4"/>
                <w:insideH w:val="none"/>
                <w:insideV w:val="none"/>
              </w:tblBorders>
            </w:tblPr>
            <w:tblGrid>
              <w:gridCol w:w="230"/>
              <w:gridCol w:w="515"/>
              <w:gridCol w:w="860"/>
              <w:gridCol w:w="471"/>
              <w:gridCol w:w="477"/>
            </w:tblGrid>
            <w:tr>
              <w:tc>
                <w:tcPr>
                  <w:tcW w:type="dxa" w:w="230"/>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b/>
                      <w:color w:val="000000"/>
                    </w:rPr>
                    <w:t>场次</w:t>
                  </w:r>
                </w:p>
              </w:tc>
              <w:tc>
                <w:tcPr>
                  <w:tcW w:type="dxa" w:w="515"/>
                  <w:tcBorders>
                    <w:top w:val="singl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b/>
                      <w:color w:val="000000"/>
                    </w:rPr>
                    <w:t>活动</w:t>
                  </w:r>
                </w:p>
                <w:p>
                  <w:pPr>
                    <w:pStyle w:val="null3"/>
                    <w:jc w:val="center"/>
                  </w:pPr>
                  <w:r>
                    <w:rPr>
                      <w:rFonts w:ascii="仿宋_GB2312" w:hAnsi="仿宋_GB2312" w:cs="仿宋_GB2312" w:eastAsia="仿宋_GB2312"/>
                      <w:sz w:val="19"/>
                      <w:b/>
                      <w:color w:val="000000"/>
                    </w:rPr>
                    <w:t>主题</w:t>
                  </w:r>
                </w:p>
              </w:tc>
              <w:tc>
                <w:tcPr>
                  <w:tcW w:type="dxa" w:w="860"/>
                  <w:tcBorders>
                    <w:top w:val="singl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b/>
                      <w:color w:val="000000"/>
                    </w:rPr>
                    <w:t>目标人群</w:t>
                  </w:r>
                </w:p>
              </w:tc>
              <w:tc>
                <w:tcPr>
                  <w:tcW w:type="dxa" w:w="471"/>
                  <w:tcBorders>
                    <w:top w:val="singl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b/>
                      <w:color w:val="000000"/>
                    </w:rPr>
                    <w:t>活动</w:t>
                  </w:r>
                </w:p>
                <w:p>
                  <w:pPr>
                    <w:pStyle w:val="null3"/>
                    <w:jc w:val="center"/>
                  </w:pPr>
                  <w:r>
                    <w:rPr>
                      <w:rFonts w:ascii="仿宋_GB2312" w:hAnsi="仿宋_GB2312" w:cs="仿宋_GB2312" w:eastAsia="仿宋_GB2312"/>
                      <w:sz w:val="19"/>
                      <w:b/>
                      <w:color w:val="000000"/>
                    </w:rPr>
                    <w:t>地点</w:t>
                  </w:r>
                </w:p>
              </w:tc>
              <w:tc>
                <w:tcPr>
                  <w:tcW w:type="dxa" w:w="477"/>
                  <w:tcBorders>
                    <w:top w:val="singl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b/>
                      <w:color w:val="000000"/>
                    </w:rPr>
                    <w:t>活动时间</w:t>
                  </w:r>
                </w:p>
              </w:tc>
            </w:tr>
            <w:tr>
              <w:tc>
                <w:tcPr>
                  <w:tcW w:type="dxa" w:w="23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1</w:t>
                  </w:r>
                </w:p>
              </w:tc>
              <w:tc>
                <w:tcPr>
                  <w:tcW w:type="dxa" w:w="515"/>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“普法护鸟·共建家园”进社区</w:t>
                  </w:r>
                </w:p>
              </w:tc>
              <w:tc>
                <w:tcPr>
                  <w:tcW w:type="dxa" w:w="860"/>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社区居民、老年人、青少年，重点引导社区志愿者主动参与护鸟行动，形成社区护鸟合力。</w:t>
                  </w:r>
                </w:p>
              </w:tc>
              <w:tc>
                <w:tcPr>
                  <w:tcW w:type="dxa" w:w="471"/>
                  <w:vMerge w:val="restart"/>
                  <w:tcBorders>
                    <w:top w:val="none" w:color="000000" w:sz="4"/>
                    <w:left w:val="none" w:color="000000" w:sz="4"/>
                    <w:bottom w:val="single" w:color="DEE0E3"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西安市大型社区、中小学、西仓市场、政府机关单位、公园等场所</w:t>
                  </w:r>
                </w:p>
              </w:tc>
              <w:tc>
                <w:tcPr>
                  <w:tcW w:type="dxa" w:w="477"/>
                  <w:vMerge w:val="restart"/>
                  <w:tcBorders>
                    <w:top w:val="none" w:color="000000" w:sz="4"/>
                    <w:left w:val="none" w:color="000000" w:sz="4"/>
                    <w:bottom w:val="single" w:color="DEE0E3"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19"/>
                      <w:color w:val="000000"/>
                    </w:rPr>
                    <w:t>自合同生效</w:t>
                  </w:r>
                  <w:r>
                    <w:rPr>
                      <w:rFonts w:ascii="仿宋_GB2312" w:hAnsi="仿宋_GB2312" w:cs="仿宋_GB2312" w:eastAsia="仿宋_GB2312"/>
                      <w:sz w:val="19"/>
                      <w:color w:val="000000"/>
                    </w:rPr>
                    <w:t>之日起</w:t>
                  </w:r>
                  <w:r>
                    <w:rPr>
                      <w:rFonts w:ascii="仿宋_GB2312" w:hAnsi="仿宋_GB2312" w:cs="仿宋_GB2312" w:eastAsia="仿宋_GB2312"/>
                      <w:sz w:val="19"/>
                      <w:color w:val="000000"/>
                    </w:rPr>
                    <w:t>至2026年12月</w:t>
                  </w:r>
                  <w:r>
                    <w:rPr>
                      <w:rFonts w:ascii="仿宋_GB2312" w:hAnsi="仿宋_GB2312" w:cs="仿宋_GB2312" w:eastAsia="仿宋_GB2312"/>
                      <w:sz w:val="19"/>
                      <w:color w:val="000000"/>
                    </w:rPr>
                    <w:t>。</w:t>
                  </w:r>
                </w:p>
              </w:tc>
            </w:tr>
            <w:tr>
              <w:tc>
                <w:tcPr>
                  <w:tcW w:type="dxa" w:w="23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2</w:t>
                  </w:r>
                </w:p>
              </w:tc>
              <w:tc>
                <w:tcPr>
                  <w:tcW w:type="dxa" w:w="515"/>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“生态保护·从小做起”进校园</w:t>
                  </w:r>
                </w:p>
              </w:tc>
              <w:tc>
                <w:tcPr>
                  <w:tcW w:type="dxa" w:w="860"/>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中小学生、教师、学生家长，重点培养青少年的生态保护意识和责任担当，推动护鸟理念代代相传。</w:t>
                  </w:r>
                </w:p>
              </w:tc>
              <w:tc>
                <w:tcPr>
                  <w:tcW w:type="dxa" w:w="471"/>
                  <w:vMerge/>
                  <w:tcBorders>
                    <w:top w:val="none" w:color="000000" w:sz="4"/>
                    <w:left w:val="none" w:color="000000" w:sz="4"/>
                    <w:bottom w:val="single" w:color="DEE0E3" w:sz="4"/>
                    <w:right w:val="single" w:color="000000" w:sz="4"/>
                  </w:tcBorders>
                </w:tcPr>
                <w:p/>
              </w:tc>
              <w:tc>
                <w:tcPr>
                  <w:tcW w:type="dxa" w:w="477"/>
                  <w:vMerge/>
                  <w:tcBorders>
                    <w:top w:val="none" w:color="000000" w:sz="4"/>
                    <w:left w:val="none" w:color="000000" w:sz="4"/>
                    <w:bottom w:val="single" w:color="DEE0E3" w:sz="4"/>
                    <w:right w:val="single" w:color="000000" w:sz="4"/>
                  </w:tcBorders>
                </w:tcPr>
                <w:p/>
              </w:tc>
            </w:tr>
            <w:tr>
              <w:tc>
                <w:tcPr>
                  <w:tcW w:type="dxa" w:w="23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3</w:t>
                  </w:r>
                </w:p>
              </w:tc>
              <w:tc>
                <w:tcPr>
                  <w:tcW w:type="dxa" w:w="515"/>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“拒绝野味·守护生灵”进市场</w:t>
                  </w:r>
                </w:p>
              </w:tc>
              <w:tc>
                <w:tcPr>
                  <w:tcW w:type="dxa" w:w="860"/>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市场商户、采购消费者、市场管理人员，重点提升商户守法经营意识，杜绝非法鸟类交易。</w:t>
                  </w:r>
                </w:p>
              </w:tc>
              <w:tc>
                <w:tcPr>
                  <w:tcW w:type="dxa" w:w="471"/>
                  <w:vMerge/>
                  <w:tcBorders>
                    <w:top w:val="none" w:color="000000" w:sz="4"/>
                    <w:left w:val="none" w:color="000000" w:sz="4"/>
                    <w:bottom w:val="single" w:color="DEE0E3" w:sz="4"/>
                    <w:right w:val="single" w:color="000000" w:sz="4"/>
                  </w:tcBorders>
                </w:tcPr>
                <w:p/>
              </w:tc>
              <w:tc>
                <w:tcPr>
                  <w:tcW w:type="dxa" w:w="477"/>
                  <w:vMerge/>
                  <w:tcBorders>
                    <w:top w:val="none" w:color="000000" w:sz="4"/>
                    <w:left w:val="none" w:color="000000" w:sz="4"/>
                    <w:bottom w:val="single" w:color="DEE0E3" w:sz="4"/>
                    <w:right w:val="single" w:color="000000" w:sz="4"/>
                  </w:tcBorders>
                </w:tcPr>
                <w:p/>
              </w:tc>
            </w:tr>
            <w:tr>
              <w:tc>
                <w:tcPr>
                  <w:tcW w:type="dxa" w:w="23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4</w:t>
                  </w:r>
                </w:p>
              </w:tc>
              <w:tc>
                <w:tcPr>
                  <w:tcW w:type="dxa" w:w="515"/>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“依法护鸟·人人有责”进机关</w:t>
                  </w:r>
                </w:p>
              </w:tc>
              <w:tc>
                <w:tcPr>
                  <w:tcW w:type="dxa" w:w="860"/>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机关干部、公职人员，充分发挥公职人员的示范引领作用，推动护鸟工作落地落细。</w:t>
                  </w:r>
                </w:p>
              </w:tc>
              <w:tc>
                <w:tcPr>
                  <w:tcW w:type="dxa" w:w="471"/>
                  <w:vMerge/>
                  <w:tcBorders>
                    <w:top w:val="none" w:color="000000" w:sz="4"/>
                    <w:left w:val="none" w:color="000000" w:sz="4"/>
                    <w:bottom w:val="single" w:color="DEE0E3" w:sz="4"/>
                    <w:right w:val="single" w:color="000000" w:sz="4"/>
                  </w:tcBorders>
                </w:tcPr>
                <w:p/>
              </w:tc>
              <w:tc>
                <w:tcPr>
                  <w:tcW w:type="dxa" w:w="477"/>
                  <w:vMerge/>
                  <w:tcBorders>
                    <w:top w:val="none" w:color="000000" w:sz="4"/>
                    <w:left w:val="none" w:color="000000" w:sz="4"/>
                    <w:bottom w:val="single" w:color="DEE0E3" w:sz="4"/>
                    <w:right w:val="single" w:color="000000" w:sz="4"/>
                  </w:tcBorders>
                </w:tcPr>
                <w:p/>
              </w:tc>
            </w:tr>
            <w:tr>
              <w:tc>
                <w:tcPr>
                  <w:tcW w:type="dxa" w:w="23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5</w:t>
                  </w:r>
                </w:p>
              </w:tc>
              <w:tc>
                <w:tcPr>
                  <w:tcW w:type="dxa" w:w="515"/>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“守护秦岭·守护生态家园”进公园</w:t>
                  </w:r>
                </w:p>
              </w:tc>
              <w:tc>
                <w:tcPr>
                  <w:tcW w:type="dxa" w:w="860"/>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公园游客、亲子家庭、户外爱好者，重点覆盖关注生态保护、热爱自然的群体，提升宣传针对性。</w:t>
                  </w:r>
                </w:p>
              </w:tc>
              <w:tc>
                <w:tcPr>
                  <w:tcW w:type="dxa" w:w="471"/>
                  <w:vMerge/>
                  <w:tcBorders>
                    <w:top w:val="none" w:color="000000" w:sz="4"/>
                    <w:left w:val="none" w:color="000000" w:sz="4"/>
                    <w:bottom w:val="single" w:color="DEE0E3" w:sz="4"/>
                    <w:right w:val="single" w:color="000000" w:sz="4"/>
                  </w:tcBorders>
                </w:tcPr>
                <w:p/>
              </w:tc>
              <w:tc>
                <w:tcPr>
                  <w:tcW w:type="dxa" w:w="477"/>
                  <w:vMerge/>
                  <w:tcBorders>
                    <w:top w:val="none" w:color="000000" w:sz="4"/>
                    <w:left w:val="none" w:color="000000" w:sz="4"/>
                    <w:bottom w:val="single" w:color="DEE0E3" w:sz="4"/>
                    <w:right w:val="single" w:color="000000" w:sz="4"/>
                  </w:tcBorders>
                </w:tcPr>
                <w:p/>
              </w:tc>
            </w:tr>
          </w:tbl>
          <w:p>
            <w:pPr>
              <w:pStyle w:val="null3"/>
              <w:ind w:firstLine="562"/>
            </w:pPr>
            <w:r>
              <w:rPr>
                <w:rFonts w:ascii="仿宋_GB2312" w:hAnsi="仿宋_GB2312" w:cs="仿宋_GB2312" w:eastAsia="仿宋_GB2312"/>
                <w:b/>
                <w:color w:val="000000"/>
              </w:rPr>
              <w:t>（二）重点鸟类栖息区域户外公益宣传广告牌设置（10块）</w:t>
            </w:r>
          </w:p>
          <w:p>
            <w:pPr>
              <w:pStyle w:val="null3"/>
              <w:ind w:firstLine="562"/>
            </w:pPr>
            <w:r>
              <w:rPr>
                <w:rFonts w:ascii="仿宋_GB2312" w:hAnsi="仿宋_GB2312" w:cs="仿宋_GB2312" w:eastAsia="仿宋_GB2312"/>
                <w:b/>
                <w:color w:val="000000"/>
              </w:rPr>
              <w:t>1、选址原则</w:t>
            </w:r>
          </w:p>
          <w:p>
            <w:pPr>
              <w:pStyle w:val="null3"/>
              <w:ind w:firstLine="560"/>
            </w:pPr>
            <w:r>
              <w:rPr>
                <w:rFonts w:ascii="仿宋_GB2312" w:hAnsi="仿宋_GB2312" w:cs="仿宋_GB2312" w:eastAsia="仿宋_GB2312"/>
                <w:color w:val="000000"/>
              </w:rPr>
              <w:t>（1）优先选择西安市重点鸟类栖息区域入口、周边主干道或观景台，确保宣传覆盖鸟类活动核心区域，有效引导进入该区域的人员树立护鸟意识、规范自身行为。</w:t>
            </w:r>
          </w:p>
          <w:p>
            <w:pPr>
              <w:pStyle w:val="null3"/>
              <w:ind w:firstLine="560"/>
            </w:pPr>
            <w:r>
              <w:rPr>
                <w:rFonts w:ascii="仿宋_GB2312" w:hAnsi="仿宋_GB2312" w:cs="仿宋_GB2312" w:eastAsia="仿宋_GB2312"/>
                <w:color w:val="000000"/>
              </w:rPr>
              <w:t>（2）全面覆盖非法猎捕贩卖高发区域周边，重点选择过往车辆、人员流量较大的路段，充分发挥宣传警示作用，有效震慑非法猎捕野生鸟类的违法行为。</w:t>
            </w:r>
          </w:p>
          <w:p>
            <w:pPr>
              <w:pStyle w:val="null3"/>
              <w:ind w:firstLine="560"/>
            </w:pPr>
            <w:r>
              <w:rPr>
                <w:rFonts w:ascii="仿宋_GB2312" w:hAnsi="仿宋_GB2312" w:cs="仿宋_GB2312" w:eastAsia="仿宋_GB2312"/>
                <w:color w:val="000000"/>
              </w:rPr>
              <w:t>（3）确保广告牌位置醒目、无树木、建筑物等遮挡，同时严格符合户外广告设置相关规定，避免影响周边生态环境和交通秩序，实现宣传效果与生态保护的有机统一。</w:t>
            </w:r>
          </w:p>
          <w:p>
            <w:pPr>
              <w:pStyle w:val="null3"/>
              <w:ind w:firstLine="562"/>
            </w:pPr>
            <w:r>
              <w:rPr>
                <w:rFonts w:ascii="仿宋_GB2312" w:hAnsi="仿宋_GB2312" w:cs="仿宋_GB2312" w:eastAsia="仿宋_GB2312"/>
                <w:b/>
                <w:color w:val="000000"/>
              </w:rPr>
              <w:t>2、拟选址清单</w:t>
            </w:r>
          </w:p>
          <w:tbl>
            <w:tblPr>
              <w:tblInd w:type="dxa" w:w="135"/>
              <w:tblBorders>
                <w:top w:val="none" w:color="000000" w:sz="4"/>
                <w:left w:val="none" w:color="000000" w:sz="4"/>
                <w:bottom w:val="none" w:color="000000" w:sz="4"/>
                <w:right w:val="none" w:color="000000" w:sz="4"/>
                <w:insideH w:val="none"/>
                <w:insideV w:val="none"/>
              </w:tblBorders>
            </w:tblPr>
            <w:tblGrid>
              <w:gridCol w:w="739"/>
              <w:gridCol w:w="647"/>
              <w:gridCol w:w="1167"/>
            </w:tblGrid>
            <w:tr>
              <w:tc>
                <w:tcPr>
                  <w:tcW w:type="dxa" w:w="739"/>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b/>
                      <w:color w:val="000000"/>
                    </w:rPr>
                    <w:t>区域类型</w:t>
                  </w:r>
                </w:p>
              </w:tc>
              <w:tc>
                <w:tcPr>
                  <w:tcW w:type="dxa" w:w="647"/>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b/>
                      <w:color w:val="000000"/>
                    </w:rPr>
                    <w:t>数量</w:t>
                  </w:r>
                </w:p>
              </w:tc>
              <w:tc>
                <w:tcPr>
                  <w:tcW w:type="dxa" w:w="1167"/>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b/>
                      <w:color w:val="000000"/>
                    </w:rPr>
                    <w:t>设置要求</w:t>
                  </w:r>
                </w:p>
              </w:tc>
            </w:tr>
            <w:tr>
              <w:tc>
                <w:tcPr>
                  <w:tcW w:type="dxa" w:w="7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湿地生态区</w:t>
                  </w:r>
                </w:p>
              </w:tc>
              <w:tc>
                <w:tcPr>
                  <w:tcW w:type="dxa" w:w="6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4 块</w:t>
                  </w:r>
                </w:p>
              </w:tc>
              <w:tc>
                <w:tcPr>
                  <w:tcW w:type="dxa" w:w="1167"/>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视野开阔无遮挡，与周边自然景观协调</w:t>
                  </w:r>
                </w:p>
              </w:tc>
            </w:tr>
            <w:tr>
              <w:tc>
                <w:tcPr>
                  <w:tcW w:type="dxa" w:w="7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森林公园</w:t>
                  </w:r>
                </w:p>
              </w:tc>
              <w:tc>
                <w:tcPr>
                  <w:tcW w:type="dxa" w:w="6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3 块</w:t>
                  </w:r>
                </w:p>
              </w:tc>
              <w:tc>
                <w:tcPr>
                  <w:tcW w:type="dxa" w:w="1167"/>
                  <w:vMerge/>
                  <w:tcBorders>
                    <w:top w:val="none" w:color="000000" w:sz="4"/>
                    <w:left w:val="single" w:color="000000" w:sz="4"/>
                    <w:bottom w:val="single" w:color="000000" w:sz="4"/>
                    <w:right w:val="single" w:color="000000" w:sz="4"/>
                  </w:tcBorders>
                </w:tcPr>
                <w:p/>
              </w:tc>
            </w:tr>
            <w:tr>
              <w:tc>
                <w:tcPr>
                  <w:tcW w:type="dxa" w:w="7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候鸟栖息地</w:t>
                  </w:r>
                </w:p>
              </w:tc>
              <w:tc>
                <w:tcPr>
                  <w:tcW w:type="dxa" w:w="6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3 块</w:t>
                  </w:r>
                </w:p>
              </w:tc>
              <w:tc>
                <w:tcPr>
                  <w:tcW w:type="dxa" w:w="1167"/>
                  <w:vMerge/>
                  <w:tcBorders>
                    <w:top w:val="none" w:color="000000" w:sz="4"/>
                    <w:left w:val="single" w:color="000000" w:sz="4"/>
                    <w:bottom w:val="single" w:color="000000" w:sz="4"/>
                    <w:right w:val="single" w:color="000000" w:sz="4"/>
                  </w:tcBorders>
                </w:tcPr>
                <w:p/>
              </w:tc>
            </w:tr>
          </w:tbl>
          <w:p>
            <w:pPr>
              <w:pStyle w:val="null3"/>
              <w:ind w:firstLine="562"/>
            </w:pPr>
            <w:r>
              <w:rPr>
                <w:rFonts w:ascii="仿宋_GB2312" w:hAnsi="仿宋_GB2312" w:cs="仿宋_GB2312" w:eastAsia="仿宋_GB2312"/>
                <w:b/>
                <w:color w:val="000000"/>
              </w:rPr>
              <w:t>3、设计与制作要求</w:t>
            </w:r>
          </w:p>
          <w:p>
            <w:pPr>
              <w:pStyle w:val="null3"/>
              <w:ind w:firstLine="560"/>
            </w:pPr>
            <w:r>
              <w:rPr>
                <w:rFonts w:ascii="仿宋_GB2312" w:hAnsi="仿宋_GB2312" w:cs="仿宋_GB2312" w:eastAsia="仿宋_GB2312"/>
                <w:color w:val="000000"/>
              </w:rPr>
              <w:t>（1）尺寸：统一采用2.5m×4m大型户外广告牌，整体比例协调、视觉冲击力强，确保远距离可清晰识别宣传内容，提升宣传效果。</w:t>
            </w:r>
          </w:p>
          <w:p>
            <w:pPr>
              <w:pStyle w:val="null3"/>
              <w:ind w:firstLine="560"/>
            </w:pPr>
            <w:r>
              <w:rPr>
                <w:rFonts w:ascii="仿宋_GB2312" w:hAnsi="仿宋_GB2312" w:cs="仿宋_GB2312" w:eastAsia="仿宋_GB2312"/>
                <w:color w:val="000000"/>
              </w:rPr>
              <w:t>（2）材质：标志牌材质为3.0厚铝板，宣传内容为七年超工程反光膜打印贴覆，立柱为热镀锌圆管。</w:t>
            </w:r>
          </w:p>
          <w:p>
            <w:pPr>
              <w:pStyle w:val="null3"/>
              <w:ind w:firstLine="560"/>
            </w:pPr>
            <w:r>
              <w:rPr>
                <w:rFonts w:ascii="仿宋_GB2312" w:hAnsi="仿宋_GB2312" w:cs="仿宋_GB2312" w:eastAsia="仿宋_GB2312"/>
                <w:color w:val="000000"/>
              </w:rPr>
              <w:t>（3）内容设计：采用简洁有力、通俗易懂的语言，突出普法和倡议引导双重功能，主要包含“守护秦岭精灵·共建生态家园”“爱鸟护鸟，从我做起，守护秦岭生态”等内容；字体选用清晰醒目、庄重大气的宋体，确保远距离可清晰识别，强化宣传效果。</w:t>
            </w:r>
          </w:p>
          <w:p>
            <w:pPr>
              <w:pStyle w:val="null3"/>
              <w:ind w:firstLine="560"/>
            </w:pPr>
            <w:r>
              <w:rPr>
                <w:rFonts w:ascii="仿宋_GB2312" w:hAnsi="仿宋_GB2312" w:cs="仿宋_GB2312" w:eastAsia="仿宋_GB2312"/>
                <w:color w:val="000000"/>
              </w:rPr>
              <w:t>（4）安装要求：严格按照户外广告安装规范施工，提前对安装场地进行全面勘察，搭建牢固的基础支架，确保广告牌结构安全稳固，能够抵御大风、暴雨等恶劣天气；安装过程中严格遵守生态保护相关规定，避免破坏周边植被和生态环境；安装完成后，组织专业人员进行全面安全验收，确保安装质量符合相关标准和要求。</w:t>
            </w:r>
          </w:p>
          <w:p>
            <w:pPr>
              <w:pStyle w:val="null3"/>
              <w:ind w:firstLine="562"/>
            </w:pPr>
            <w:r>
              <w:rPr>
                <w:rFonts w:ascii="仿宋_GB2312" w:hAnsi="仿宋_GB2312" w:cs="仿宋_GB2312" w:eastAsia="仿宋_GB2312"/>
                <w:b/>
                <w:color w:val="000000"/>
              </w:rPr>
              <w:t>（三）地铁广告投放（20块车厢广告牌+2条地铁线电视）</w:t>
            </w:r>
          </w:p>
          <w:p>
            <w:pPr>
              <w:pStyle w:val="null3"/>
              <w:ind w:firstLine="562"/>
            </w:pPr>
            <w:r>
              <w:rPr>
                <w:rFonts w:ascii="仿宋_GB2312" w:hAnsi="仿宋_GB2312" w:cs="仿宋_GB2312" w:eastAsia="仿宋_GB2312"/>
                <w:b/>
                <w:color w:val="000000"/>
              </w:rPr>
              <w:t>1、投放规划</w:t>
            </w:r>
          </w:p>
          <w:p>
            <w:pPr>
              <w:pStyle w:val="null3"/>
              <w:ind w:firstLine="560"/>
            </w:pPr>
            <w:r>
              <w:rPr>
                <w:rFonts w:ascii="仿宋_GB2312" w:hAnsi="仿宋_GB2312" w:cs="仿宋_GB2312" w:eastAsia="仿宋_GB2312"/>
                <w:color w:val="000000"/>
              </w:rPr>
              <w:t>（1）车厢广告牌：选择西安地铁客流量最大的1条线路，该线路贯穿西安市区核心商圈、居民区、交通枢纽，可有效覆盖大量通勤人群和游客；投放20块车厢内看板广告，均匀分布在不同车厢，重点覆盖早晚高峰通勤人群，确保广告曝光量最大化。</w:t>
            </w:r>
          </w:p>
          <w:p>
            <w:pPr>
              <w:pStyle w:val="null3"/>
              <w:ind w:firstLine="560"/>
            </w:pPr>
            <w:r>
              <w:rPr>
                <w:rFonts w:ascii="仿宋_GB2312" w:hAnsi="仿宋_GB2312" w:cs="仿宋_GB2312" w:eastAsia="仿宋_GB2312"/>
                <w:color w:val="000000"/>
              </w:rPr>
              <w:t>（2）地铁电视：同步在2号线、4号线全线地铁电视（站点+车厢电视）投放30秒公益广告片，每天循环播放不少于60次，全面覆盖地铁运营全时段，重点在早晚高峰（7:00-9:00、17:00-19:00）增加播放频次，进一步提升广告触达率和宣传效果。</w:t>
            </w:r>
          </w:p>
          <w:p>
            <w:pPr>
              <w:pStyle w:val="null3"/>
              <w:ind w:firstLine="560"/>
            </w:pPr>
            <w:r>
              <w:rPr>
                <w:rFonts w:ascii="仿宋_GB2312" w:hAnsi="仿宋_GB2312" w:cs="仿宋_GB2312" w:eastAsia="仿宋_GB2312"/>
                <w:color w:val="000000"/>
              </w:rPr>
              <w:t>（3）投放周期：连续投放4周，覆盖一个完整的宣传周期，确保不同时间段、不同人群都能接触到护鸟宣传内容，形成持续的宣传影响力，切实巩固宣传效果。</w:t>
            </w:r>
          </w:p>
          <w:p>
            <w:pPr>
              <w:pStyle w:val="null3"/>
              <w:ind w:firstLine="562"/>
            </w:pPr>
            <w:r>
              <w:rPr>
                <w:rFonts w:ascii="仿宋_GB2312" w:hAnsi="仿宋_GB2312" w:cs="仿宋_GB2312" w:eastAsia="仿宋_GB2312"/>
                <w:b/>
                <w:color w:val="000000"/>
              </w:rPr>
              <w:t>2、广告内容设计</w:t>
            </w:r>
          </w:p>
          <w:p>
            <w:pPr>
              <w:pStyle w:val="null3"/>
              <w:ind w:firstLine="560"/>
            </w:pPr>
            <w:r>
              <w:rPr>
                <w:rFonts w:ascii="仿宋_GB2312" w:hAnsi="仿宋_GB2312" w:cs="仿宋_GB2312" w:eastAsia="仿宋_GB2312"/>
                <w:color w:val="000000"/>
              </w:rPr>
              <w:t>（1）车厢广告牌：宣传内容丰富多样，避免群众产生视觉疲劳；设计风格统一以绿色、蓝色为主色调，突出生态环保主题，图文结合、简洁醒目，适配地铁车厢场景。</w:t>
            </w:r>
          </w:p>
          <w:p>
            <w:pPr>
              <w:pStyle w:val="null3"/>
              <w:ind w:firstLine="560"/>
            </w:pPr>
            <w:r>
              <w:rPr>
                <w:rFonts w:ascii="仿宋_GB2312" w:hAnsi="仿宋_GB2312" w:cs="仿宋_GB2312" w:eastAsia="仿宋_GB2312"/>
                <w:color w:val="000000"/>
              </w:rPr>
              <w:t>（2）地铁电视广告片：30秒高清公益广告片，画面流畅、节奏紧凑，兼具视觉冲击力和教育意义；内容涵盖四个核心板块：秦岭鸟类优美画面（展现朱鹮、红腹锦鸡等鸟类的灵动姿态，彰显秦岭鸟类资源的丰富性）、全民爱鸟护鸟倡议（传递全民参与、共建共治的理念），强化宣传引导效果。</w:t>
            </w:r>
          </w:p>
          <w:p>
            <w:pPr>
              <w:pStyle w:val="null3"/>
              <w:ind w:firstLine="562"/>
            </w:pPr>
            <w:r>
              <w:rPr>
                <w:rFonts w:ascii="仿宋_GB2312" w:hAnsi="仿宋_GB2312" w:cs="仿宋_GB2312" w:eastAsia="仿宋_GB2312"/>
                <w:b/>
                <w:color w:val="000000"/>
              </w:rPr>
              <w:t>（四）“爱鸟护鸟”主题4K视频制作及地铁电视宣传</w:t>
            </w:r>
          </w:p>
          <w:p>
            <w:pPr>
              <w:pStyle w:val="null3"/>
              <w:ind w:firstLine="562"/>
            </w:pPr>
            <w:r>
              <w:rPr>
                <w:rFonts w:ascii="仿宋_GB2312" w:hAnsi="仿宋_GB2312" w:cs="仿宋_GB2312" w:eastAsia="仿宋_GB2312"/>
                <w:b/>
                <w:color w:val="000000"/>
              </w:rPr>
              <w:t>1、视频制作要求</w:t>
            </w:r>
          </w:p>
          <w:p>
            <w:pPr>
              <w:pStyle w:val="null3"/>
              <w:ind w:firstLine="560"/>
            </w:pPr>
            <w:r>
              <w:rPr>
                <w:rFonts w:ascii="仿宋_GB2312" w:hAnsi="仿宋_GB2312" w:cs="仿宋_GB2312" w:eastAsia="仿宋_GB2312"/>
                <w:color w:val="000000"/>
              </w:rPr>
              <w:t>（1）分辨率：严格按照4K超高清标准制作，分辨率为3840×2160，确保视频画面清晰、细节丰富，能够清晰展现秦岭鸟类的形态特征和秦岭生态的优美景色，提升视觉体验。</w:t>
            </w:r>
          </w:p>
          <w:p>
            <w:pPr>
              <w:pStyle w:val="null3"/>
              <w:ind w:firstLine="560"/>
            </w:pPr>
            <w:r>
              <w:rPr>
                <w:rFonts w:ascii="仿宋_GB2312" w:hAnsi="仿宋_GB2312" w:cs="仿宋_GB2312" w:eastAsia="仿宋_GB2312"/>
                <w:color w:val="000000"/>
              </w:rPr>
              <w:t>（2）时长：制作两个版本，45秒完整版（用于线上平台传播、线下活动播放，全面呈现宣传内容）和30秒地铁版（适配地铁电视播放时长，精简核心内容，突出重点），两个版本内容衔接一致、重点突出，适配不同宣传场景。</w:t>
            </w:r>
          </w:p>
          <w:p>
            <w:pPr>
              <w:pStyle w:val="null3"/>
              <w:ind w:firstLine="560"/>
            </w:pPr>
            <w:r>
              <w:rPr>
                <w:rFonts w:ascii="仿宋_GB2312" w:hAnsi="仿宋_GB2312" w:cs="仿宋_GB2312" w:eastAsia="仿宋_GB2312"/>
                <w:color w:val="000000"/>
              </w:rPr>
              <w:t>（3）风格：采用纪实与抒情相结合的风格，既真实展现秦岭野生鸟类的生存现状，又通过抒情的镜头和配乐，传递护鸟理念，兼具视觉冲击力和情感感染力，避免过于生硬的说教，增强群众的接受度。</w:t>
            </w:r>
          </w:p>
          <w:p>
            <w:pPr>
              <w:pStyle w:val="null3"/>
              <w:ind w:firstLine="562"/>
            </w:pPr>
            <w:r>
              <w:rPr>
                <w:rFonts w:ascii="仿宋_GB2312" w:hAnsi="仿宋_GB2312" w:cs="仿宋_GB2312" w:eastAsia="仿宋_GB2312"/>
                <w:b/>
                <w:color w:val="000000"/>
              </w:rPr>
              <w:t>2、地铁电视宣传</w:t>
            </w:r>
          </w:p>
          <w:p>
            <w:pPr>
              <w:pStyle w:val="null3"/>
              <w:ind w:firstLine="560"/>
            </w:pPr>
            <w:r>
              <w:rPr>
                <w:rFonts w:ascii="仿宋_GB2312" w:hAnsi="仿宋_GB2312" w:cs="仿宋_GB2312" w:eastAsia="仿宋_GB2312"/>
                <w:color w:val="000000"/>
              </w:rPr>
              <w:t>（1）选择西安地铁6号线全线电视投放45秒精简版视频，6号线贯穿西安多个商圈、居民区和景区，客流量大、覆盖人群广泛，能够有效扩大宣传覆盖面；投放位置覆盖地铁车厢电视和站台电视，确保乘客在候车、乘车过程中都能便捷看到宣传视频，提升宣传触达率。</w:t>
            </w:r>
          </w:p>
          <w:p>
            <w:pPr>
              <w:pStyle w:val="null3"/>
              <w:ind w:firstLine="560"/>
            </w:pPr>
            <w:r>
              <w:rPr>
                <w:rFonts w:ascii="仿宋_GB2312" w:hAnsi="仿宋_GB2312" w:cs="仿宋_GB2312" w:eastAsia="仿宋_GB2312"/>
                <w:color w:val="000000"/>
              </w:rPr>
              <w:t>（2）投放周期：连续投放4周，与地铁车厢广告牌、地铁线电视30秒广告片同步投放，形成宣传合力；每天循环播放，重点在早晚高峰增加播放频次，进一步提升广告触达率和宣传效果，确保宣传内容深入人心。</w:t>
            </w:r>
          </w:p>
          <w:p>
            <w:pPr>
              <w:pStyle w:val="null3"/>
              <w:ind w:firstLine="562"/>
            </w:pPr>
            <w:r>
              <w:rPr>
                <w:rFonts w:ascii="仿宋_GB2312" w:hAnsi="仿宋_GB2312" w:cs="仿宋_GB2312" w:eastAsia="仿宋_GB2312"/>
                <w:b/>
                <w:color w:val="000000"/>
              </w:rPr>
              <w:t>（五）“守护生态环境、共建和谐家园”书画展（5场次）</w:t>
            </w:r>
          </w:p>
          <w:p>
            <w:pPr>
              <w:pStyle w:val="null3"/>
              <w:ind w:firstLine="562"/>
            </w:pPr>
            <w:r>
              <w:rPr>
                <w:rFonts w:ascii="仿宋_GB2312" w:hAnsi="仿宋_GB2312" w:cs="仿宋_GB2312" w:eastAsia="仿宋_GB2312"/>
                <w:b/>
                <w:color w:val="000000"/>
              </w:rPr>
              <w:t>1、书画展项目前言</w:t>
            </w:r>
          </w:p>
          <w:p>
            <w:pPr>
              <w:pStyle w:val="null3"/>
              <w:ind w:firstLine="560"/>
            </w:pPr>
            <w:r>
              <w:rPr>
                <w:rFonts w:ascii="仿宋_GB2312" w:hAnsi="仿宋_GB2312" w:cs="仿宋_GB2312" w:eastAsia="仿宋_GB2312"/>
                <w:color w:val="000000"/>
              </w:rPr>
              <w:t>全面落实省、市野生鸟类保护工作部署，市林业局以“守护生态环境 共建和谐家园”为主题，面向社会广泛征集书画作品。活动自筹备以来，得到了社会各界的积极响应，共征集到来自全市各地书画创作者的作品1885幅。经过专业评委的严格评审，最终筛选出300幅优秀作品。作品涵盖书法、国画、水彩等多种艺术形式，创作者既有资深艺术家，也有青少年爱好者，更有扎根生态保护一线的工作者，不同视角的创作共同勾勒出人与自然和谐共生的美好图景。</w:t>
            </w:r>
          </w:p>
          <w:p>
            <w:pPr>
              <w:pStyle w:val="null3"/>
              <w:ind w:firstLine="562"/>
            </w:pPr>
            <w:r>
              <w:rPr>
                <w:rFonts w:ascii="仿宋_GB2312" w:hAnsi="仿宋_GB2312" w:cs="仿宋_GB2312" w:eastAsia="仿宋_GB2312"/>
                <w:b/>
                <w:color w:val="000000"/>
              </w:rPr>
              <w:t>2、巡展场次及规模</w:t>
            </w:r>
          </w:p>
          <w:p>
            <w:pPr>
              <w:pStyle w:val="null3"/>
              <w:ind w:firstLine="560"/>
            </w:pPr>
            <w:r>
              <w:rPr>
                <w:rFonts w:ascii="仿宋_GB2312" w:hAnsi="仿宋_GB2312" w:cs="仿宋_GB2312" w:eastAsia="仿宋_GB2312"/>
                <w:color w:val="000000"/>
              </w:rPr>
              <w:t>共计举办5场次，实现多区域覆盖，扩大活动宣传影响力。结合各展出场馆实际面积、空间布局及承载能力，合理规划每场巡展展出30-50幅优秀作品，确保展品陈列科学、观展体验良好，兼顾艺术性与观赏性。</w:t>
            </w:r>
          </w:p>
          <w:p>
            <w:pPr>
              <w:pStyle w:val="null3"/>
              <w:ind w:firstLine="562"/>
            </w:pPr>
            <w:r>
              <w:rPr>
                <w:rFonts w:ascii="仿宋_GB2312" w:hAnsi="仿宋_GB2312" w:cs="仿宋_GB2312" w:eastAsia="仿宋_GB2312"/>
                <w:b/>
                <w:color w:val="000000"/>
              </w:rPr>
              <w:t>3、书画展整体规划</w:t>
            </w:r>
          </w:p>
          <w:tbl>
            <w:tblPr>
              <w:tblInd w:type="dxa" w:w="360"/>
              <w:tblBorders>
                <w:top w:val="none" w:color="000000" w:sz="4"/>
                <w:left w:val="none" w:color="000000" w:sz="4"/>
                <w:bottom w:val="none" w:color="000000" w:sz="4"/>
                <w:right w:val="none" w:color="000000" w:sz="4"/>
                <w:insideH w:val="none"/>
                <w:insideV w:val="none"/>
              </w:tblBorders>
            </w:tblPr>
            <w:tblGrid>
              <w:gridCol w:w="357"/>
              <w:gridCol w:w="588"/>
              <w:gridCol w:w="550"/>
              <w:gridCol w:w="1058"/>
            </w:tblGrid>
            <w:tr>
              <w:tc>
                <w:tcPr>
                  <w:tcW w:type="dxa" w:w="357"/>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b/>
                      <w:color w:val="000000"/>
                    </w:rPr>
                    <w:t>巡展场次</w:t>
                  </w:r>
                </w:p>
              </w:tc>
              <w:tc>
                <w:tcPr>
                  <w:tcW w:type="dxa" w:w="588"/>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b/>
                      <w:color w:val="000000"/>
                    </w:rPr>
                    <w:t>展出场馆</w:t>
                  </w:r>
                </w:p>
              </w:tc>
              <w:tc>
                <w:tcPr>
                  <w:tcW w:type="dxa" w:w="550"/>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b/>
                      <w:color w:val="000000"/>
                    </w:rPr>
                    <w:t>展出作品数量</w:t>
                  </w:r>
                </w:p>
              </w:tc>
              <w:tc>
                <w:tcPr>
                  <w:tcW w:type="dxa" w:w="1058"/>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b/>
                      <w:color w:val="000000"/>
                    </w:rPr>
                    <w:t>核心任务</w:t>
                  </w:r>
                </w:p>
              </w:tc>
            </w:tr>
            <w:tr>
              <w:tc>
                <w:tcPr>
                  <w:tcW w:type="dxa" w:w="35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第1场</w:t>
                  </w:r>
                </w:p>
              </w:tc>
              <w:tc>
                <w:tcPr>
                  <w:tcW w:type="dxa" w:w="588"/>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在政府办公楼、商场、公园等展品场馆</w:t>
                  </w:r>
                </w:p>
              </w:tc>
              <w:tc>
                <w:tcPr>
                  <w:tcW w:type="dxa" w:w="55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30-50幅</w:t>
                  </w:r>
                </w:p>
              </w:tc>
              <w:tc>
                <w:tcPr>
                  <w:tcW w:type="dxa" w:w="105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启动巡展工作，优化展陈流程与服务细节，广泛收集观展群众反馈，为后续场次优化奠定基础。</w:t>
                  </w:r>
                </w:p>
              </w:tc>
            </w:tr>
            <w:tr>
              <w:tc>
                <w:tcPr>
                  <w:tcW w:type="dxa" w:w="35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第2-4场</w:t>
                  </w:r>
                </w:p>
              </w:tc>
              <w:tc>
                <w:tcPr>
                  <w:tcW w:type="dxa" w:w="588"/>
                  <w:vMerge/>
                  <w:tcBorders>
                    <w:top w:val="none" w:color="000000" w:sz="4"/>
                    <w:left w:val="single" w:color="000000" w:sz="4"/>
                    <w:bottom w:val="single" w:color="000000" w:sz="4"/>
                    <w:right w:val="single" w:color="000000" w:sz="4"/>
                  </w:tcBorders>
                </w:tcPr>
                <w:p/>
              </w:tc>
              <w:tc>
                <w:tcPr>
                  <w:tcW w:type="dxa" w:w="55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每场30-50幅（轮换展品，确保优秀作品均获得展示机会）</w:t>
                  </w:r>
                </w:p>
              </w:tc>
              <w:tc>
                <w:tcPr>
                  <w:tcW w:type="dxa" w:w="105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开展常态化巡展，同步推进配套宣传工作，持续扩大活动影响力，深化生态环保理念传播。</w:t>
                  </w:r>
                </w:p>
              </w:tc>
            </w:tr>
            <w:tr>
              <w:tc>
                <w:tcPr>
                  <w:tcW w:type="dxa" w:w="35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第5场</w:t>
                  </w:r>
                </w:p>
              </w:tc>
              <w:tc>
                <w:tcPr>
                  <w:tcW w:type="dxa" w:w="588"/>
                  <w:vMerge/>
                  <w:tcBorders>
                    <w:top w:val="none" w:color="000000" w:sz="4"/>
                    <w:left w:val="single" w:color="000000" w:sz="4"/>
                    <w:bottom w:val="single" w:color="000000" w:sz="4"/>
                    <w:right w:val="single" w:color="000000" w:sz="4"/>
                  </w:tcBorders>
                </w:tcPr>
                <w:p/>
              </w:tc>
              <w:tc>
                <w:tcPr>
                  <w:tcW w:type="dxa" w:w="55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30-50幅（精选优秀代表作）</w:t>
                  </w:r>
                </w:p>
              </w:tc>
              <w:tc>
                <w:tcPr>
                  <w:tcW w:type="dxa" w:w="105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完成巡展总结工作，集中展示活动亮点作品，巩固宣传成效，实现巡展圆满收尾。</w:t>
                  </w:r>
                </w:p>
              </w:tc>
            </w:tr>
          </w:tbl>
          <w:p>
            <w:pPr>
              <w:pStyle w:val="null3"/>
              <w:ind w:firstLine="562"/>
            </w:pPr>
            <w:r>
              <w:rPr>
                <w:rFonts w:ascii="仿宋_GB2312" w:hAnsi="仿宋_GB2312" w:cs="仿宋_GB2312" w:eastAsia="仿宋_GB2312"/>
                <w:b/>
                <w:color w:val="000000"/>
              </w:rPr>
              <w:t>三、应急预案</w:t>
            </w:r>
          </w:p>
          <w:tbl>
            <w:tblPr>
              <w:tblInd w:type="dxa" w:w="120"/>
              <w:tblBorders>
                <w:top w:val="none" w:color="000000" w:sz="4"/>
                <w:left w:val="none" w:color="000000" w:sz="4"/>
                <w:bottom w:val="none" w:color="000000" w:sz="4"/>
                <w:right w:val="none" w:color="000000" w:sz="4"/>
                <w:insideH w:val="none"/>
                <w:insideV w:val="none"/>
              </w:tblBorders>
            </w:tblPr>
            <w:tblGrid>
              <w:gridCol w:w="317"/>
              <w:gridCol w:w="561"/>
              <w:gridCol w:w="1675"/>
            </w:tblGrid>
            <w:tr>
              <w:tc>
                <w:tcPr>
                  <w:tcW w:type="dxa" w:w="317"/>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b/>
                      <w:color w:val="000000"/>
                    </w:rPr>
                    <w:t>风险类型</w:t>
                  </w:r>
                </w:p>
              </w:tc>
              <w:tc>
                <w:tcPr>
                  <w:tcW w:type="dxa" w:w="561"/>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b/>
                      <w:color w:val="000000"/>
                    </w:rPr>
                    <w:t>风险描述</w:t>
                  </w:r>
                </w:p>
              </w:tc>
              <w:tc>
                <w:tcPr>
                  <w:tcW w:type="dxa" w:w="1675"/>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b/>
                      <w:color w:val="000000"/>
                    </w:rPr>
                    <w:t>应对措施</w:t>
                  </w:r>
                </w:p>
              </w:tc>
            </w:tr>
            <w:tr>
              <w:tc>
                <w:tcPr>
                  <w:tcW w:type="dxa" w:w="31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恶劣天气影响</w:t>
                  </w:r>
                </w:p>
              </w:tc>
              <w:tc>
                <w:tcPr>
                  <w:tcW w:type="dxa" w:w="56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户外活动期间遭遇暴雨、大风、高温等极端天气</w:t>
                  </w:r>
                </w:p>
              </w:tc>
              <w:tc>
                <w:tcPr>
                  <w:tcW w:type="dxa" w:w="167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①提前3天密切关注天气预报，建立天气预警机制；②每场户外活动预留2个自然日缓冲期，遇极端天气可调整至室内场地或延期举办；③现场准备临时避雨棚、降温设备等应急物资。</w:t>
                  </w:r>
                </w:p>
              </w:tc>
            </w:tr>
            <w:tr>
              <w:tc>
                <w:tcPr>
                  <w:tcW w:type="dxa" w:w="31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宣传物料破损</w:t>
                  </w:r>
                </w:p>
              </w:tc>
              <w:tc>
                <w:tcPr>
                  <w:tcW w:type="dxa" w:w="56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广告牌、地铁广告、宣传物料出现破损</w:t>
                  </w:r>
                </w:p>
              </w:tc>
              <w:tc>
                <w:tcPr>
                  <w:tcW w:type="dxa" w:w="167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①安排专人每周巡查广告牌及地铁广告，发现破损4小时内完成更换修复；②与制作方签订应急维修协议，确保快速响应。</w:t>
                  </w:r>
                </w:p>
              </w:tc>
            </w:tr>
            <w:tr>
              <w:tc>
                <w:tcPr>
                  <w:tcW w:type="dxa" w:w="31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视频制作延误</w:t>
                  </w:r>
                </w:p>
              </w:tc>
              <w:tc>
                <w:tcPr>
                  <w:tcW w:type="dxa" w:w="56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因拍摄条件、人员突发情况导致视频制作延误</w:t>
                  </w:r>
                </w:p>
              </w:tc>
              <w:tc>
                <w:tcPr>
                  <w:tcW w:type="dxa" w:w="167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①前期预留10个自然日缓冲期，分阶段提交样片（脚本确认→拍摄素材→初剪版→终版），避免集中修改；②组建备选拍摄团队，配备备用设备，若主团队出现问题立即启动备选方案；③与采购人提前沟通可能的延误情况，协商调整交付时间。</w:t>
                  </w:r>
                </w:p>
              </w:tc>
            </w:tr>
            <w:tr>
              <w:tc>
                <w:tcPr>
                  <w:tcW w:type="dxa" w:w="31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展品安全风险</w:t>
                  </w:r>
                </w:p>
              </w:tc>
              <w:tc>
                <w:tcPr>
                  <w:tcW w:type="dxa" w:w="56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书画作品在运输、展览期间出现丢失、损坏</w:t>
                  </w:r>
                </w:p>
              </w:tc>
              <w:tc>
                <w:tcPr>
                  <w:tcW w:type="dxa" w:w="167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①作品运输采用防震、防潮、防盗包装，配备2名专人押运；②展览场地安装监控设备，安排志愿者24小时看护，制定展品出入库登记制度；③若发生作品损坏，立即联系作者提供补拍/补画方案。</w:t>
                  </w:r>
                </w:p>
              </w:tc>
            </w:tr>
            <w:tr>
              <w:tc>
                <w:tcPr>
                  <w:tcW w:type="dxa" w:w="31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现场安全事件</w:t>
                  </w:r>
                </w:p>
              </w:tc>
              <w:tc>
                <w:tcPr>
                  <w:tcW w:type="dxa" w:w="56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活动现场出现人员拥挤、受伤、突发疾病等情况</w:t>
                  </w:r>
                </w:p>
              </w:tc>
              <w:tc>
                <w:tcPr>
                  <w:tcW w:type="dxa" w:w="167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19"/>
                      <w:color w:val="000000"/>
                    </w:rPr>
                    <w:t>①每场活动严格控制现场参与人数，设置导流标识及隔离带，安排专人疏导人流；②配备专业急救箱，可快速处理轻微受伤及突发疾病；③与周边医院建立应急联动机制，遇严重情况立即拨打 120 急救电话，并安排专人跟进。</w:t>
                  </w:r>
                </w:p>
              </w:tc>
            </w:tr>
          </w:tbl>
          <w:p>
            <w:pPr>
              <w:pStyle w:val="null3"/>
              <w:ind w:firstLine="562"/>
            </w:pPr>
            <w:r>
              <w:rPr>
                <w:rFonts w:ascii="仿宋_GB2312" w:hAnsi="仿宋_GB2312" w:cs="仿宋_GB2312" w:eastAsia="仿宋_GB2312"/>
                <w:b/>
                <w:color w:val="000000"/>
              </w:rPr>
              <w:t>四、项目完工报告</w:t>
            </w:r>
          </w:p>
          <w:p>
            <w:pPr>
              <w:pStyle w:val="null3"/>
              <w:ind w:firstLine="560"/>
            </w:pPr>
            <w:r>
              <w:rPr>
                <w:rFonts w:ascii="仿宋_GB2312" w:hAnsi="仿宋_GB2312" w:cs="仿宋_GB2312" w:eastAsia="仿宋_GB2312"/>
                <w:color w:val="000000"/>
              </w:rPr>
              <w:t>项目全部结束后，完成项目报告，报告需全面覆盖项目全周期、全渠道、全实施内容，确保报告内容全面无遗漏、佐证材料齐全规范，具体要求如下：</w:t>
            </w:r>
          </w:p>
          <w:p>
            <w:pPr>
              <w:pStyle w:val="null3"/>
              <w:ind w:firstLine="560"/>
            </w:pPr>
            <w:r>
              <w:rPr>
                <w:rFonts w:ascii="仿宋_GB2312" w:hAnsi="仿宋_GB2312" w:cs="仿宋_GB2312" w:eastAsia="仿宋_GB2312"/>
                <w:color w:val="000000"/>
              </w:rPr>
              <w:t>（一）报告需完整呈现宣传项目全周期监播情况，宣传项目总览、分渠道监播详情、宣传内容反馈，全面、客观、准确反映项目实施实际情况。</w:t>
            </w:r>
          </w:p>
          <w:p>
            <w:pPr>
              <w:pStyle w:val="null3"/>
              <w:ind w:firstLine="560"/>
            </w:pPr>
            <w:r>
              <w:rPr>
                <w:rFonts w:ascii="仿宋_GB2312" w:hAnsi="仿宋_GB2312" w:cs="仿宋_GB2312" w:eastAsia="仿宋_GB2312"/>
                <w:color w:val="000000"/>
              </w:rPr>
              <w:t>（二）报告附项目实施佐证照片，线下投放布置、活动现场执行、宣传物料展示等，确保照片清晰可辨。</w:t>
            </w:r>
          </w:p>
          <w:p>
            <w:pPr>
              <w:pStyle w:val="null3"/>
              <w:ind w:firstLine="562"/>
            </w:pPr>
            <w:r>
              <w:rPr>
                <w:rFonts w:ascii="仿宋_GB2312" w:hAnsi="仿宋_GB2312" w:cs="仿宋_GB2312" w:eastAsia="仿宋_GB2312"/>
                <w:b/>
              </w:rPr>
              <w:t>五、</w:t>
            </w:r>
            <w:r>
              <w:rPr>
                <w:rFonts w:ascii="仿宋_GB2312" w:hAnsi="仿宋_GB2312" w:cs="仿宋_GB2312" w:eastAsia="仿宋_GB2312"/>
                <w:b/>
              </w:rPr>
              <w:t>具体明细及各项最高限价</w:t>
            </w:r>
          </w:p>
          <w:tbl>
            <w:tblPr>
              <w:tblInd w:type="dxa" w:w="210"/>
              <w:tblBorders>
                <w:top w:val="none" w:color="000000" w:sz="4"/>
                <w:left w:val="none" w:color="000000" w:sz="4"/>
                <w:bottom w:val="none" w:color="000000" w:sz="4"/>
                <w:right w:val="none" w:color="000000" w:sz="4"/>
                <w:insideH w:val="none"/>
                <w:insideV w:val="none"/>
              </w:tblBorders>
            </w:tblPr>
            <w:tblGrid>
              <w:gridCol w:w="196"/>
              <w:gridCol w:w="946"/>
              <w:gridCol w:w="935"/>
              <w:gridCol w:w="476"/>
            </w:tblGrid>
            <w:tr>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序号</w:t>
                  </w:r>
                </w:p>
              </w:tc>
              <w:tc>
                <w:tcPr>
                  <w:tcW w:type="dxa" w:w="9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项目内容</w:t>
                  </w:r>
                </w:p>
              </w:tc>
              <w:tc>
                <w:tcPr>
                  <w:tcW w:type="dxa" w:w="9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项目标准</w:t>
                  </w:r>
                </w:p>
              </w:tc>
              <w:tc>
                <w:tcPr>
                  <w:tcW w:type="dxa" w:w="4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单项最高限价</w:t>
                  </w:r>
                </w:p>
                <w:p>
                  <w:pPr>
                    <w:pStyle w:val="null3"/>
                    <w:jc w:val="center"/>
                  </w:pPr>
                  <w:r>
                    <w:rPr>
                      <w:rFonts w:ascii="仿宋_GB2312" w:hAnsi="仿宋_GB2312" w:cs="仿宋_GB2312" w:eastAsia="仿宋_GB2312"/>
                      <w:sz w:val="19"/>
                      <w:b/>
                      <w:color w:val="000000"/>
                    </w:rPr>
                    <w:t>（元）</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开展野生动植物保护“七进”主题宣传活动，推动普法宣传深入公园、社区、市场等人流密集场所</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5次活动，包含场地布置、宣传资料准备及搬运等相关费用</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15000（3000/次*5次）</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在全市重点鸟类栖息区域规范设置户外公益宣传广告牌</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10块，广告牌标准：七年超工程反光膜打印贴覆，2.5*4米；热镀锌圆管，6米</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140000</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地铁广告</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20块地铁车厢广告牌及2条地铁线电视，发布4周</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100000</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制作视频，并在抖音等媒体发布</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4K视频，1条地铁线电视</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95000（视频制作20000，+视频发布75000）</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“守护生态环境、共建和谐家园”书画展</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5次活动，包含书画作品装订、搬运等</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50000</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color w:val="000000"/>
                    </w:rPr>
                    <w:t>备注</w:t>
                  </w:r>
                </w:p>
              </w:tc>
              <w:tc>
                <w:tcPr>
                  <w:tcW w:type="dxa" w:w="235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color w:val="000000"/>
                    </w:rPr>
                    <w:t>供应商各分项报价不得超过单项最高限价，否则按无效标处理。</w:t>
                  </w:r>
                </w:p>
              </w:tc>
            </w:tr>
          </w:tbl>
          <w:p>
            <w:pPr>
              <w:pStyle w:val="null3"/>
              <w:ind w:firstLine="562"/>
            </w:pPr>
            <w:r>
              <w:rPr>
                <w:rFonts w:ascii="仿宋_GB2312" w:hAnsi="仿宋_GB2312" w:cs="仿宋_GB2312" w:eastAsia="仿宋_GB2312"/>
                <w:b/>
              </w:rPr>
              <w:t>六、</w:t>
            </w:r>
            <w:r>
              <w:rPr>
                <w:rFonts w:ascii="仿宋_GB2312" w:hAnsi="仿宋_GB2312" w:cs="仿宋_GB2312" w:eastAsia="仿宋_GB2312"/>
                <w:b/>
              </w:rPr>
              <w:t>商务要求</w:t>
            </w:r>
          </w:p>
          <w:p>
            <w:pPr>
              <w:pStyle w:val="null3"/>
              <w:ind w:firstLine="560"/>
            </w:pPr>
            <w:r>
              <w:rPr>
                <w:rFonts w:ascii="仿宋_GB2312" w:hAnsi="仿宋_GB2312" w:cs="仿宋_GB2312" w:eastAsia="仿宋_GB2312"/>
              </w:rPr>
              <w:t>（一）服务期：自合同生效之日起至2026年12月。</w:t>
            </w:r>
          </w:p>
          <w:p>
            <w:pPr>
              <w:pStyle w:val="null3"/>
            </w:pPr>
            <w:r>
              <w:rPr>
                <w:rFonts w:ascii="仿宋_GB2312" w:hAnsi="仿宋_GB2312" w:cs="仿宋_GB2312" w:eastAsia="仿宋_GB2312"/>
                <w:color w:val="000000"/>
              </w:rPr>
              <w:t xml:space="preserve">   （二）服务地点</w:t>
            </w:r>
            <w:r>
              <w:rPr>
                <w:rFonts w:ascii="仿宋_GB2312" w:hAnsi="仿宋_GB2312" w:cs="仿宋_GB2312" w:eastAsia="仿宋_GB2312"/>
                <w:color w:val="000000"/>
              </w:rPr>
              <w:t>：</w:t>
            </w:r>
            <w:r>
              <w:rPr>
                <w:rFonts w:ascii="仿宋_GB2312" w:hAnsi="仿宋_GB2312" w:cs="仿宋_GB2312" w:eastAsia="仿宋_GB2312"/>
                <w:color w:val="000000"/>
              </w:rPr>
              <w:t>西安市范围内</w:t>
            </w:r>
            <w:r>
              <w:rPr>
                <w:rFonts w:ascii="仿宋_GB2312" w:hAnsi="仿宋_GB2312" w:cs="仿宋_GB2312" w:eastAsia="仿宋_GB2312"/>
                <w:color w:val="000000"/>
              </w:rPr>
              <w:t>，具体以采购人指定地点为准。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自合同生效之日起至全部服务内容办结为止，整体服务周期最长不超过一年。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自合同生效之日起至2026年12月。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西安市范围内，具体以采购人指定地点为准。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西安市范围内，具体以采购人指定地点为准。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预付款，合同签订正式生效后，达到付款条件起30个工作日内，支付合同总金额的40.0%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进度款，项目进度完成50%，达到付款条件起30个工作日内，支付合同总金额的40.0%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进度款，项目全部完成并验收通过后，达到付款条件起30个工作日内，支付合同总金额的20.0%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预付款，合同正式生效后，达到付款条件起30个工作日内，支付合同总金额的40.0%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进度款，项目全部完成并验收通过后，达到付款条件起30个工作日内，支付合同总金额的60.0%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租赁和商务服务业（根据《中小企业划型标准规定》（工信部联企业〔2011〕300号），租赁和商务服务业划分标准为“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2）本项目共分为2个采购包，每个采购包确定1家成交供应商，供应商可同时参与2个采购包，但最终只能中1个采购包。评审时按照采购包号顺序进行评审，若供应商在评审时已在采购包被推荐为排序第一的成交候选人，则该供应商在其他采购包中不再参与中标候选人的推荐。（3）因系统格式设置无法调整，合同付款支付要求以第八章“拟签订采购合同文本”中体现的内容为准。（4）成交供应商在领取成交通知书前，须向采购代理机构提供纸质版响应文件3套（一正两副），且提供的响应文件必须与在陕西省政府采购综合管理平台的项目电子化交易系统中递交的电子响应文件内容一致，纸质版响应文件必须装订成册签字盖章。（5）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财务状况报告（以下三种资料提供任意一种即可）：（1）提供2024或2025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赋予的验证码。（2）其开标前三个月内基本开户银行出具的资信证明。（3）信用担保机构出具的投标担保函。分支机构参与投标时，须另提供总公司授权或出具总公司的有关文件或制度等能够证明总公司授权其独立开展业务的证明，但其民事责任由其总公司承担。基本资格条件中可以提供总公司或分支机构经审计的财务报告。（以上内容响应文件中提供复印件或扫描件并进行电子签章）。</w:t>
            </w:r>
          </w:p>
        </w:tc>
        <w:tc>
          <w:tcPr>
            <w:tcW w:type="dxa" w:w="1661"/>
          </w:tcPr>
          <w:p>
            <w:pPr>
              <w:pStyle w:val="null3"/>
            </w:pPr>
            <w:r>
              <w:rPr>
                <w:rFonts w:ascii="仿宋_GB2312" w:hAnsi="仿宋_GB2312" w:cs="仿宋_GB2312" w:eastAsia="仿宋_GB2312"/>
              </w:rPr>
              <w:t>健全的财务会计制度的证明材料.docx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财务状况报告（以下三种资料提供任意一种即可）：（1）提供2024或2025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赋予的验证码。（2）其开标前三个月内基本开户银行出具的资信证明。（3）信用担保机构出具的投标担保函。分支机构参与投标时，须另提供总公司授权或出具总公司的有关文件或制度等能够证明总公司授权其独立开展业务的证明，但其民事责任由其总公司承担。基本资格条件中可以提供总公司或分支机构经审计的财务报告。（以上内容响应文件中提供复印件或扫描件并进行电子签章）。</w:t>
            </w:r>
          </w:p>
        </w:tc>
        <w:tc>
          <w:tcPr>
            <w:tcW w:type="dxa" w:w="1661"/>
          </w:tcPr>
          <w:p>
            <w:pPr>
              <w:pStyle w:val="null3"/>
            </w:pPr>
            <w:r>
              <w:rPr>
                <w:rFonts w:ascii="仿宋_GB2312" w:hAnsi="仿宋_GB2312" w:cs="仿宋_GB2312" w:eastAsia="仿宋_GB2312"/>
              </w:rPr>
              <w:t>健全的财务会计制度的证明材料.docx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履行本合同所必需的设备和专业技术能力.docx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履行本合同所必需的设备和专业技术能力.docx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 （3）未超出采购预算或磋商文件规定的最高限价。</w:t>
            </w:r>
          </w:p>
        </w:tc>
        <w:tc>
          <w:tcPr>
            <w:tcW w:type="dxa" w:w="1661"/>
          </w:tcPr>
          <w:p>
            <w:pPr>
              <w:pStyle w:val="null3"/>
            </w:pPr>
            <w:r>
              <w:rPr>
                <w:rFonts w:ascii="仿宋_GB2312" w:hAnsi="仿宋_GB2312" w:cs="仿宋_GB2312" w:eastAsia="仿宋_GB2312"/>
              </w:rPr>
              <w:t>费用组成明细表（包1）.docx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 （3）未超出采购预算或磋商文件规定的最高限价。</w:t>
            </w:r>
          </w:p>
        </w:tc>
        <w:tc>
          <w:tcPr>
            <w:tcW w:type="dxa" w:w="1661"/>
          </w:tcPr>
          <w:p>
            <w:pPr>
              <w:pStyle w:val="null3"/>
            </w:pPr>
            <w:r>
              <w:rPr>
                <w:rFonts w:ascii="仿宋_GB2312" w:hAnsi="仿宋_GB2312" w:cs="仿宋_GB2312" w:eastAsia="仿宋_GB2312"/>
              </w:rPr>
              <w:t>标的清单 报价表 费用组成明细表（包2）.docx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总体理解及认识</w:t>
            </w:r>
          </w:p>
        </w:tc>
        <w:tc>
          <w:tcPr>
            <w:tcW w:type="dxa" w:w="2492"/>
          </w:tcPr>
          <w:p>
            <w:pPr>
              <w:pStyle w:val="null3"/>
            </w:pPr>
            <w:r>
              <w:rPr>
                <w:rFonts w:ascii="仿宋_GB2312" w:hAnsi="仿宋_GB2312" w:cs="仿宋_GB2312" w:eastAsia="仿宋_GB2312"/>
              </w:rPr>
              <w:t>内容至少包括①总体理解；②背景分析及服务标准；③重难点分析及解决措施等。 评审标准：总体理解及认识各部分内容全面详细、阐述条理清晰详尽、符合本项目采购需求得6分，每缺一项内容扣2分，评审内容有瑕疵的根据情况扣分，扣完为止。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内容至少包括①总体服务方案；②五次主题日宣传活动方案；③宣传物料制作方案；④文创品制作方案；⑤短视频制作及推广方案等。 评审标准：服务方案各部分内容全面详细、阐述条理清晰详尽、符合本项目采购需求得25分，每缺一项内容扣5分，评审内容有瑕疵的根据情况扣分，扣完为止。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项目保障措施</w:t>
            </w:r>
          </w:p>
        </w:tc>
        <w:tc>
          <w:tcPr>
            <w:tcW w:type="dxa" w:w="2492"/>
          </w:tcPr>
          <w:p>
            <w:pPr>
              <w:pStyle w:val="null3"/>
            </w:pPr>
            <w:r>
              <w:rPr>
                <w:rFonts w:ascii="仿宋_GB2312" w:hAnsi="仿宋_GB2312" w:cs="仿宋_GB2312" w:eastAsia="仿宋_GB2312"/>
              </w:rPr>
              <w:t>内容至少包括①项目进度（时效性）保障措施；②质量保障措施；③成果保障措施；④安全保障措施；⑤风险保障措施等。 评审标准：项目保障措施各部分内容全面详细、阐述条理清晰详尽、符合本项目采购需求得10分，每缺一项内容扣2分，评审内容有瑕疵的根据情况扣分，扣完为止。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内容至少包括①档案管理制度；②保密制度（保密手段、人员保密管理、保密承诺等）等。 评审标准：管理制度各部分内容全面详细、阐述条理清晰详尽、符合本项目采购需求得6分，每缺一项内容扣3分，评审内容有瑕疵的根据情况扣分，扣完为止。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拟投入人员配备方案</w:t>
            </w:r>
          </w:p>
        </w:tc>
        <w:tc>
          <w:tcPr>
            <w:tcW w:type="dxa" w:w="2492"/>
          </w:tcPr>
          <w:p>
            <w:pPr>
              <w:pStyle w:val="null3"/>
            </w:pPr>
            <w:r>
              <w:rPr>
                <w:rFonts w:ascii="仿宋_GB2312" w:hAnsi="仿宋_GB2312" w:cs="仿宋_GB2312" w:eastAsia="仿宋_GB2312"/>
              </w:rPr>
              <w:t>内容至少包括①项目组织机构；②团队人员配置清单；③各专业岗位职责安排；④团队管理制度（人员管理、任务委派、奖惩制度等）。 评审标准：拟投入人员配备方案各部分内容全面详细、阐述条理清晰详尽、符合本项目采购需求得12分，每缺一项内容扣3分，评审内容有瑕疵的根据情况扣分，扣完为止。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拟投入仪器设备配备方案</w:t>
            </w:r>
          </w:p>
        </w:tc>
        <w:tc>
          <w:tcPr>
            <w:tcW w:type="dxa" w:w="2492"/>
          </w:tcPr>
          <w:p>
            <w:pPr>
              <w:pStyle w:val="null3"/>
            </w:pPr>
            <w:r>
              <w:rPr>
                <w:rFonts w:ascii="仿宋_GB2312" w:hAnsi="仿宋_GB2312" w:cs="仿宋_GB2312" w:eastAsia="仿宋_GB2312"/>
              </w:rPr>
              <w:t>针对本采购包各项活动及内容配备所必须的专业技术和相应的仪器设备，内容至少包括①设备清单（名称、数量、规格型号等）；②设备性能及用途；③设备检/审标识或相关报告等。 评审标准：拟投入仪器设备配备方案各部分内容全面详细、阐述条理清晰详尽、符合本项目采购需求得9分，每缺一项内容扣3分，评审内容有瑕疵的根据情况扣分，扣完为止。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内容至少包括①服务质量及响应时间；②成果文件交付；③服务期内团队稳定性等。 评审标准：服务承诺各部分内容全面详细、阐述条理清晰详尽、符合本项目采购需求得6分，每缺一项内容扣2分，评审内容有瑕疵的根据情况扣分，扣完为止。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内容至少包括①各类突发情况应急响应安排及措施；②应急演练方案；③应急常识宣传等。 评审标准：应急预案各部分内容全面详细、阐述条理清晰详尽、符合本项目采购需求得6分，每缺一项内容扣2分，评审内容有瑕疵的根据情况扣分，扣完为止。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供应商提供2023年05月01日至今（以合同签订时间为准）的类似项目业绩，每提供一份得2分，满分10分。 注：响应文件中提供合同复印件加盖供应商公章。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满足磋商文件要求且最后报价最低的价格为评审基准价，其价格分为满分。其他供应商的价格分统一按照下列公式计算：最后报价得分=(评审基准价／最后报价)×价格权值×100。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费用组成明细表（包1）.docx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总体理解及认识</w:t>
            </w:r>
          </w:p>
        </w:tc>
        <w:tc>
          <w:tcPr>
            <w:tcW w:type="dxa" w:w="2492"/>
          </w:tcPr>
          <w:p>
            <w:pPr>
              <w:pStyle w:val="null3"/>
            </w:pPr>
            <w:r>
              <w:rPr>
                <w:rFonts w:ascii="仿宋_GB2312" w:hAnsi="仿宋_GB2312" w:cs="仿宋_GB2312" w:eastAsia="仿宋_GB2312"/>
              </w:rPr>
              <w:t>内容至少包括①总体理解；②背景分析及服务标准；③重难点分析及解决措施等。 评审标准：总体理解及认识各部分内容全面详细、阐述条理清晰详尽、符合本项目采购需求得6分，每缺一项内容扣2分，评审内容有瑕疵的根据情况扣分，扣完为止。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内容至少包括①野生动植物保护“七进”主题宣传活动方案；②重点鸟类栖息区域户外公益宣传广告牌设置方案；③地铁广告投放方案；④“爱鸟护鸟”主题4K视频制作及地铁电视宣传方案；⑤“守护生态环境、共建和谐家园”书画展方案等。 评审标准：服务方案各部分内容全面详细、阐述条理清晰详尽、符合本项目采购需求得20分，每缺一项内容扣4分，评审内容有瑕疵的根据情况扣分，扣完为止。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项目保障措施</w:t>
            </w:r>
          </w:p>
        </w:tc>
        <w:tc>
          <w:tcPr>
            <w:tcW w:type="dxa" w:w="2492"/>
          </w:tcPr>
          <w:p>
            <w:pPr>
              <w:pStyle w:val="null3"/>
            </w:pPr>
            <w:r>
              <w:rPr>
                <w:rFonts w:ascii="仿宋_GB2312" w:hAnsi="仿宋_GB2312" w:cs="仿宋_GB2312" w:eastAsia="仿宋_GB2312"/>
              </w:rPr>
              <w:t>内容至少包括①项目进度（时效性）保障措施；②质量保障措施；③成果保障措施；④安全保障措施；⑤风险保障措施等。 评审标准：项目保障措施各部分内容全面详细、阐述条理清晰详尽、符合本项目采购需求得10分，每缺一项内容扣2分，评审内容有瑕疵的根据情况扣分，扣完为止。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内容至少包括①业务质量控制制度；②档案管理制度；③风险控制制度；④保密制度（保密手段、人员保密管理、保密承诺等）等。 评审标准：管理制度各部分内容全面详细、阐述条理清晰详尽、符合本项目采购需求得12分，每缺一项内容扣3分，评审内容有瑕疵的根据情况扣分，扣完为止。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拟投入人员配备方案</w:t>
            </w:r>
          </w:p>
        </w:tc>
        <w:tc>
          <w:tcPr>
            <w:tcW w:type="dxa" w:w="2492"/>
          </w:tcPr>
          <w:p>
            <w:pPr>
              <w:pStyle w:val="null3"/>
            </w:pPr>
            <w:r>
              <w:rPr>
                <w:rFonts w:ascii="仿宋_GB2312" w:hAnsi="仿宋_GB2312" w:cs="仿宋_GB2312" w:eastAsia="仿宋_GB2312"/>
              </w:rPr>
              <w:t>内容至少包括①项目组织机构；②团队人员配置清单；③各专业岗位职责安排；④团队管理制度（人员管理、任务委派、奖惩制度等）。 评审标准：拟投入人员配备方案各部分内容全面详细、阐述条理清晰详尽、符合本项目采购需求得12分，每缺一项内容扣3分，评审内容有瑕疵的根据情况扣分，扣完为止。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拟投入仪器设备配备方案</w:t>
            </w:r>
          </w:p>
        </w:tc>
        <w:tc>
          <w:tcPr>
            <w:tcW w:type="dxa" w:w="2492"/>
          </w:tcPr>
          <w:p>
            <w:pPr>
              <w:pStyle w:val="null3"/>
            </w:pPr>
            <w:r>
              <w:rPr>
                <w:rFonts w:ascii="仿宋_GB2312" w:hAnsi="仿宋_GB2312" w:cs="仿宋_GB2312" w:eastAsia="仿宋_GB2312"/>
              </w:rPr>
              <w:t>针对本采购包各项活动及内容配备所必须的专业技术和相应的仪器设备，内容至少包括①设备清单（名称、数量、规格型号技术参数等）；②设备性能及用途；③设备来源渠道证明；④设备检/审标识或相关报告等。 评审标准：拟投入仪器设备配备方案各部分内容全面详细、阐述条理清晰详尽、符合本项目采购需求得8分，每缺一项内容扣2分，评审内容有瑕疵的根据情况扣分，扣完为止。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内容至少包括①服务质量及响应时间；②成果文件交付；③服务期内团队稳定性等。 评审标准：服务承诺各部分内容全面详细、阐述条理清晰详尽、符合本项目采购需求得6分，每缺一项内容扣2分，评审内容有瑕疵的根据情况扣分，扣完为止。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内容至少包括①各类突发情况应急响应安排及措施；②应急演练方案；③应急常识宣传等。 评审标准：应急预案各部分内容全面详细、阐述条理清晰详尽、符合本项目采购需求得6分，每缺一项内容扣2分，评审内容有瑕疵的根据情况扣分，扣完为止。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供应商提供2023年05月01日至今（以合同签订时间为准）的类似项目业绩，每提供一份得2分，满分10分。 注：响应文件中提供合同复印件加盖供应商公章。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满足磋商文件要求且最后报价最低的价格为评审基准价，其价格分为满分。其他供应商的价格分统一按照下列公式计算：最后报价得分=(评审基准价／最后报价)×价格权值×100。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费用组成明细表（包2）.docx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详见附件：费用组成明细表（包1）.docx</w:t>
      </w:r>
    </w:p>
    <w:p>
      <w:pPr>
        <w:pStyle w:val="null3"/>
        <w:ind w:firstLine="960"/>
      </w:pPr>
      <w:r>
        <w:rPr>
          <w:rFonts w:ascii="仿宋_GB2312" w:hAnsi="仿宋_GB2312" w:cs="仿宋_GB2312" w:eastAsia="仿宋_GB2312"/>
        </w:rPr>
        <w:t>详见附件：健全的财务会计制度的证明材料.docx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详见附件：履行本合同所必需的设备和专业技术能力.docx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详见附件：费用组成明细表（包2）.docx</w:t>
      </w:r>
    </w:p>
    <w:p>
      <w:pPr>
        <w:pStyle w:val="null3"/>
        <w:ind w:firstLine="960"/>
      </w:pPr>
      <w:r>
        <w:rPr>
          <w:rFonts w:ascii="仿宋_GB2312" w:hAnsi="仿宋_GB2312" w:cs="仿宋_GB2312" w:eastAsia="仿宋_GB2312"/>
        </w:rPr>
        <w:t>详见附件：健全的财务会计制度的证明材料.docx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详见附件：履行本合同所必需的设备和专业技术能力.docx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