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版本号：ZCSP-潼关县-2026-0006620260612001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潼关县老年养护院建设项目方案及修建性详细规划编制服务项目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ZCSP-潼关县-2026-00066</w:t>
      </w:r>
      <w:r>
        <w:br/>
      </w:r>
      <w:r>
        <w:br/>
      </w:r>
      <w:r>
        <w:br/>
      </w:r>
    </w:p>
    <w:p>
      <w:pPr>
        <w:pStyle w:val="null3"/>
        <w:jc w:val="center"/>
        <w:outlineLvl w:val="2"/>
      </w:pPr>
      <w:r>
        <w:rPr>
          <w:rFonts w:ascii="仿宋_GB2312" w:hAnsi="仿宋_GB2312" w:cs="仿宋_GB2312" w:eastAsia="仿宋_GB2312"/>
          <w:sz w:val="28"/>
          <w:b/>
        </w:rPr>
        <w:t>潼关县民政局</w:t>
      </w:r>
    </w:p>
    <w:p>
      <w:pPr>
        <w:pStyle w:val="null3"/>
        <w:jc w:val="center"/>
        <w:outlineLvl w:val="2"/>
      </w:pPr>
      <w:r>
        <w:rPr>
          <w:rFonts w:ascii="仿宋_GB2312" w:hAnsi="仿宋_GB2312" w:cs="仿宋_GB2312" w:eastAsia="仿宋_GB2312"/>
          <w:sz w:val="28"/>
          <w:b/>
        </w:rPr>
        <w:t>陕西利隆建设项目管理有限公司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陕西利隆建设项目管理有限公司</w:t>
      </w:r>
      <w:r>
        <w:rPr>
          <w:rFonts w:ascii="仿宋_GB2312" w:hAnsi="仿宋_GB2312" w:cs="仿宋_GB2312" w:eastAsia="仿宋_GB2312"/>
        </w:rPr>
        <w:t>（以下简称“代理机构”）受</w:t>
      </w:r>
      <w:r>
        <w:rPr>
          <w:rFonts w:ascii="仿宋_GB2312" w:hAnsi="仿宋_GB2312" w:cs="仿宋_GB2312" w:eastAsia="仿宋_GB2312"/>
        </w:rPr>
        <w:t>潼关县民政局</w:t>
      </w:r>
      <w:r>
        <w:rPr>
          <w:rFonts w:ascii="仿宋_GB2312" w:hAnsi="仿宋_GB2312" w:cs="仿宋_GB2312" w:eastAsia="仿宋_GB2312"/>
        </w:rPr>
        <w:t>委托，拟对</w:t>
      </w:r>
      <w:r>
        <w:rPr>
          <w:rFonts w:ascii="仿宋_GB2312" w:hAnsi="仿宋_GB2312" w:cs="仿宋_GB2312" w:eastAsia="仿宋_GB2312"/>
        </w:rPr>
        <w:t>潼关县老年养护院建设项目方案及修建性详细规划编制服务项目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ZCSP-潼关县-2026-00066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潼关县老年养护院建设项目方案及修建性详细规划编制服务项目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完成潼关县⽼年养护院建设项⽬⽅案及修建性详细规划编制⼯作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1、法定代表人授权：法定代表人或负责人参与磋商时需提供法定代表人或负责人资格证明书（附法定代表人或负责人身份证复印件）；（法定代表人或负责人须提供身份证原件，身份证原件可由本人持有）</w:t>
      </w:r>
    </w:p>
    <w:p>
      <w:pPr>
        <w:pStyle w:val="null3"/>
      </w:pPr>
      <w:r>
        <w:rPr>
          <w:rFonts w:ascii="仿宋_GB2312" w:hAnsi="仿宋_GB2312" w:cs="仿宋_GB2312" w:eastAsia="仿宋_GB2312"/>
        </w:rPr>
        <w:t>2、资质：供应商须具备城乡规划编制乙级（含乙级）及以上资质</w:t>
      </w:r>
    </w:p>
    <w:p>
      <w:pPr>
        <w:pStyle w:val="null3"/>
      </w:pPr>
      <w:r>
        <w:rPr>
          <w:rFonts w:ascii="仿宋_GB2312" w:hAnsi="仿宋_GB2312" w:cs="仿宋_GB2312" w:eastAsia="仿宋_GB2312"/>
        </w:rPr>
        <w:t>3、磋商保证金：供应商提供磋商保证金缴纳凭证</w:t>
      </w:r>
    </w:p>
    <w:p>
      <w:pPr>
        <w:pStyle w:val="null3"/>
      </w:pPr>
      <w:r>
        <w:rPr>
          <w:rFonts w:ascii="仿宋_GB2312" w:hAnsi="仿宋_GB2312" w:cs="仿宋_GB2312" w:eastAsia="仿宋_GB2312"/>
        </w:rPr>
        <w:t>4、信誉：投标供应商不得为“信用中国”网站（www.creditchina.gov.cn）中列入失信被执行人和重大税收违法失信主体的投标供应商，不得为中国政府采购网（www.ccgp.gov.cn）政府采购严重违法失信行为记录名单中被财政部门禁止参加政府采购活动的投标供应商</w:t>
      </w:r>
    </w:p>
    <w:p>
      <w:pPr>
        <w:pStyle w:val="null3"/>
      </w:pPr>
      <w:r>
        <w:rPr>
          <w:rFonts w:ascii="仿宋_GB2312" w:hAnsi="仿宋_GB2312" w:cs="仿宋_GB2312" w:eastAsia="仿宋_GB2312"/>
        </w:rPr>
        <w:t>5、联合体：本项目不接受联合体磋商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潼关县民政局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潼关县城关镇兴隆街西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贠军涛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0913-3810066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陕西利隆建设项目管理有限公司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陕西省渭南市临渭区朝阳⼤街中段审计⼤厦东座301室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宋敏歌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0913-2056859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潼关县政府采购管理股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南毅</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18309130933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开户名称：陕西利隆建设项⽬管理有限公司</w:t>
            </w:r>
          </w:p>
          <w:p>
            <w:pPr>
              <w:pStyle w:val="null3"/>
            </w:pPr>
            <w:r>
              <w:rPr>
                <w:rFonts w:ascii="仿宋_GB2312" w:hAnsi="仿宋_GB2312" w:cs="仿宋_GB2312" w:eastAsia="仿宋_GB2312"/>
              </w:rPr>
              <w:t>开户银行：中国⼯商银⾏股份有限公司渭南仓程路⽀⾏</w:t>
            </w:r>
          </w:p>
          <w:p>
            <w:pPr>
              <w:pStyle w:val="null3"/>
            </w:pPr>
            <w:r>
              <w:rPr>
                <w:rFonts w:ascii="仿宋_GB2312" w:hAnsi="仿宋_GB2312" w:cs="仿宋_GB2312" w:eastAsia="仿宋_GB2312"/>
              </w:rPr>
              <w:t>银行账号：2605025909020001177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委关于进⼀步放开建设项⽬专业服务价格的通知》（发改价格﹝2015﹞299号）的要求，参照计价格﹝2002﹞1980号、发改价格﹝2011﹞534号⽂件的计费标准，以成交（成交）价为基数计算，按照标准收取。由成交供应商在领取成交通知书前，⼀次性向采购代理机构缴纳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潼关县民政局</w:t>
      </w:r>
      <w:r>
        <w:rPr>
          <w:rFonts w:ascii="仿宋_GB2312" w:hAnsi="仿宋_GB2312" w:cs="仿宋_GB2312" w:eastAsia="仿宋_GB2312"/>
        </w:rPr>
        <w:t>和</w:t>
      </w:r>
      <w:r>
        <w:rPr>
          <w:rFonts w:ascii="仿宋_GB2312" w:hAnsi="仿宋_GB2312" w:cs="仿宋_GB2312" w:eastAsia="仿宋_GB2312"/>
        </w:rPr>
        <w:t>陕西利隆建设项目管理有限公司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潼关县民政局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陕西利隆建设项目管理有限公司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潼关县民政局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陕西利隆建设项目管理有限公司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达到国家及行业相关标准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陕西利隆建设项目管理有限公司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陕西利隆建设项目管理有限公司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陕西利隆建设项目管理有限公司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联系人：宋敏歌</w:t>
      </w:r>
    </w:p>
    <w:p>
      <w:pPr>
        <w:pStyle w:val="null3"/>
      </w:pPr>
      <w:r>
        <w:rPr>
          <w:rFonts w:ascii="仿宋_GB2312" w:hAnsi="仿宋_GB2312" w:cs="仿宋_GB2312" w:eastAsia="仿宋_GB2312"/>
        </w:rPr>
        <w:t>联系电话：0913-2056859</w:t>
      </w:r>
    </w:p>
    <w:p>
      <w:pPr>
        <w:pStyle w:val="null3"/>
      </w:pPr>
      <w:r>
        <w:rPr>
          <w:rFonts w:ascii="仿宋_GB2312" w:hAnsi="仿宋_GB2312" w:cs="仿宋_GB2312" w:eastAsia="仿宋_GB2312"/>
        </w:rPr>
        <w:t>地址：陕西省渭南市临渭区朝阳⼤街中段审计⼤厦东座301室</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完成潼关县老年养护院建设项目方案及修建性详细规划编制工作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潼关县老年养护院建设项目方案及修建性详细规划编制服务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标的名称：潼关县老年养护院建设项目方案及修建性详细规划编制服务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outlineLvl w:val="1"/>
            </w:pPr>
            <w:r>
              <w:rPr>
                <w:rFonts w:ascii="仿宋_GB2312" w:hAnsi="仿宋_GB2312" w:cs="仿宋_GB2312" w:eastAsia="仿宋_GB2312"/>
                <w:sz w:val="18"/>
                <w:b/>
              </w:rPr>
              <w:t>一、服务内容</w:t>
            </w:r>
          </w:p>
          <w:p>
            <w:pPr>
              <w:pStyle w:val="null3"/>
            </w:pPr>
            <w:r>
              <w:rPr>
                <w:rFonts w:ascii="仿宋_GB2312" w:hAnsi="仿宋_GB2312" w:cs="仿宋_GB2312" w:eastAsia="仿宋_GB2312"/>
                <w:sz w:val="18"/>
              </w:rPr>
              <w:t>为加快推进潼关县老年养护院建设项目前期工作，规范项目规划布局、功能分区及配套设施建设，保障项目建设科学合理、合规可行，契合养老服务设施建设标准及城市规划管控要求，本次采购潼关县老年养护院建设项目方案及修建性详细规划编制服务。供应商须严格按照国家、陕西省、渭南市及潼关县现行城乡规划、养老设施建设相关规范、标准及管理规定，结合项目场地现状及项目功能定位，完成项目建设方案、修建性详细规划编制、方案优化、技术论证、报审配合及整改完善等全流程技术服务，具体工作内容如下：</w:t>
            </w:r>
          </w:p>
          <w:p>
            <w:pPr>
              <w:pStyle w:val="null3"/>
            </w:pPr>
            <w:r>
              <w:rPr>
                <w:rFonts w:ascii="仿宋_GB2312" w:hAnsi="仿宋_GB2312" w:cs="仿宋_GB2312" w:eastAsia="仿宋_GB2312"/>
                <w:sz w:val="18"/>
                <w:b/>
              </w:rPr>
              <w:t>1. 前期现状调研与基础分析</w:t>
            </w:r>
          </w:p>
          <w:p>
            <w:pPr>
              <w:pStyle w:val="null3"/>
            </w:pPr>
            <w:r>
              <w:rPr>
                <w:rFonts w:ascii="仿宋_GB2312" w:hAnsi="仿宋_GB2312" w:cs="仿宋_GB2312" w:eastAsia="仿宋_GB2312"/>
                <w:sz w:val="18"/>
              </w:rPr>
              <w:t>全面收集项目立项、用地红线、场地地形、周边道路交通、市政配套、现状环境、国土空间规划及片区管控要求等基础资料；开展现场实地踏勘，梳理场地建设条件、限制性因素及优化提升空间，结合老年养护院项目公益属性、服务功能、运营需求，完成项目现状分析、建设条件论证，明确规划编制思路、设计原则及技术控制要点。</w:t>
            </w:r>
          </w:p>
          <w:p>
            <w:pPr>
              <w:pStyle w:val="null3"/>
            </w:pPr>
            <w:r>
              <w:rPr>
                <w:rFonts w:ascii="仿宋_GB2312" w:hAnsi="仿宋_GB2312" w:cs="仿宋_GB2312" w:eastAsia="仿宋_GB2312"/>
                <w:sz w:val="18"/>
                <w:b/>
              </w:rPr>
              <w:t>2. 项目建设方案编制</w:t>
            </w:r>
          </w:p>
          <w:p>
            <w:pPr>
              <w:pStyle w:val="null3"/>
            </w:pPr>
            <w:r>
              <w:rPr>
                <w:rFonts w:ascii="仿宋_GB2312" w:hAnsi="仿宋_GB2312" w:cs="仿宋_GB2312" w:eastAsia="仿宋_GB2312"/>
                <w:sz w:val="18"/>
              </w:rPr>
              <w:t>结合项目建设规模、养老服务功能及相关建设标准，编制完整的项目建设方案。主要包含项目建设背景、建设必要性、项目概况、规划设计理念、总体建设思路、功能定位、主要建设内容、总体布局构想、配套设施建设方案、建设时序、实施可行性分析等内容，充分满足老年养护院养老照料、康复护理、休闲活动、后勤保障、安全应急等使用需求，确保方案科学合理、贴合项目实际、符合民生养老项目建设要求。</w:t>
            </w:r>
          </w:p>
          <w:p>
            <w:pPr>
              <w:pStyle w:val="null3"/>
            </w:pPr>
            <w:r>
              <w:rPr>
                <w:rFonts w:ascii="仿宋_GB2312" w:hAnsi="仿宋_GB2312" w:cs="仿宋_GB2312" w:eastAsia="仿宋_GB2312"/>
                <w:sz w:val="18"/>
                <w:b/>
              </w:rPr>
              <w:t>3. 修建性详细规划编制</w:t>
            </w:r>
          </w:p>
          <w:p>
            <w:pPr>
              <w:pStyle w:val="null3"/>
            </w:pPr>
            <w:r>
              <w:rPr>
                <w:rFonts w:ascii="仿宋_GB2312" w:hAnsi="仿宋_GB2312" w:cs="仿宋_GB2312" w:eastAsia="仿宋_GB2312"/>
                <w:sz w:val="18"/>
              </w:rPr>
              <w:t>严格依据城市规划管理技术规定、养老设施建筑设计规范、无障碍设计标准等要求，编制项目修建性详细规划，精准落实各项规划控制指标。主要内容包括：项目总体平面布局、功能分区规划、建筑布局与体量控制、道路交通组织、竖向设计、绿化景观系统规划、给排水、供电、通信、消防、环卫等综合市政配套规划、无障碍专项规划、安全疏散规划等；精准核算容积率、建筑密度、绿地率、总建筑面积、停车位等各项技术经济指标，确保各项指标合规可控、布局科学、功能完善。</w:t>
            </w:r>
          </w:p>
          <w:p>
            <w:pPr>
              <w:pStyle w:val="null3"/>
            </w:pPr>
            <w:r>
              <w:rPr>
                <w:rFonts w:ascii="仿宋_GB2312" w:hAnsi="仿宋_GB2312" w:cs="仿宋_GB2312" w:eastAsia="仿宋_GB2312"/>
                <w:sz w:val="18"/>
                <w:b/>
              </w:rPr>
              <w:t>4. 适老化及人性化专项优化设计</w:t>
            </w:r>
          </w:p>
          <w:p>
            <w:pPr>
              <w:pStyle w:val="null3"/>
            </w:pPr>
            <w:r>
              <w:rPr>
                <w:rFonts w:ascii="仿宋_GB2312" w:hAnsi="仿宋_GB2312" w:cs="仿宋_GB2312" w:eastAsia="仿宋_GB2312"/>
                <w:sz w:val="18"/>
              </w:rPr>
              <w:t>结合老年人身心特点及养老机构运营标准，对项目整体空间布局、出入口设计、通行流线、活动场地、休憩空间、无障碍设施、应急通道、景观环境等进行专项适老化优化，做到动静分区合理、通行便捷、安全舒适、设施配套齐全，充分满足老年群体日常居住、康复、休闲、避险安全等使用要求。</w:t>
            </w:r>
          </w:p>
          <w:p>
            <w:pPr>
              <w:pStyle w:val="null3"/>
            </w:pPr>
            <w:r>
              <w:rPr>
                <w:rFonts w:ascii="仿宋_GB2312" w:hAnsi="仿宋_GB2312" w:cs="仿宋_GB2312" w:eastAsia="仿宋_GB2312"/>
                <w:sz w:val="18"/>
                <w:b/>
              </w:rPr>
              <w:t>5. 方案比选、论证及优化完善</w:t>
            </w:r>
          </w:p>
          <w:p>
            <w:pPr>
              <w:pStyle w:val="null3"/>
            </w:pPr>
            <w:r>
              <w:rPr>
                <w:rFonts w:ascii="仿宋_GB2312" w:hAnsi="仿宋_GB2312" w:cs="仿宋_GB2312" w:eastAsia="仿宋_GB2312"/>
                <w:sz w:val="18"/>
              </w:rPr>
              <w:t>结合场地条件、城市风貌、规划管控要求及项目运营需求，开展多方案比选与技术论证，对总体布局、建筑风貌、景观环境、交通组织、市政配套等内容进行多轮优化，确保规划方案兼具合规性、安全性、实用性、舒适性和前瞻性，适配潼关县城市整体风貌和区域发展定位。</w:t>
            </w:r>
          </w:p>
          <w:p>
            <w:pPr>
              <w:pStyle w:val="null3"/>
            </w:pPr>
            <w:r>
              <w:rPr>
                <w:rFonts w:ascii="仿宋_GB2312" w:hAnsi="仿宋_GB2312" w:cs="仿宋_GB2312" w:eastAsia="仿宋_GB2312"/>
                <w:sz w:val="18"/>
                <w:b/>
              </w:rPr>
              <w:t>6. 全流程报审配合及整改服务</w:t>
            </w:r>
          </w:p>
          <w:p>
            <w:pPr>
              <w:pStyle w:val="null3"/>
            </w:pPr>
            <w:r>
              <w:rPr>
                <w:rFonts w:ascii="仿宋_GB2312" w:hAnsi="仿宋_GB2312" w:cs="仿宋_GB2312" w:eastAsia="仿宋_GB2312"/>
                <w:sz w:val="18"/>
              </w:rPr>
              <w:t>全程对接自然资源、住建、民政等相关主管部门，配合完成方案初审、技术核查、专家评审、规划公示、规委会审议等全部报审工作。针对审查过程中提出的修改意见、问题整改、内容完善等要求，无偿完成方案调整、文本修订、图纸优化、补充说明、资料完善等闭环工作，全程提供技术答疑，直至项目建设方案及修建性详细规划顺利通过主管部门审批。</w:t>
            </w:r>
          </w:p>
          <w:p>
            <w:pPr>
              <w:pStyle w:val="null3"/>
              <w:outlineLvl w:val="1"/>
            </w:pPr>
            <w:r>
              <w:rPr>
                <w:rFonts w:ascii="仿宋_GB2312" w:hAnsi="仿宋_GB2312" w:cs="仿宋_GB2312" w:eastAsia="仿宋_GB2312"/>
                <w:sz w:val="18"/>
                <w:b/>
              </w:rPr>
              <w:t>二、服务要求</w:t>
            </w:r>
          </w:p>
          <w:p>
            <w:pPr>
              <w:pStyle w:val="null3"/>
            </w:pPr>
            <w:r>
              <w:rPr>
                <w:rFonts w:ascii="仿宋_GB2312" w:hAnsi="仿宋_GB2312" w:cs="仿宋_GB2312" w:eastAsia="仿宋_GB2312"/>
                <w:sz w:val="18"/>
              </w:rPr>
              <w:t>供应商须严格遵守国家现行《城市规划编制办法》《老年人照料设施建筑设计标准》《养老机构建设标准》及省、市、县城乡规划管理相关政策、技术规范，坚持科学规划、以人为本、合规适用、安全优先的原则开展服务，具体服务要求如下：</w:t>
            </w:r>
          </w:p>
          <w:p>
            <w:pPr>
              <w:pStyle w:val="null3"/>
            </w:pPr>
            <w:r>
              <w:rPr>
                <w:rFonts w:ascii="仿宋_GB2312" w:hAnsi="仿宋_GB2312" w:cs="仿宋_GB2312" w:eastAsia="仿宋_GB2312"/>
                <w:sz w:val="18"/>
                <w:b/>
              </w:rPr>
              <w:t>1. 合规性要求</w:t>
            </w:r>
          </w:p>
          <w:p>
            <w:pPr>
              <w:pStyle w:val="null3"/>
            </w:pPr>
            <w:r>
              <w:rPr>
                <w:rFonts w:ascii="仿宋_GB2312" w:hAnsi="仿宋_GB2312" w:cs="仿宋_GB2312" w:eastAsia="仿宋_GB2312"/>
                <w:sz w:val="18"/>
              </w:rPr>
              <w:t>所有规划编制内容、技术指标、布局设计、图纸成果必须符合现行国家规范、地方规划管理技术规定、国土空间管控要求及养老设施专项建设标准，各项规划指标满足规划审批硬性要求，无违规布局、指标超标、设计不规范等问题，成果可直接用于项目报审、方案批复及后续工程设计。</w:t>
            </w:r>
          </w:p>
          <w:p>
            <w:pPr>
              <w:pStyle w:val="null3"/>
            </w:pPr>
            <w:r>
              <w:rPr>
                <w:rFonts w:ascii="仿宋_GB2312" w:hAnsi="仿宋_GB2312" w:cs="仿宋_GB2312" w:eastAsia="仿宋_GB2312"/>
                <w:sz w:val="18"/>
                <w:b/>
              </w:rPr>
              <w:t>2. 专业能力要求</w:t>
            </w:r>
          </w:p>
          <w:p>
            <w:pPr>
              <w:pStyle w:val="null3"/>
            </w:pPr>
            <w:r>
              <w:rPr>
                <w:rFonts w:ascii="仿宋_GB2312" w:hAnsi="仿宋_GB2312" w:cs="仿宋_GB2312" w:eastAsia="仿宋_GB2312"/>
                <w:sz w:val="18"/>
              </w:rPr>
              <w:t>供应商须具备开展修建性详细规划及公建类项目方案设计的专业技术能力，熟悉本地规划审批流程及审查要点。项目团队配备专业规划及设计技术人员，具备养老类或公共民生项目规划设计经验，能够独立完成规划编制、技术论证及报审答疑工作。</w:t>
            </w:r>
          </w:p>
          <w:p>
            <w:pPr>
              <w:pStyle w:val="null3"/>
            </w:pPr>
            <w:r>
              <w:rPr>
                <w:rFonts w:ascii="仿宋_GB2312" w:hAnsi="仿宋_GB2312" w:cs="仿宋_GB2312" w:eastAsia="仿宋_GB2312"/>
                <w:sz w:val="18"/>
                <w:b/>
              </w:rPr>
              <w:t>3. 设计质量要求</w:t>
            </w:r>
          </w:p>
          <w:p>
            <w:pPr>
              <w:pStyle w:val="null3"/>
            </w:pPr>
            <w:r>
              <w:rPr>
                <w:rFonts w:ascii="仿宋_GB2312" w:hAnsi="仿宋_GB2312" w:cs="仿宋_GB2312" w:eastAsia="仿宋_GB2312"/>
                <w:sz w:val="18"/>
              </w:rPr>
              <w:t>规划方案须充分体现老年养护院公益民生属性，功能分区清晰、动静分区合理、人车流线顺畅、无障碍系统完善、安全保障到位，景观环境舒适宜居，建筑风貌简洁大方、贴合地方城市风貌，整体方案满足项目建设、运营管理、安全应急、日常服务等全方位使用需求。</w:t>
            </w:r>
          </w:p>
          <w:p>
            <w:pPr>
              <w:pStyle w:val="null3"/>
            </w:pPr>
            <w:r>
              <w:rPr>
                <w:rFonts w:ascii="仿宋_GB2312" w:hAnsi="仿宋_GB2312" w:cs="仿宋_GB2312" w:eastAsia="仿宋_GB2312"/>
                <w:sz w:val="18"/>
                <w:b/>
              </w:rPr>
              <w:t>4. 全程兜底服务要求</w:t>
            </w:r>
          </w:p>
          <w:p>
            <w:pPr>
              <w:pStyle w:val="null3"/>
            </w:pPr>
            <w:r>
              <w:rPr>
                <w:rFonts w:ascii="仿宋_GB2312" w:hAnsi="仿宋_GB2312" w:cs="仿宋_GB2312" w:eastAsia="仿宋_GB2312"/>
                <w:sz w:val="18"/>
              </w:rPr>
              <w:t>服务范围覆盖方案编制、初稿修改、多轮优化、专家评审、部门审查、规委会审议、最终审批通过全过程。服务周期内产生的所有方案调整、文本修改、图纸更新、资料补充、技术答疑、报审对接、公示配合等相关工作，均由供应商无偿完成，安排专人全程对接跟进，直至规划成果正式审批通过。</w:t>
            </w:r>
          </w:p>
          <w:p>
            <w:pPr>
              <w:pStyle w:val="null3"/>
            </w:pPr>
            <w:r>
              <w:rPr>
                <w:rFonts w:ascii="仿宋_GB2312" w:hAnsi="仿宋_GB2312" w:cs="仿宋_GB2312" w:eastAsia="仿宋_GB2312"/>
                <w:sz w:val="18"/>
                <w:b/>
              </w:rPr>
              <w:t>5. 质量管控与保密要求</w:t>
            </w:r>
          </w:p>
          <w:p>
            <w:pPr>
              <w:pStyle w:val="null3"/>
            </w:pPr>
            <w:r>
              <w:rPr>
                <w:rFonts w:ascii="仿宋_GB2312" w:hAnsi="仿宋_GB2312" w:cs="仿宋_GB2312" w:eastAsia="仿宋_GB2312"/>
                <w:sz w:val="18"/>
              </w:rPr>
              <w:t>供应商须建立成果校核、审核质量管控机制，确保文本、图纸、数据前后一致、真实准确、完整规范，无错项、漏项、矛盾项。对项目用地信息、规划方案、设计图纸、项目资料等内容严格保密，未经采购人书面同意，不得向任何第三方泄露、传播或挪作他用。</w:t>
            </w:r>
          </w:p>
          <w:p>
            <w:pPr>
              <w:pStyle w:val="null3"/>
              <w:outlineLvl w:val="1"/>
            </w:pPr>
            <w:r>
              <w:rPr>
                <w:rFonts w:ascii="仿宋_GB2312" w:hAnsi="仿宋_GB2312" w:cs="仿宋_GB2312" w:eastAsia="仿宋_GB2312"/>
                <w:sz w:val="18"/>
                <w:b/>
              </w:rPr>
              <w:t>三、成果文件要求</w:t>
            </w:r>
          </w:p>
          <w:p>
            <w:pPr>
              <w:pStyle w:val="null3"/>
            </w:pPr>
            <w:r>
              <w:rPr>
                <w:rFonts w:ascii="仿宋_GB2312" w:hAnsi="仿宋_GB2312" w:cs="仿宋_GB2312" w:eastAsia="仿宋_GB2312"/>
                <w:sz w:val="18"/>
              </w:rPr>
              <w:t>供应商须按规划审批标准及采购人要求，提交全套完整、规范、有效的文本、图纸、附件及电子成果，纸质成果与电子成果内容完全一致，具体交付要求如下：</w:t>
            </w:r>
          </w:p>
          <w:p>
            <w:pPr>
              <w:pStyle w:val="null3"/>
            </w:pPr>
            <w:r>
              <w:rPr>
                <w:rFonts w:ascii="仿宋_GB2312" w:hAnsi="仿宋_GB2312" w:cs="仿宋_GB2312" w:eastAsia="仿宋_GB2312"/>
                <w:sz w:val="18"/>
                <w:b/>
              </w:rPr>
              <w:t>1. 核心文本成果</w:t>
            </w:r>
          </w:p>
          <w:p>
            <w:pPr>
              <w:pStyle w:val="null3"/>
            </w:pPr>
            <w:r>
              <w:rPr>
                <w:rFonts w:ascii="仿宋_GB2312" w:hAnsi="仿宋_GB2312" w:cs="仿宋_GB2312" w:eastAsia="仿宋_GB2312"/>
                <w:sz w:val="18"/>
              </w:rPr>
              <w:t>包含正式成册《潼关县老年养护院建设方案》《潼关县老年养护院修建性详细规划》文本，内容涵盖项目概况、编制依据、现状分析、总体定位、规划理念、总体布局、功能分区、建筑设计、交通组织、竖向设计、绿化景观、市政配套、无障碍设计、技术经济指标、实施建议等全部必要章节，内容完整、论证充分、表述规范、符合报审要求。</w:t>
            </w:r>
          </w:p>
          <w:p>
            <w:pPr>
              <w:pStyle w:val="null3"/>
            </w:pPr>
            <w:r>
              <w:rPr>
                <w:rFonts w:ascii="仿宋_GB2312" w:hAnsi="仿宋_GB2312" w:cs="仿宋_GB2312" w:eastAsia="仿宋_GB2312"/>
                <w:sz w:val="18"/>
                <w:b/>
              </w:rPr>
              <w:t>2. 全套规划图纸成果</w:t>
            </w:r>
          </w:p>
          <w:p>
            <w:pPr>
              <w:pStyle w:val="null3"/>
            </w:pPr>
            <w:r>
              <w:rPr>
                <w:rFonts w:ascii="仿宋_GB2312" w:hAnsi="仿宋_GB2312" w:cs="仿宋_GB2312" w:eastAsia="仿宋_GB2312"/>
                <w:sz w:val="18"/>
              </w:rPr>
              <w:t>包含项目区位图、现状分析图、总平面图、功能分区图、道路交通规划图、竖向设计图、绿化景观规划图、综合市政管网图、无障碍专项规划图、建筑风貌效果图、整体鸟瞰图及各类专项规划图纸，图纸比例规范、标注清晰、图层完整、指标对应准确，满足技术审查及规划审批归档标准。</w:t>
            </w:r>
          </w:p>
          <w:p>
            <w:pPr>
              <w:pStyle w:val="null3"/>
            </w:pPr>
            <w:r>
              <w:rPr>
                <w:rFonts w:ascii="仿宋_GB2312" w:hAnsi="仿宋_GB2312" w:cs="仿宋_GB2312" w:eastAsia="仿宋_GB2312"/>
                <w:sz w:val="18"/>
                <w:b/>
              </w:rPr>
              <w:t>3. 配套附件资料</w:t>
            </w:r>
          </w:p>
          <w:p>
            <w:pPr>
              <w:pStyle w:val="null3"/>
            </w:pPr>
            <w:r>
              <w:rPr>
                <w:rFonts w:ascii="仿宋_GB2312" w:hAnsi="仿宋_GB2312" w:cs="仿宋_GB2312" w:eastAsia="仿宋_GB2312"/>
                <w:sz w:val="18"/>
              </w:rPr>
              <w:t>包含规划设计说明、技术经济指标核算表、方案比选说明、合规性自查说明、现场踏勘资料、编制依据清单等配套资料，附件齐全、逻辑清晰、数据可追溯。</w:t>
            </w:r>
          </w:p>
          <w:p>
            <w:pPr>
              <w:pStyle w:val="null3"/>
            </w:pPr>
            <w:r>
              <w:rPr>
                <w:rFonts w:ascii="仿宋_GB2312" w:hAnsi="仿宋_GB2312" w:cs="仿宋_GB2312" w:eastAsia="仿宋_GB2312"/>
                <w:sz w:val="18"/>
                <w:b/>
              </w:rPr>
              <w:t>4. 成果交付份数及格式</w:t>
            </w:r>
          </w:p>
          <w:p>
            <w:pPr>
              <w:pStyle w:val="null3"/>
            </w:pPr>
            <w:r>
              <w:rPr>
                <w:rFonts w:ascii="仿宋_GB2312" w:hAnsi="仿宋_GB2312" w:cs="仿宋_GB2312" w:eastAsia="仿宋_GB2312"/>
                <w:sz w:val="18"/>
              </w:rPr>
              <w:t>（1）纸质成果：提交签字盖章、装订规范的正式成果4套，含完整文本、图纸、附件及效果图，满足报审、评审、归档使用要求；</w:t>
            </w:r>
          </w:p>
          <w:p>
            <w:pPr>
              <w:pStyle w:val="null3"/>
            </w:pPr>
            <w:r>
              <w:rPr>
                <w:rFonts w:ascii="仿宋_GB2312" w:hAnsi="仿宋_GB2312" w:cs="仿宋_GB2312" w:eastAsia="仿宋_GB2312"/>
                <w:sz w:val="18"/>
              </w:rPr>
              <w:t>（2）电子成果：提交全套可编辑格式文件（Word、CAD等）、高清效果图文件及盖章扫描PDF完整版成果，文件分类清晰、命名规范、内容完整无缺失。</w:t>
            </w:r>
          </w:p>
          <w:p>
            <w:pPr>
              <w:pStyle w:val="null3"/>
            </w:pPr>
            <w:r>
              <w:rPr>
                <w:rFonts w:ascii="仿宋_GB2312" w:hAnsi="仿宋_GB2312" w:cs="仿宋_GB2312" w:eastAsia="仿宋_GB2312"/>
                <w:sz w:val="18"/>
                <w:b/>
              </w:rPr>
              <w:t>5. 最终归档成果要求</w:t>
            </w:r>
          </w:p>
          <w:p>
            <w:pPr>
              <w:pStyle w:val="null3"/>
            </w:pPr>
            <w:r>
              <w:rPr>
                <w:rFonts w:ascii="仿宋_GB2312" w:hAnsi="仿宋_GB2312" w:cs="仿宋_GB2312" w:eastAsia="仿宋_GB2312"/>
                <w:sz w:val="18"/>
              </w:rPr>
              <w:t>规划方案通过主管部门审批后，供应商须整合最终版规划文本、图纸、评审意见、审批相关回执资料，形成完整成套归档成果，统一交付采购人留存，保障项目后续设计、施工、备案全过程使用。</w:t>
            </w:r>
          </w:p>
          <w:p>
            <w:pPr>
              <w:pStyle w:val="null3"/>
            </w:pPr>
            <w:r>
              <w:rPr>
                <w:rFonts w:ascii="仿宋_GB2312" w:hAnsi="仿宋_GB2312" w:cs="仿宋_GB2312" w:eastAsia="仿宋_GB2312"/>
                <w:sz w:val="18"/>
                <w:b/>
              </w:rPr>
              <w:t>6. 成果权属要求</w:t>
            </w:r>
          </w:p>
          <w:p>
            <w:pPr>
              <w:pStyle w:val="null3"/>
            </w:pPr>
            <w:r>
              <w:rPr>
                <w:rFonts w:ascii="仿宋_GB2312" w:hAnsi="仿宋_GB2312" w:cs="仿宋_GB2312" w:eastAsia="仿宋_GB2312"/>
                <w:sz w:val="18"/>
              </w:rPr>
              <w:t>本项目所有规划编制成果的使用权、修改权、知识产权归采购人所有，供应商不得擅自复用、复制、传播或用于其他项目，未经采购人书面授权不得对外发布、转让相关成果资料。</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满⾜本项⽬服务要求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满⾜本项⽬服务要求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满⾜本项⽬服务要求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合同签订后25日历天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潼关县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1、验收主体：潼关县民政局。 2、验收方法：一次性验收。 3、验收程序：供应商提出验收7日起，我单位组织相关技术人员、专业人员（必要时组织相关专家）对本项目进行验收。 4、验收内容：磋商文件所涉及的全部内容。 5、验收标准：达到国家及行业相关标准。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进度款，文件交付并经专家评审及规委会审查通过后，达到付款条件起7个工作日内，支付合同总金额的70.0%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协商、调解、仲裁、诉讼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1.本项目划分标准为：其他未列明行业。从业人员300 人以下的为中小微型企业。其中，从业人员100 人及以上的为中型企业；从业人员10 人及以上的为小型企业；从业人员10 人以下的为微型企业。2.成交供应商在领取成交通知书后三个⼯作⽇，须向采购代理机构提供⼀正⼀副纸质响应⽂件及电⼦版1份（U盘存储），且提供的响应⽂件必须与在陕西省政府采购综合管理平台的项⽬电⼦化交易系统中递交的电⼦响应⽂件内容⼀致，纸质版响应⽂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①有效的主体资格证明：具有独⽴承担⺠事责任的能⼒，提供营业执照、税务登记证、组织机构代码证或登载有统⼀社会信⽤代码的营业执照（或其他合法组织登记证书、⾃然⼈只须提交⾝份证复印件）； ②供应商应提供健全的财务会计制度的证明材料：提供具有财务审计资质单位出具的2024年或2025年度财务审计报告（成⽴时间⾄开标时间不⾜⼀年的可提供成⽴后任意时段的资产负债表、现⾦流量表、利润表）或开标前六个⽉内其基本账⼾银⾏出具的资信证明（附开户许可证或基本账⼾证明）； ③税收缴纳证明：提供截⽌⾄开标时间前六个⽉内任意⼀个⽉的缴费凭据（依法免税的投标⼈应提供相关⽂件证明） ； ④社会保障资⾦缴纳证明：提供截⽌⾄开标时间前六个⽉内任意⼀个⽉的社保缴费凭据或社保机构开具的社会保险参保缴费情况证明（依法不需要缴纳社会保障资⾦的投标⼈应提供相关证明）； ⑤专业技术能⼒证明：提供具有履⾏本合同所必需的设备和专业技术能⼒的书⾯声明； ⑥⽆重⼤违法记录声明：提供参加本次政府采购活动前三年内在经营活动中没有重⼤违法记录书⾯声明； 注1.供应商需在项⽬电⼦化交易系统中按要求填写《投标函》完成承诺并进⾏电⼦签章； 2.供应商 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w:t>
            </w:r>
          </w:p>
        </w:tc>
        <w:tc>
          <w:tcPr>
            <w:tcW w:type="dxa" w:w="3322"/>
          </w:tcPr>
          <w:p>
            <w:pPr>
              <w:pStyle w:val="null3"/>
            </w:pPr>
            <w:r>
              <w:rPr>
                <w:rFonts w:ascii="仿宋_GB2312" w:hAnsi="仿宋_GB2312" w:cs="仿宋_GB2312" w:eastAsia="仿宋_GB2312"/>
              </w:rPr>
              <w:t>法定代表人或负责人参与磋商时需提供法定代表人或负责人资格证明书（附法定代表人或负责人身份证复印件）；（法定代表人或负责人须提供身份证原件，身份证原件可由本人持有）</w:t>
            </w:r>
          </w:p>
        </w:tc>
        <w:tc>
          <w:tcPr>
            <w:tcW w:type="dxa" w:w="1661"/>
          </w:tcPr>
          <w:p>
            <w:pPr>
              <w:pStyle w:val="null3"/>
            </w:pPr>
            <w:r>
              <w:rPr>
                <w:rFonts w:ascii="仿宋_GB2312" w:hAnsi="仿宋_GB2312" w:cs="仿宋_GB2312" w:eastAsia="仿宋_GB2312"/>
              </w:rPr>
              <w:t>法定代表人身份证明书与法定代表人授权书.docx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供应商须具备城乡规划编制乙级（含乙级）及以上资质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供应商提供磋商保证金缴纳凭证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投标供应商不得为“信用中国”网站（www.creditchina.gov.cn）中列入失信被执行人和重大税收违法失信主体的投标供应商，不得为中国政府采购网（www.ccgp.gov.cn）政府采购严重违法失信行为记录名单中被财政部门禁止参加政府采购活动的投标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磋商响应文件按竞争性磋商文件要求进行签章</w:t>
            </w:r>
          </w:p>
        </w:tc>
        <w:tc>
          <w:tcPr>
            <w:tcW w:type="dxa" w:w="1661"/>
          </w:tcPr>
          <w:p>
            <w:pPr>
              <w:pStyle w:val="null3"/>
            </w:pPr>
            <w:r>
              <w:rPr>
                <w:rFonts w:ascii="仿宋_GB2312" w:hAnsi="仿宋_GB2312" w:cs="仿宋_GB2312" w:eastAsia="仿宋_GB2312"/>
              </w:rPr>
              <w:t>业绩.docx 法定代表人身份证明书与法定代表人授权书.docx 中小企业声明函 承诺书.docx 商务应答表.docx 服务条款响应偏离表.docx 响应文件封面 供应商应提交的相关资格证明材料.docx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对采购内容响应程度</w:t>
            </w:r>
          </w:p>
        </w:tc>
        <w:tc>
          <w:tcPr>
            <w:tcW w:type="dxa" w:w="3322"/>
          </w:tcPr>
          <w:p>
            <w:pPr>
              <w:pStyle w:val="null3"/>
            </w:pPr>
            <w:r>
              <w:rPr>
                <w:rFonts w:ascii="仿宋_GB2312" w:hAnsi="仿宋_GB2312" w:cs="仿宋_GB2312" w:eastAsia="仿宋_GB2312"/>
              </w:rPr>
              <w:t>满足磋商文件实质性服务技术及商务要求</w:t>
            </w:r>
          </w:p>
        </w:tc>
        <w:tc>
          <w:tcPr>
            <w:tcW w:type="dxa" w:w="1661"/>
          </w:tcPr>
          <w:p>
            <w:pPr>
              <w:pStyle w:val="null3"/>
            </w:pPr>
            <w:r>
              <w:rPr>
                <w:rFonts w:ascii="仿宋_GB2312" w:hAnsi="仿宋_GB2312" w:cs="仿宋_GB2312" w:eastAsia="仿宋_GB2312"/>
              </w:rPr>
              <w:t>商务应答表.docx 服务条款响应偏离表.docx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（一）评审内容：①项目需求理解；②重点难点分析；③项目目标；④工作技术路线及方法； （二）评审标准：（1）每项评审内容完整无缺陷得5分；未提供得0分； （2）每项评审内容每存在一处缺陷扣1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（一）评审内容：①质量保障体系；②质量管控要求；③质量保障措施； （二）评审标准： （1）每项评审内容完整无缺陷得4分；未提供得0分； （2）每项评审内容每存在一处缺陷扣0.8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w:t>
            </w:r>
          </w:p>
        </w:tc>
        <w:tc>
          <w:tcPr>
            <w:tcW w:type="dxa" w:w="2492"/>
          </w:tcPr>
          <w:p>
            <w:pPr>
              <w:pStyle w:val="null3"/>
            </w:pPr>
            <w:r>
              <w:rPr>
                <w:rFonts w:ascii="仿宋_GB2312" w:hAnsi="仿宋_GB2312" w:cs="仿宋_GB2312" w:eastAsia="仿宋_GB2312"/>
              </w:rPr>
              <w:t>（一）评审内容：①进度安排计划；②进度保障措施；③应急措施； （二）评审标准： （1）每项评审内容完整无缺陷得4分；未提供得0分； （2）每项评审内容每存在一处缺陷扣0.8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w:t>
            </w:r>
          </w:p>
        </w:tc>
        <w:tc>
          <w:tcPr>
            <w:tcW w:type="dxa" w:w="2492"/>
          </w:tcPr>
          <w:p>
            <w:pPr>
              <w:pStyle w:val="null3"/>
            </w:pPr>
            <w:r>
              <w:rPr>
                <w:rFonts w:ascii="仿宋_GB2312" w:hAnsi="仿宋_GB2312" w:cs="仿宋_GB2312" w:eastAsia="仿宋_GB2312"/>
              </w:rPr>
              <w:t>（一）评审内容：①安全保证措施；②风险防范措施；（二）评审标准：（1）每项评审内容完整无缺陷得4分；未提供得0分； （2）每项评审内容每存在一处缺陷扣0.8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后续服务</w:t>
            </w:r>
          </w:p>
        </w:tc>
        <w:tc>
          <w:tcPr>
            <w:tcW w:type="dxa" w:w="2492"/>
          </w:tcPr>
          <w:p>
            <w:pPr>
              <w:pStyle w:val="null3"/>
            </w:pPr>
            <w:r>
              <w:rPr>
                <w:rFonts w:ascii="仿宋_GB2312" w:hAnsi="仿宋_GB2312" w:cs="仿宋_GB2312" w:eastAsia="仿宋_GB2312"/>
              </w:rPr>
              <w:t>（一）评审内容：①后续服务内容；②后续服务方案；③响应时间。 （二）评审标准： （1）每项评审内容完整无缺陷得4分；未提供得0分； （2）每项评审内容每存在一处缺陷扣0.8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供应商近年（2023年1月1日至今）具有类似项目业绩，每提供1个业绩得2分，本项最高得8分。（业绩证明文件包括合同等证明资料，提供复印件加盖单位公章，时间以合同签订时间或相关证明资料生效时间为准。）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1.拟派项目负责人具有相关专业中级及以上职称或注册城乡规划师得3分。 2.拟派项⽬负责⼈2023年 1 ⽉ 1⽇以来完成过类似项⽬业绩，每有 1 项得2 分，满分 4分。注：①时间以 合同签订时间为准，若合同上未体现时间，须提供其他有效佐证材料；②以合同约定的项⽬负责⼈姓名为准，如合同中未约定项⽬负责⼈，则提供其他有效佐证材料；③企业业绩和项⽬负责⼈业绩可重复计分。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1.项目组成人员（除项目负责人）分工明确、责任明确，结构合理，每增加一名人员得1分，最高得5分。 2.项目组成人员中（除项目负责人），每有1名相关专业中级及以上职称或注册城乡规划师得1.5分，本项最高得6分。注：提供人员证明材料复印件，加盖单位鲜章，否则不得分。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不高于最高限价，且经磋商小组评审不低于成本价的最终磋商报价为有效磋商报价。 (2) 满足竞争性磋商文件要求且磋商价格最低的最终磋商报价为磋商基准价，得满分10分； (3) 磋商报价得分=(磋商基准价／最终磋商报价)×10%×100。 备注：当磋商小组认为某个供应商的报价明显低于其他通过符合性审查供应商的报价，有可能影响工程质量和不能诚信履约的，可以要求该供应商提供书面说明，必要时提交相关证明材料；供应商不能证明其报价合理的，磋商小组可以将其作为无效磋商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详见附件：法定代表人身份证明书与法定代表人授权书.docx</w:t>
      </w:r>
    </w:p>
    <w:p>
      <w:pPr>
        <w:pStyle w:val="null3"/>
        <w:ind w:firstLine="960"/>
      </w:pPr>
      <w:r>
        <w:rPr>
          <w:rFonts w:ascii="仿宋_GB2312" w:hAnsi="仿宋_GB2312" w:cs="仿宋_GB2312" w:eastAsia="仿宋_GB2312"/>
        </w:rPr>
        <w:t>详见附件：服务条款响应偏离表.docx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