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版本号：ZXF20260519-ZFCG20260520001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富平县2025年度省级林业草原改革发展资金到贤镇柿子低产低效林改造项目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ZXF20260519-ZFCG</w:t>
      </w:r>
      <w:r>
        <w:br/>
      </w:r>
      <w:r>
        <w:br/>
      </w:r>
      <w:r>
        <w:br/>
      </w:r>
    </w:p>
    <w:p>
      <w:pPr>
        <w:pStyle w:val="null3"/>
        <w:jc w:val="center"/>
        <w:outlineLvl w:val="2"/>
      </w:pPr>
      <w:r>
        <w:rPr>
          <w:rFonts w:ascii="仿宋_GB2312" w:hAnsi="仿宋_GB2312" w:cs="仿宋_GB2312" w:eastAsia="仿宋_GB2312"/>
          <w:sz w:val="28"/>
          <w:b/>
        </w:rPr>
        <w:t>富平县到贤镇人民政府（本级）</w:t>
      </w:r>
    </w:p>
    <w:p>
      <w:pPr>
        <w:pStyle w:val="null3"/>
        <w:jc w:val="center"/>
        <w:outlineLvl w:val="2"/>
      </w:pPr>
      <w:r>
        <w:rPr>
          <w:rFonts w:ascii="仿宋_GB2312" w:hAnsi="仿宋_GB2312" w:cs="仿宋_GB2312" w:eastAsia="仿宋_GB2312"/>
          <w:sz w:val="28"/>
          <w:b/>
        </w:rPr>
        <w:t>中轩项目管理有限公司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中轩项目管理有限公司</w:t>
      </w:r>
      <w:r>
        <w:rPr>
          <w:rFonts w:ascii="仿宋_GB2312" w:hAnsi="仿宋_GB2312" w:cs="仿宋_GB2312" w:eastAsia="仿宋_GB2312"/>
        </w:rPr>
        <w:t>（以下简称“代理机构”）受</w:t>
      </w:r>
      <w:r>
        <w:rPr>
          <w:rFonts w:ascii="仿宋_GB2312" w:hAnsi="仿宋_GB2312" w:cs="仿宋_GB2312" w:eastAsia="仿宋_GB2312"/>
        </w:rPr>
        <w:t>富平县到贤镇人民政府（本级）</w:t>
      </w:r>
      <w:r>
        <w:rPr>
          <w:rFonts w:ascii="仿宋_GB2312" w:hAnsi="仿宋_GB2312" w:cs="仿宋_GB2312" w:eastAsia="仿宋_GB2312"/>
        </w:rPr>
        <w:t>委托，拟对</w:t>
      </w:r>
      <w:r>
        <w:rPr>
          <w:rFonts w:ascii="仿宋_GB2312" w:hAnsi="仿宋_GB2312" w:cs="仿宋_GB2312" w:eastAsia="仿宋_GB2312"/>
        </w:rPr>
        <w:t>富平县2025年度省级林业草原改革发展资金到贤镇柿子低产低效林改造项目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ZXF20260519-ZFCG</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富平县2025年度省级林业草原改革发展资金到贤镇柿子低产低效林改造项目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富平县2025年度省级林业草原改革发展资金到贤镇柿子低产低效林改造项目主要服务内容：提升改造标准化柿子园1000亩，包含低效林整形修枝、土壤改良、无公害防治。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采购包1（富平县2025年度省级林业草原改革发展资金到贤镇柿子低产低效林改造项目）：属于专门面向中小企业采购。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法定代表人身份证明书或授权委托书：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p>
      <w:pPr>
        <w:pStyle w:val="null3"/>
      </w:pPr>
      <w:r>
        <w:rPr>
          <w:rFonts w:ascii="仿宋_GB2312" w:hAnsi="仿宋_GB2312" w:cs="仿宋_GB2312" w:eastAsia="仿宋_GB2312"/>
        </w:rPr>
        <w:t>4、缴纳税收的要求：提供依法缴纳税收的良好记录（提供磋商响应文件递交截止时间前六个月内任意一个月份的缴纳凭据复印件或扫描件。依法免税或开标前一年内零申报的供应商应提供相关证明文件）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5、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6、信誉要求：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pPr>
        <w:pStyle w:val="null3"/>
      </w:pPr>
      <w:r>
        <w:rPr>
          <w:rFonts w:ascii="仿宋_GB2312" w:hAnsi="仿宋_GB2312" w:cs="仿宋_GB2312" w:eastAsia="仿宋_GB2312"/>
        </w:rPr>
        <w:t>7、无重大违法记录的要求：提供近三年内在经营活动中无重大违法记录的书面声明</w:t>
      </w:r>
    </w:p>
    <w:p>
      <w:pPr>
        <w:pStyle w:val="null3"/>
      </w:pPr>
      <w:r>
        <w:rPr>
          <w:rFonts w:ascii="仿宋_GB2312" w:hAnsi="仿宋_GB2312" w:cs="仿宋_GB2312" w:eastAsia="仿宋_GB2312"/>
        </w:rPr>
        <w:t>8、磋商保证金要求：提供磋商保证金银行转账凭证及基本存款账户信息证明资料或金融机构、担保机构出具的保函复印件或扫描件</w:t>
      </w:r>
    </w:p>
    <w:p>
      <w:pPr>
        <w:pStyle w:val="null3"/>
      </w:pPr>
      <w:r>
        <w:rPr>
          <w:rFonts w:ascii="仿宋_GB2312" w:hAnsi="仿宋_GB2312" w:cs="仿宋_GB2312" w:eastAsia="仿宋_GB2312"/>
        </w:rPr>
        <w:t>9、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10、具有履行合同所必需的设备和专业技术能力的要求：提供具有履行本合同所必需的设备和专业技术能力的说明及承诺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11、面向中小企业采购政策落实情况：本项目专门面向中小企业采购，供应商须提供《中小企业声明函》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富平县到贤镇人民政府（本级）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富平县到贤镇街道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0913-8780133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陕西省西安市莲湖区未央路 99号荣民中央国际10层1001室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邓小玉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18220852914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开户名称：中轩项目管理有限公司富平分公司</w:t>
            </w:r>
          </w:p>
          <w:p>
            <w:pPr>
              <w:pStyle w:val="null3"/>
            </w:pPr>
            <w:r>
              <w:rPr>
                <w:rFonts w:ascii="仿宋_GB2312" w:hAnsi="仿宋_GB2312" w:cs="仿宋_GB2312" w:eastAsia="仿宋_GB2312"/>
              </w:rPr>
              <w:t>开户银行：中国银行股份有限公司富平县支行</w:t>
            </w:r>
          </w:p>
          <w:p>
            <w:pPr>
              <w:pStyle w:val="null3"/>
            </w:pPr>
            <w:r>
              <w:rPr>
                <w:rFonts w:ascii="仿宋_GB2312" w:hAnsi="仿宋_GB2312" w:cs="仿宋_GB2312" w:eastAsia="仿宋_GB2312"/>
              </w:rPr>
              <w:t>银行账号：103699646516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招标代理服务费参照国家计委印发《招标代理服务收费管理暂行办法》的通知（计价格[2002]1980号）计算收取，不计入项目造价，按照《国家发展改革委办公厅关于招标代理服务收费有关问题的通知》（发改办价格〔2003〕857号）规定向成交供应商收取。若本次招标失败（非代理机构原因），招标代理服务费由采购人支付。具体金额详见中标（成交）结果公告，在领取成交通知书时向采购代理机构一次付清（现金或转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富平县到贤镇人民政府（本级）</w:t>
      </w:r>
      <w:r>
        <w:rPr>
          <w:rFonts w:ascii="仿宋_GB2312" w:hAnsi="仿宋_GB2312" w:cs="仿宋_GB2312" w:eastAsia="仿宋_GB2312"/>
        </w:rPr>
        <w:t>和</w:t>
      </w:r>
      <w:r>
        <w:rPr>
          <w:rFonts w:ascii="仿宋_GB2312" w:hAnsi="仿宋_GB2312" w:cs="仿宋_GB2312" w:eastAsia="仿宋_GB2312"/>
        </w:rPr>
        <w:t>中轩项目管理有限公司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富平县到贤镇人民政府（本级）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富平县到贤镇人民政府（本级）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合同另行约定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联系人：邓小玉</w:t>
      </w:r>
    </w:p>
    <w:p>
      <w:pPr>
        <w:pStyle w:val="null3"/>
      </w:pPr>
      <w:r>
        <w:rPr>
          <w:rFonts w:ascii="仿宋_GB2312" w:hAnsi="仿宋_GB2312" w:cs="仿宋_GB2312" w:eastAsia="仿宋_GB2312"/>
        </w:rPr>
        <w:t>联系电话：18220852914</w:t>
      </w:r>
    </w:p>
    <w:p>
      <w:pPr>
        <w:pStyle w:val="null3"/>
      </w:pPr>
      <w:r>
        <w:rPr>
          <w:rFonts w:ascii="仿宋_GB2312" w:hAnsi="仿宋_GB2312" w:cs="仿宋_GB2312" w:eastAsia="仿宋_GB2312"/>
        </w:rPr>
        <w:t>地址：陕西省西安市莲湖区未央路 99号荣民中央国际10层1001室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富平县2025年度省级林业草原改革发展资金到贤镇柿子低产低效林改造项目主要服务内容：提升改造标准化柿子园1000亩，包含低效林整形修枝、土壤改良、无公害防治。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富平县2025年度省级林业草原改革发展资金到贤镇柿子低产低效林改造项目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标的名称：富平县2025年度省级林业草原改革发展资金到贤镇柿子低产低效林改造项目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0"/>
                <w:b/>
                <w:color w:val="333333"/>
              </w:rPr>
              <w:t>富平县</w:t>
            </w:r>
            <w:r>
              <w:rPr>
                <w:rFonts w:ascii="仿宋_GB2312" w:hAnsi="仿宋_GB2312" w:cs="仿宋_GB2312" w:eastAsia="仿宋_GB2312"/>
                <w:sz w:val="30"/>
                <w:b/>
                <w:color w:val="333333"/>
              </w:rPr>
              <w:t>2025年度省级林业草原改革发展资金到贤镇柿子低产低效林改造项目采购需求</w:t>
            </w:r>
          </w:p>
          <w:p>
            <w:pPr>
              <w:pStyle w:val="null3"/>
              <w:jc w:val="both"/>
            </w:pP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8"/>
                <w:b/>
                <w:color w:val="333333"/>
              </w:rPr>
              <w:t>一、</w:t>
            </w:r>
            <w:r>
              <w:rPr>
                <w:rFonts w:ascii="仿宋_GB2312" w:hAnsi="仿宋_GB2312" w:cs="仿宋_GB2312" w:eastAsia="仿宋_GB2312"/>
                <w:sz w:val="28"/>
                <w:b/>
                <w:color w:val="333333"/>
              </w:rPr>
              <w:t>项目名称：</w:t>
            </w:r>
            <w:r>
              <w:rPr>
                <w:rFonts w:ascii="仿宋_GB2312" w:hAnsi="仿宋_GB2312" w:cs="仿宋_GB2312" w:eastAsia="仿宋_GB2312"/>
                <w:sz w:val="28"/>
                <w:color w:val="333333"/>
              </w:rPr>
              <w:t>富平县</w:t>
            </w:r>
            <w:r>
              <w:rPr>
                <w:rFonts w:ascii="仿宋_GB2312" w:hAnsi="仿宋_GB2312" w:cs="仿宋_GB2312" w:eastAsia="仿宋_GB2312"/>
                <w:sz w:val="28"/>
                <w:color w:val="333333"/>
              </w:rPr>
              <w:t>2025</w:t>
            </w:r>
            <w:r>
              <w:rPr>
                <w:rFonts w:ascii="仿宋_GB2312" w:hAnsi="仿宋_GB2312" w:cs="仿宋_GB2312" w:eastAsia="仿宋_GB2312"/>
                <w:sz w:val="28"/>
                <w:color w:val="333333"/>
              </w:rPr>
              <w:t>年度省级林业草原改革发展资金到贤镇柿子低产低效林改造项目</w:t>
            </w:r>
          </w:p>
          <w:p>
            <w:pPr>
              <w:pStyle w:val="null3"/>
              <w:jc w:val="both"/>
            </w:pPr>
            <w:r>
              <w:rPr>
                <w:rFonts w:ascii="仿宋_GB2312" w:hAnsi="仿宋_GB2312" w:cs="仿宋_GB2312" w:eastAsia="仿宋_GB2312"/>
                <w:sz w:val="28"/>
                <w:b/>
                <w:color w:val="333333"/>
              </w:rPr>
              <w:t>二、</w:t>
            </w:r>
            <w:r>
              <w:rPr>
                <w:rFonts w:ascii="仿宋_GB2312" w:hAnsi="仿宋_GB2312" w:cs="仿宋_GB2312" w:eastAsia="仿宋_GB2312"/>
                <w:sz w:val="28"/>
                <w:b/>
                <w:color w:val="333333"/>
              </w:rPr>
              <w:t>项目地点：</w:t>
            </w:r>
            <w:r>
              <w:rPr>
                <w:rFonts w:ascii="仿宋_GB2312" w:hAnsi="仿宋_GB2312" w:cs="仿宋_GB2312" w:eastAsia="仿宋_GB2312"/>
                <w:sz w:val="28"/>
                <w:color w:val="333333"/>
              </w:rPr>
              <w:t>项目位于富平县到贤镇的果坊村、田村、西樊村和牙道村</w:t>
            </w:r>
          </w:p>
          <w:p>
            <w:pPr>
              <w:pStyle w:val="null3"/>
              <w:jc w:val="both"/>
            </w:pPr>
            <w:r>
              <w:rPr>
                <w:rFonts w:ascii="仿宋_GB2312" w:hAnsi="仿宋_GB2312" w:cs="仿宋_GB2312" w:eastAsia="仿宋_GB2312"/>
                <w:sz w:val="28"/>
                <w:b/>
                <w:color w:val="333333"/>
              </w:rPr>
              <w:t>三、</w:t>
            </w:r>
            <w:r>
              <w:rPr>
                <w:rFonts w:ascii="仿宋_GB2312" w:hAnsi="仿宋_GB2312" w:cs="仿宋_GB2312" w:eastAsia="仿宋_GB2312"/>
                <w:sz w:val="28"/>
                <w:b/>
                <w:color w:val="333333"/>
              </w:rPr>
              <w:t>服务内容：</w:t>
            </w:r>
            <w:r>
              <w:rPr>
                <w:rFonts w:ascii="仿宋_GB2312" w:hAnsi="仿宋_GB2312" w:cs="仿宋_GB2312" w:eastAsia="仿宋_GB2312"/>
                <w:sz w:val="28"/>
                <w:color w:val="000000"/>
              </w:rPr>
              <w:t>提升改造标准化柿子园</w:t>
            </w:r>
            <w:r>
              <w:rPr>
                <w:rFonts w:ascii="仿宋_GB2312" w:hAnsi="仿宋_GB2312" w:cs="仿宋_GB2312" w:eastAsia="仿宋_GB2312"/>
                <w:sz w:val="28"/>
                <w:color w:val="000000"/>
              </w:rPr>
              <w:t>1000亩，包含低效林整形修枝、土壤改良、无公害防治，具体服务内容包括：</w:t>
            </w:r>
          </w:p>
          <w:p>
            <w:pPr>
              <w:pStyle w:val="null3"/>
              <w:ind w:firstLine="562"/>
              <w:jc w:val="both"/>
            </w:pPr>
            <w:r>
              <w:rPr>
                <w:rFonts w:ascii="仿宋_GB2312" w:hAnsi="仿宋_GB2312" w:cs="仿宋_GB2312" w:eastAsia="仿宋_GB2312"/>
                <w:sz w:val="28"/>
                <w:b/>
                <w:color w:val="000000"/>
              </w:rPr>
              <w:t>1.整形修枝：</w:t>
            </w:r>
            <w:r>
              <w:rPr>
                <w:rFonts w:ascii="仿宋_GB2312" w:hAnsi="仿宋_GB2312" w:cs="仿宋_GB2312" w:eastAsia="仿宋_GB2312"/>
                <w:sz w:val="28"/>
                <w:color w:val="333333"/>
              </w:rPr>
              <w:t>主要针对处于盛产期的柿子树采取修枝措施，整形修枝面积</w:t>
            </w:r>
            <w:r>
              <w:rPr>
                <w:rFonts w:ascii="仿宋_GB2312" w:hAnsi="仿宋_GB2312" w:cs="仿宋_GB2312" w:eastAsia="仿宋_GB2312"/>
                <w:sz w:val="28"/>
                <w:color w:val="333333"/>
              </w:rPr>
              <w:t>615.5</w:t>
            </w:r>
            <w:r>
              <w:rPr>
                <w:rFonts w:ascii="仿宋_GB2312" w:hAnsi="仿宋_GB2312" w:cs="仿宋_GB2312" w:eastAsia="仿宋_GB2312"/>
                <w:sz w:val="28"/>
                <w:color w:val="333333"/>
              </w:rPr>
              <w:t>亩；</w:t>
            </w:r>
          </w:p>
          <w:p>
            <w:pPr>
              <w:pStyle w:val="null3"/>
              <w:ind w:firstLine="562"/>
              <w:jc w:val="left"/>
            </w:pPr>
            <w:r>
              <w:rPr>
                <w:rFonts w:ascii="仿宋_GB2312" w:hAnsi="仿宋_GB2312" w:cs="仿宋_GB2312" w:eastAsia="仿宋_GB2312"/>
                <w:sz w:val="28"/>
                <w:b/>
                <w:color w:val="000000"/>
              </w:rPr>
              <w:t>2.土壤改良：</w:t>
            </w:r>
            <w:r>
              <w:rPr>
                <w:rFonts w:ascii="仿宋_GB2312" w:hAnsi="仿宋_GB2312" w:cs="仿宋_GB2312" w:eastAsia="仿宋_GB2312"/>
                <w:sz w:val="28"/>
                <w:color w:val="000000"/>
              </w:rPr>
              <w:t>土壤改良面积为</w:t>
            </w:r>
            <w:r>
              <w:rPr>
                <w:rFonts w:ascii="仿宋_GB2312" w:hAnsi="仿宋_GB2312" w:cs="仿宋_GB2312" w:eastAsia="仿宋_GB2312"/>
                <w:sz w:val="28"/>
                <w:color w:val="000000"/>
              </w:rPr>
              <w:t>1000亩。结合翻地施加复合肥，生长季节追施农家肥，开挖简易排水渠，旱时浇水，涝时排水</w:t>
            </w:r>
            <w:r>
              <w:rPr>
                <w:rFonts w:ascii="仿宋_GB2312" w:hAnsi="仿宋_GB2312" w:cs="仿宋_GB2312" w:eastAsia="仿宋_GB2312"/>
                <w:sz w:val="28"/>
                <w:color w:val="000000"/>
              </w:rPr>
              <w:t>;</w:t>
            </w:r>
          </w:p>
          <w:p>
            <w:pPr>
              <w:pStyle w:val="null3"/>
              <w:ind w:firstLine="562"/>
              <w:jc w:val="left"/>
            </w:pPr>
            <w:r>
              <w:rPr>
                <w:rFonts w:ascii="仿宋_GB2312" w:hAnsi="仿宋_GB2312" w:cs="仿宋_GB2312" w:eastAsia="仿宋_GB2312"/>
                <w:sz w:val="28"/>
                <w:b/>
                <w:color w:val="000000"/>
              </w:rPr>
              <w:t>3.无公害防治：</w:t>
            </w:r>
            <w:r>
              <w:rPr>
                <w:rFonts w:ascii="仿宋_GB2312" w:hAnsi="仿宋_GB2312" w:cs="仿宋_GB2312" w:eastAsia="仿宋_GB2312"/>
                <w:sz w:val="28"/>
                <w:color w:val="000000"/>
              </w:rPr>
              <w:t>无公害防治面积为</w:t>
            </w:r>
            <w:r>
              <w:rPr>
                <w:rFonts w:ascii="仿宋_GB2312" w:hAnsi="仿宋_GB2312" w:cs="仿宋_GB2312" w:eastAsia="仿宋_GB2312"/>
                <w:sz w:val="28"/>
                <w:color w:val="000000"/>
              </w:rPr>
              <w:t xml:space="preserve"> 1000 亩，重点从清园管理、安装太阳能杀虫灯及其他农药等方面对柿炭疽病等进行综合防治。防治对象:柿炭疽病、柿白粉病、柿长绵粉蚧、柿蒂虫等。</w:t>
            </w:r>
          </w:p>
          <w:p>
            <w:pPr>
              <w:pStyle w:val="null3"/>
              <w:ind w:firstLine="562"/>
              <w:jc w:val="left"/>
            </w:pPr>
            <w:r>
              <w:rPr>
                <w:rFonts w:ascii="仿宋_GB2312" w:hAnsi="仿宋_GB2312" w:cs="仿宋_GB2312" w:eastAsia="仿宋_GB2312"/>
                <w:sz w:val="28"/>
                <w:b/>
                <w:color w:val="000000"/>
              </w:rPr>
              <w:t>详见项目服务清单</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详见3.2.5其他要求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详见3.2.5其他要求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1、供应商需派驻一名项目负责人、一名技术骨干对作业进度、服务质量、作业人员管理进行总协调，确保技术措施的落实，按时参加采购人组织的相关会议和活动，服从采购人的工作制度和工作规范。 2、供应商向采购人提供项目作业计划和安全责任协议等，其内容包括管理机构的设置、各主要岗位的技术和管理员名单、联系方式及各工种技术工人的安排、项目实施进度安排、技术措施等状况。 3、严格按照项目作业设计要求进行作业，作业前按项目要求筹备各项器械、材料、工具等，按技术规定进行作业。 4、协助采购人及时组织召开检查验收、效果评价和竣工验收工作会议。 5、供应商应按相关要求向采购人提交作业过程性资料和工作总结报告。 6、有各类突发事件的应急预案和措施，有明确具体的承诺。</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120日历天（具体服务起止时间以合同签订为准）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富平县到贤镇的果坊村、田村、西樊村和牙道村</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（1）质量标准：达到国家及行业验收合格标准。（2）验收标准：按磋商文件、磋商响应文件及澄清函、项目检查情况等综合指标进行验收。各项指标均应符合验收合格标准及要求。（详细执行合同约定）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进度款，乙方完成全部整形修枝、土壤改良及中期病虫害防治工作，经甲方阶段性验收合格后，达到付款条件起15个工作日内，支付合同总金额的40.0%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其他，乙方完成全部管护服务并通过项目整体验收完成竣工结算审计后，达到付款条件起15个工作日内，支付合同总金额的27.0%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其他，剩余 3% 作为质保金，自验收合格之日起 6 个月质保期满后，达到付款条件起15个工作日内，支付合同总金额的3.0%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合同另行约定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投标时供应商无需提供纸质版响应文件，中标（成交）供应商在中标（成交）结果公告发布后3个工作日内提纸质版响应文件打印胶装3份（经编标工具生成的文件直接打印并加盖公章）、电子版(U盘)文件2份，递交的纸质版、电子版文件内容确保与线上电子文件保持一致，不允许修改和补充。2、关于印发中小企业划型标准规定的通知（工信部联企业〔2011〕300号），中小企业划型标准规定：（一）农、林、牧、渔业。营业收入20000万元以下的为中小微型企业。其中，营业收入500万元及以上的为中型企业，营业收入50万元及以上的为小型企业，营业收入50万元以下的为微型企业。3、落实政府采购政策需满足的资格要求：（1）《节能产品政府采购实施意见》（财库〔2004〕185号）；（2）《国务院办公厅关于建立政府强制采购节能产品制度的通知》（国办发〔2007〕51号）；（3）《财政部司法部关于政府采购支持监狱企业发展有关问题的通知》（财库〔2014〕68号）；（4）三部门联合发布《关于促进残疾人就业政府采购政策的通知》（财库〔2017〕141号）；（5）《财政部发展改革委生态环境部市场监管总局关于调整优化节能产品、环境标志产品政府采购执行机制的通知》（财库〔2019〕9号）；（6）陕西省财政厅关于印发《陕西省中小企业政府采购信用融资办法》 （陕财办采〔2018〕23号）；（7）《陕西省财政厅关于加快推进我省中小企业政府采购信用融资工作的通知》（陕财办采〔2020〕15号）；（8）《政府采购促进中小企业发展管理办法》（财库〔2020〕46号）；（9）《关于进一步加大政府采购支持中小企业力度的通知》（财库〔2022〕19号）；（10）《财政部 农业农村部 国家乡村振兴局关于运用政府采购政策支持乡村产业振兴的通知》（财库〔2021〕19号）；（11）陕西省财政厅《关于进一步加强政府绿色采购有关问题的通知》（陕财办〔2021〕29号）；（12）《关于促进政府采购公平竞争优化营商环境的通知》（财库〔2019〕38号）；（13）《陕西省财政厅关于进一步落实政府采购支持中小企业相关政策的通知》（陕财办采〔2023〕3号）；（14）《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资格证明文件.docx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提供磋商保证金银行转账凭证及基本存款账户信息证明资料或金融机构、担保机构出具的保函复印件或扫描件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中小企业声明函 商务应答表 报价表 资格证明文件.docx 供应商承诺书.docx 响应文件封面 分项报价表.docx 残疾人福利性单位声明函 服务方案 标的清单 服务内容及服务邀请应答表.docx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 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磋商报价不得高于本项目最高限价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对服务内容的响应程度</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服务内容及服务邀请应答表.docx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中小企业声明函 商务应答表 报价表 资格证明文件.docx 供应商承诺书.docx 响应文件封面 分项报价表.docx 残疾人福利性单位声明函 服务方案 标的清单 服务内容及服务邀请应答表.docx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响应文件含有采购人不能接受的附加条件，按无效响应处理</w:t>
            </w:r>
          </w:p>
        </w:tc>
        <w:tc>
          <w:tcPr>
            <w:tcW w:type="dxa" w:w="3322"/>
          </w:tcPr>
          <w:p>
            <w:pPr>
              <w:pStyle w:val="null3"/>
            </w:pPr>
            <w:r>
              <w:rPr>
                <w:rFonts w:ascii="仿宋_GB2312" w:hAnsi="仿宋_GB2312" w:cs="仿宋_GB2312" w:eastAsia="仿宋_GB2312"/>
              </w:rPr>
              <w:t>响应文件含有采购人不能接受的附加条件，按无效响应处理</w:t>
            </w:r>
          </w:p>
        </w:tc>
        <w:tc>
          <w:tcPr>
            <w:tcW w:type="dxa" w:w="1661"/>
          </w:tcPr>
          <w:p>
            <w:pPr>
              <w:pStyle w:val="null3"/>
            </w:pPr>
            <w:r>
              <w:rPr>
                <w:rFonts w:ascii="仿宋_GB2312" w:hAnsi="仿宋_GB2312" w:cs="仿宋_GB2312" w:eastAsia="仿宋_GB2312"/>
              </w:rPr>
              <w:t>中小企业声明函 商务应答表 报价表 资格证明文件.docx 供应商承诺书.docx 响应文件封面 分项报价表.docx 残疾人福利性单位声明函 服务方案 标的清单 服务内容及服务邀请应答表.docx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中小企业声明函 商务应答表 报价表 资格证明文件.docx 供应商承诺书.docx 响应文件封面 分项报价表.docx 残疾人福利性单位声明函 服务方案 标的清单 服务内容及服务邀请应答表.docx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项目团队人员数量充足(7人及以上)，配置合理，得(4-6］分；项目团队人员数量(4-6人)，配置较合理，得(2-4］分；项目团队人员数量少于4人，配置欠缺得(0-2］分；未提供不得分。(满分6分)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针对本项目提供的质量保障措施详细完善、科学合理、内容深入全面，且紧密贴合整形修枝、土壤改良、无公害防治三大核心工序，计（8-12］ 分；质量保障措施基本完整，能覆盖项目主要质量管控环节但针对性、可操作性一般，计 （4-8］分；无实质性质量保障措施，仅存在框架性表述或未提供相关措施，计（0-4］ 分。未提供不得分（满分 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针对本项目提供的安全保障措施详细完善、科学合理、内容深入全面、可操作性强、管控逻辑清晰，能全面覆盖作业全流程安全风险，有效防范各类安全事故发生计(5-10］分；安全保证措施基本完整虽能覆盖项目主要作业环节安全需求，但针对性、科学性不足，内容较为笼统，可操作性一般，或未提供实质性安全保障措施，仅存在框架性表述、无具体落地管控要求，(0-5］分。未提供不得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有健全的突发事件处理机制和应急方案，应急方案详细并且符合本项目实际情况，针对性强得(5-10］分；有突发事件处理机制和应急方案且符合本项目实际情况，针对性不强得(0-5］分。未提供不得分。(满分10分)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提供针对本项目的服务方案，根据服务方案的完整性、条理清晰逻辑顺畅、重点突出和整体可行性等得(14-20］分；服务方案完整、条例清晰、较满足要求，内容较详细，得(7-14］分；服务方案基本满足要求，但内容较简单，得(0-7］分；未提供不得分。(满分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对项目进度保证(进度安排、人员任务分工、实施计划等)，进度安排具体详细、分工明确，满足项目需求的得10分，每有一项内容缺项、欠合理的扣2分，扣完为止。(满分10分)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根据供应商对本项目后期服务作出相关售后服务承诺等内容评分，承诺内容全面、明确，完全符合本项目的得(4-8］分；承诺内容欠缺、不明确，基本符合本项目的得(0-4］分；未提供不得分。(满分8分)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2023年1月1日起至磋商截止时间具有类似项目业绩，每提供一份有效业绩得2分，最高得4分。以磋商响应文件中所附业绩合同复印件为准，时间以合同落款时间为准。(满分4分)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经资格审查合格及符合性审查合格的磋商响应文件，其磋商报价有效；将满足磋商文件要求且最后报价最低的供应商的价格作为磋商基准价，其价格分为满分（20分）； 其他供应商磋商报价得分=(磋商基准价／最后磋商报价)×20%×100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