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版本号：0617-2612FZ146420260616001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长安校区1-6号学生公寓楼品质提升改造监理项目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0617-2612FZ1464</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长安校区1-6号学生公寓楼品质提升改造监理项目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0617-2612FZ1464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长安校区1-6号学生公寓楼品质提升改造监理项目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为长安校区1#-6#学生公寓楼委托运维管理项目，品质提升改造内容主要包括：室内装修、部分家具维修更换、阳台、卫生间改造、管线优化、部分室外道路改造等，包含但不限于室内装饰装修；上下水、电力及暖气管道更换；宿舍门更换；室外道路管网维修改造等项目监理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1、市场准入许可：供应商具备监理综合资质或房屋建筑工程专业监理甲级资质。供应商需在项目电子化交易系统中按要求上传相应证明文件并进行电子签章</w:t>
      </w:r>
    </w:p>
    <w:p>
      <w:pPr>
        <w:pStyle w:val="null3"/>
      </w:pPr>
      <w:r>
        <w:rPr>
          <w:rFonts w:ascii="仿宋_GB2312" w:hAnsi="仿宋_GB2312" w:cs="仿宋_GB2312" w:eastAsia="仿宋_GB2312"/>
        </w:rPr>
        <w:t>2、人员要求：拟派总监理工程师要求：具备房屋建筑工程专业注册监理工程师，且未担任其他在建工程项目的总监理工程师。供应商需在项目电子化交易系统中按要求上传相应证明文件并进行电子签章。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陕西省西安市郭杜教育科技产业开发区文苑南路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吴乐平、张越、衣冯源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029-85222242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下浮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西安外国语大学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为长安校区1#-6#学生公寓楼委托运维管理项目，品质提升改造内容主要包括：室内装修、部分家具维修更换、阳台、卫生间改造、管线优化、部分室外道路改造等，包含但不限于室内装饰装修；上下水、电力及暖气管道更换；宿舍门更换；室外道路管网维修改造等项目监理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长安校区1-6号学生公寓楼品质提升改造监理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标的名称：长安校区1-6号学生公寓楼品质提升改造监理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项目基本概况：该项目为长安校区</w:t>
            </w:r>
            <w:r>
              <w:rPr>
                <w:rFonts w:ascii="仿宋_GB2312" w:hAnsi="仿宋_GB2312" w:cs="仿宋_GB2312" w:eastAsia="仿宋_GB2312"/>
                <w:sz w:val="21"/>
              </w:rPr>
              <w:t>1#-6#学生公寓楼委托运维管理项目，品质提升改造内容主要包括：室内装修、部分家具维修更换、阳台、卫生间改造、管线优化、部分室外道路改造等，包含但不限于室内装饰装修；上下水、电力及暖气管道更换；宿舍门更换；室外道路管网维修改造等项目监理服务工作。</w:t>
            </w:r>
            <w:r>
              <w:rPr>
                <w:rFonts w:ascii="仿宋_GB2312" w:hAnsi="仿宋_GB2312" w:cs="仿宋_GB2312" w:eastAsia="仿宋_GB2312"/>
                <w:sz w:val="21"/>
              </w:rPr>
              <w:t>1#-6#学生公寓总建筑面积</w:t>
            </w:r>
            <w:r>
              <w:rPr>
                <w:rFonts w:ascii="仿宋_GB2312" w:hAnsi="仿宋_GB2312" w:cs="仿宋_GB2312" w:eastAsia="仿宋_GB2312"/>
                <w:sz w:val="21"/>
              </w:rPr>
              <w:t>120787.65m</w:t>
            </w:r>
            <w:r>
              <w:rPr>
                <w:rFonts w:ascii="仿宋_GB2312" w:hAnsi="仿宋_GB2312" w:cs="仿宋_GB2312" w:eastAsia="仿宋_GB2312"/>
                <w:sz w:val="21"/>
                <w:vertAlign w:val="superscript"/>
              </w:rPr>
              <w:t>2</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采购需求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1.服务内容：</w:t>
            </w:r>
            <w:r>
              <w:rPr>
                <w:rFonts w:ascii="仿宋_GB2312" w:hAnsi="仿宋_GB2312" w:cs="仿宋_GB2312" w:eastAsia="仿宋_GB2312"/>
                <w:sz w:val="21"/>
              </w:rPr>
              <w:t>对长安校区</w:t>
            </w:r>
            <w:r>
              <w:rPr>
                <w:rFonts w:ascii="仿宋_GB2312" w:hAnsi="仿宋_GB2312" w:cs="仿宋_GB2312" w:eastAsia="仿宋_GB2312"/>
                <w:sz w:val="21"/>
              </w:rPr>
              <w:t>1-6号学生公寓楼品质提升改造项目设计图纸审核；对施工质量、进度、安全进行监督管理；定期组织召开监理例会；对水、电、暖等系统工程进行专项论证；对项目竣工结算资料进行初步审核；对项目竣工资料进行审核签批。</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.监理单位须根据项目规模、专业特点、施工标段及建设内容，足额配置专业齐全、数量充足、持证上岗的监理人员，不得缺岗、混岗、兼职、挂靠。</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.监理机构须实行总监理工程师负责制，组建项目监理部，明确总监、专业监理工程师、监理员、安全监理人员等岗位职责，建立层级清晰的管理体系。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w:t>
            </w:r>
            <w:r>
              <w:rPr>
                <w:rFonts w:ascii="仿宋_GB2312" w:hAnsi="仿宋_GB2312" w:cs="仿宋_GB2312" w:eastAsia="仿宋_GB2312"/>
                <w:sz w:val="21"/>
              </w:rPr>
              <w:t>.所有派驻人员必须为本单位正式在职在岗人员，不得从外单位临时借用、聘用退休人员、劳务派遣人员或兼职人员，严禁人员挂靠、证书挂靠。</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w:t>
            </w:r>
            <w:r>
              <w:rPr>
                <w:rFonts w:ascii="仿宋_GB2312" w:hAnsi="仿宋_GB2312" w:cs="仿宋_GB2312" w:eastAsia="仿宋_GB2312"/>
                <w:sz w:val="21"/>
              </w:rPr>
              <w:t>.总监理工程师：须具备国家注册监理工程师证书，具备同类工程监理业绩，无不良执业记录，具备较强统筹协调、现场管理、风险管控能力，年龄符合行业及项目管理要求。</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6</w:t>
            </w:r>
            <w:r>
              <w:rPr>
                <w:rFonts w:ascii="仿宋_GB2312" w:hAnsi="仿宋_GB2312" w:cs="仿宋_GB2312" w:eastAsia="仿宋_GB2312"/>
                <w:sz w:val="21"/>
              </w:rPr>
              <w:t>.专业监理工程师：按土建、机电安装、市政</w:t>
            </w:r>
            <w:r>
              <w:rPr>
                <w:rFonts w:ascii="仿宋_GB2312" w:hAnsi="仿宋_GB2312" w:cs="仿宋_GB2312" w:eastAsia="仿宋_GB2312"/>
                <w:sz w:val="21"/>
              </w:rPr>
              <w:t>、</w:t>
            </w:r>
            <w:r>
              <w:rPr>
                <w:rFonts w:ascii="仿宋_GB2312" w:hAnsi="仿宋_GB2312" w:cs="仿宋_GB2312" w:eastAsia="仿宋_GB2312"/>
                <w:sz w:val="21"/>
              </w:rPr>
              <w:t>装饰、安全等专业配齐（每个专业不得少于</w:t>
            </w:r>
            <w:r>
              <w:rPr>
                <w:rFonts w:ascii="仿宋_GB2312" w:hAnsi="仿宋_GB2312" w:cs="仿宋_GB2312" w:eastAsia="仿宋_GB2312"/>
                <w:sz w:val="21"/>
              </w:rPr>
              <w:t>2人），具备注册监理工程师或专业监理岗位证书，具备对应专业工作经验，熟悉规范标准及施工工艺。</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7</w:t>
            </w:r>
            <w:r>
              <w:rPr>
                <w:rFonts w:ascii="仿宋_GB2312" w:hAnsi="仿宋_GB2312" w:cs="仿宋_GB2312" w:eastAsia="仿宋_GB2312"/>
                <w:sz w:val="21"/>
              </w:rPr>
              <w:t>.安全监理人员：须配备专职安全监理工程师，具备安全监理上岗资格，熟悉安全生产法律法规、危大工程管控要求，具备安全巡查、隐患排查能力。</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8</w:t>
            </w:r>
            <w:r>
              <w:rPr>
                <w:rFonts w:ascii="仿宋_GB2312" w:hAnsi="仿宋_GB2312" w:cs="仿宋_GB2312" w:eastAsia="仿宋_GB2312"/>
                <w:sz w:val="21"/>
              </w:rPr>
              <w:t>.监理员：具备监理员岗位证书，能独立完成现场旁站、巡视、平行检验、资料记录、工序验收辅助等工作。</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9.</w:t>
            </w:r>
            <w:r>
              <w:rPr>
                <w:rFonts w:ascii="仿宋_GB2312" w:hAnsi="仿宋_GB2312" w:cs="仿宋_GB2312" w:eastAsia="仿宋_GB2312"/>
                <w:sz w:val="21"/>
              </w:rPr>
              <w:t>所有人员须提供身份证、职称证、岗位证书、社保缴纳证明、无在建项目承诺书，杜绝一人多岗、跨项目任职。</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10</w:t>
            </w:r>
            <w:r>
              <w:rPr>
                <w:rFonts w:ascii="仿宋_GB2312" w:hAnsi="仿宋_GB2312" w:cs="仿宋_GB2312" w:eastAsia="仿宋_GB2312"/>
                <w:sz w:val="21"/>
              </w:rPr>
              <w:t>.总监理工程师在岗率不得低于95%，专业监理工程师、安全监理人员在岗率不得低于100%；施工关键工序、隐蔽工程、危大工程施工期间，对应监理人员必须全程在岗旁站。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三</w:t>
            </w:r>
            <w:r>
              <w:rPr>
                <w:rFonts w:ascii="仿宋_GB2312" w:hAnsi="仿宋_GB2312" w:cs="仿宋_GB2312" w:eastAsia="仿宋_GB2312"/>
                <w:sz w:val="21"/>
              </w:rPr>
              <w:t>、商务要求</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1、服务期：第一阶段服务期：</w:t>
            </w:r>
            <w:r>
              <w:rPr>
                <w:rFonts w:ascii="仿宋_GB2312" w:hAnsi="仿宋_GB2312" w:cs="仿宋_GB2312" w:eastAsia="仿宋_GB2312"/>
                <w:sz w:val="21"/>
                <w:u w:val="single"/>
              </w:rPr>
              <w:t>2026</w:t>
            </w:r>
            <w:r>
              <w:rPr>
                <w:rFonts w:ascii="仿宋_GB2312" w:hAnsi="仿宋_GB2312" w:cs="仿宋_GB2312" w:eastAsia="仿宋_GB2312"/>
                <w:sz w:val="21"/>
              </w:rPr>
              <w:t>年</w:t>
            </w:r>
            <w:r>
              <w:rPr>
                <w:rFonts w:ascii="仿宋_GB2312" w:hAnsi="仿宋_GB2312" w:cs="仿宋_GB2312" w:eastAsia="仿宋_GB2312"/>
                <w:sz w:val="21"/>
                <w:u w:val="single"/>
              </w:rPr>
              <w:t>7</w:t>
            </w:r>
            <w:r>
              <w:rPr>
                <w:rFonts w:ascii="仿宋_GB2312" w:hAnsi="仿宋_GB2312" w:cs="仿宋_GB2312" w:eastAsia="仿宋_GB2312"/>
                <w:sz w:val="21"/>
              </w:rPr>
              <w:t>月</w:t>
            </w:r>
            <w:r>
              <w:rPr>
                <w:rFonts w:ascii="仿宋_GB2312" w:hAnsi="仿宋_GB2312" w:cs="仿宋_GB2312" w:eastAsia="仿宋_GB2312"/>
                <w:sz w:val="21"/>
                <w:u w:val="single"/>
              </w:rPr>
              <w:t>1</w:t>
            </w:r>
            <w:r>
              <w:rPr>
                <w:rFonts w:ascii="仿宋_GB2312" w:hAnsi="仿宋_GB2312" w:cs="仿宋_GB2312" w:eastAsia="仿宋_GB2312"/>
                <w:sz w:val="21"/>
              </w:rPr>
              <w:t>日—</w:t>
            </w:r>
            <w:r>
              <w:rPr>
                <w:rFonts w:ascii="仿宋_GB2312" w:hAnsi="仿宋_GB2312" w:cs="仿宋_GB2312" w:eastAsia="仿宋_GB2312"/>
                <w:sz w:val="21"/>
                <w:u w:val="single"/>
              </w:rPr>
              <w:t>2026</w:t>
            </w:r>
            <w:r>
              <w:rPr>
                <w:rFonts w:ascii="仿宋_GB2312" w:hAnsi="仿宋_GB2312" w:cs="仿宋_GB2312" w:eastAsia="仿宋_GB2312"/>
                <w:sz w:val="21"/>
              </w:rPr>
              <w:t>年</w:t>
            </w:r>
            <w:r>
              <w:rPr>
                <w:rFonts w:ascii="仿宋_GB2312" w:hAnsi="仿宋_GB2312" w:cs="仿宋_GB2312" w:eastAsia="仿宋_GB2312"/>
                <w:sz w:val="21"/>
                <w:u w:val="single"/>
              </w:rPr>
              <w:t>8</w:t>
            </w:r>
            <w:r>
              <w:rPr>
                <w:rFonts w:ascii="仿宋_GB2312" w:hAnsi="仿宋_GB2312" w:cs="仿宋_GB2312" w:eastAsia="仿宋_GB2312"/>
                <w:sz w:val="21"/>
              </w:rPr>
              <w:t>月</w:t>
            </w:r>
            <w:r>
              <w:rPr>
                <w:rFonts w:ascii="仿宋_GB2312" w:hAnsi="仿宋_GB2312" w:cs="仿宋_GB2312" w:eastAsia="仿宋_GB2312"/>
                <w:sz w:val="21"/>
                <w:u w:val="single"/>
              </w:rPr>
              <w:t>31</w:t>
            </w:r>
            <w:r>
              <w:rPr>
                <w:rFonts w:ascii="仿宋_GB2312" w:hAnsi="仿宋_GB2312" w:cs="仿宋_GB2312" w:eastAsia="仿宋_GB2312"/>
                <w:sz w:val="21"/>
              </w:rPr>
              <w:t>日。</w:t>
            </w:r>
          </w:p>
          <w:p>
            <w:pPr>
              <w:pStyle w:val="null3"/>
            </w:pPr>
            <w:r>
              <w:rPr>
                <w:rFonts w:ascii="仿宋_GB2312" w:hAnsi="仿宋_GB2312" w:cs="仿宋_GB2312" w:eastAsia="仿宋_GB2312"/>
                <w:sz w:val="21"/>
              </w:rPr>
              <w:t>第二阶段服务期：</w:t>
            </w:r>
            <w:r>
              <w:rPr>
                <w:rFonts w:ascii="仿宋_GB2312" w:hAnsi="仿宋_GB2312" w:cs="仿宋_GB2312" w:eastAsia="仿宋_GB2312"/>
                <w:sz w:val="21"/>
                <w:u w:val="single"/>
              </w:rPr>
              <w:t>2027</w:t>
            </w:r>
            <w:r>
              <w:rPr>
                <w:rFonts w:ascii="仿宋_GB2312" w:hAnsi="仿宋_GB2312" w:cs="仿宋_GB2312" w:eastAsia="仿宋_GB2312"/>
                <w:sz w:val="21"/>
              </w:rPr>
              <w:t>年</w:t>
            </w:r>
            <w:r>
              <w:rPr>
                <w:rFonts w:ascii="仿宋_GB2312" w:hAnsi="仿宋_GB2312" w:cs="仿宋_GB2312" w:eastAsia="仿宋_GB2312"/>
                <w:sz w:val="21"/>
                <w:u w:val="single"/>
              </w:rPr>
              <w:t>7</w:t>
            </w:r>
            <w:r>
              <w:rPr>
                <w:rFonts w:ascii="仿宋_GB2312" w:hAnsi="仿宋_GB2312" w:cs="仿宋_GB2312" w:eastAsia="仿宋_GB2312"/>
                <w:sz w:val="21"/>
              </w:rPr>
              <w:t>月</w:t>
            </w:r>
            <w:r>
              <w:rPr>
                <w:rFonts w:ascii="仿宋_GB2312" w:hAnsi="仿宋_GB2312" w:cs="仿宋_GB2312" w:eastAsia="仿宋_GB2312"/>
                <w:sz w:val="21"/>
                <w:u w:val="single"/>
              </w:rPr>
              <w:t>1</w:t>
            </w:r>
            <w:r>
              <w:rPr>
                <w:rFonts w:ascii="仿宋_GB2312" w:hAnsi="仿宋_GB2312" w:cs="仿宋_GB2312" w:eastAsia="仿宋_GB2312"/>
                <w:sz w:val="21"/>
              </w:rPr>
              <w:t>日</w:t>
            </w:r>
            <w:r>
              <w:rPr>
                <w:rFonts w:ascii="仿宋_GB2312" w:hAnsi="仿宋_GB2312" w:cs="仿宋_GB2312" w:eastAsia="仿宋_GB2312"/>
                <w:sz w:val="21"/>
              </w:rPr>
              <w:t>-</w:t>
            </w:r>
            <w:r>
              <w:rPr>
                <w:rFonts w:ascii="仿宋_GB2312" w:hAnsi="仿宋_GB2312" w:cs="仿宋_GB2312" w:eastAsia="仿宋_GB2312"/>
                <w:sz w:val="21"/>
                <w:u w:val="single"/>
              </w:rPr>
              <w:t>2027</w:t>
            </w:r>
            <w:r>
              <w:rPr>
                <w:rFonts w:ascii="仿宋_GB2312" w:hAnsi="仿宋_GB2312" w:cs="仿宋_GB2312" w:eastAsia="仿宋_GB2312"/>
                <w:sz w:val="21"/>
              </w:rPr>
              <w:t>年</w:t>
            </w:r>
            <w:r>
              <w:rPr>
                <w:rFonts w:ascii="仿宋_GB2312" w:hAnsi="仿宋_GB2312" w:cs="仿宋_GB2312" w:eastAsia="仿宋_GB2312"/>
                <w:sz w:val="21"/>
                <w:u w:val="single"/>
              </w:rPr>
              <w:t>8</w:t>
            </w:r>
            <w:r>
              <w:rPr>
                <w:rFonts w:ascii="仿宋_GB2312" w:hAnsi="仿宋_GB2312" w:cs="仿宋_GB2312" w:eastAsia="仿宋_GB2312"/>
                <w:sz w:val="21"/>
              </w:rPr>
              <w:t>月</w:t>
            </w:r>
            <w:r>
              <w:rPr>
                <w:rFonts w:ascii="仿宋_GB2312" w:hAnsi="仿宋_GB2312" w:cs="仿宋_GB2312" w:eastAsia="仿宋_GB2312"/>
                <w:sz w:val="21"/>
                <w:u w:val="single"/>
              </w:rPr>
              <w:t>31</w:t>
            </w:r>
            <w:r>
              <w:rPr>
                <w:rFonts w:ascii="仿宋_GB2312" w:hAnsi="仿宋_GB2312" w:cs="仿宋_GB2312" w:eastAsia="仿宋_GB2312"/>
                <w:sz w:val="21"/>
              </w:rPr>
              <w:t>日。</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2、</w:t>
            </w:r>
            <w:r>
              <w:rPr>
                <w:rFonts w:ascii="仿宋_GB2312" w:hAnsi="仿宋_GB2312" w:cs="仿宋_GB2312" w:eastAsia="仿宋_GB2312"/>
                <w:sz w:val="21"/>
              </w:rPr>
              <w:t>服务地点：西安外国语大学长安校区指定地点。</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3、付款方式：</w:t>
            </w:r>
          </w:p>
          <w:p>
            <w:pPr>
              <w:pStyle w:val="null3"/>
            </w:pPr>
            <w:r>
              <w:rPr>
                <w:rFonts w:ascii="仿宋_GB2312" w:hAnsi="仿宋_GB2312" w:cs="仿宋_GB2312" w:eastAsia="仿宋_GB2312"/>
                <w:sz w:val="21"/>
              </w:rPr>
              <w:t>第一次付款节点：项目整体进度完成80%，支付合同金额的50%；</w:t>
            </w:r>
          </w:p>
          <w:p>
            <w:pPr>
              <w:pStyle w:val="null3"/>
            </w:pPr>
            <w:r>
              <w:rPr>
                <w:rFonts w:ascii="仿宋_GB2312" w:hAnsi="仿宋_GB2312" w:cs="仿宋_GB2312" w:eastAsia="仿宋_GB2312"/>
                <w:sz w:val="21"/>
              </w:rPr>
              <w:t>第二次付款节点：项目全部完成，竣工验收合格后（包括竣工资料备案合格）支付合同价格的30%；</w:t>
            </w:r>
          </w:p>
          <w:p>
            <w:pPr>
              <w:pStyle w:val="null3"/>
            </w:pPr>
            <w:r>
              <w:rPr>
                <w:rFonts w:ascii="仿宋_GB2312" w:hAnsi="仿宋_GB2312" w:cs="仿宋_GB2312" w:eastAsia="仿宋_GB2312"/>
                <w:sz w:val="21"/>
              </w:rPr>
              <w:t>第三次付款节点：工程结算审计完成支付至监理服务费总额的95%，缺陷期满后支付剩余尾款，不计息。</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4、验收标准：</w:t>
            </w:r>
          </w:p>
          <w:p>
            <w:pPr>
              <w:pStyle w:val="null3"/>
            </w:pPr>
            <w:r>
              <w:rPr>
                <w:rFonts w:ascii="仿宋_GB2312" w:hAnsi="仿宋_GB2312" w:cs="仿宋_GB2312" w:eastAsia="仿宋_GB2312"/>
                <w:sz w:val="21"/>
              </w:rPr>
              <w:t>人员履职：监理人员持证到岗，无脱岗、挂证。</w:t>
            </w:r>
          </w:p>
          <w:p>
            <w:pPr>
              <w:pStyle w:val="null3"/>
            </w:pPr>
            <w:r>
              <w:rPr>
                <w:rFonts w:ascii="仿宋_GB2312" w:hAnsi="仿宋_GB2312" w:cs="仿宋_GB2312" w:eastAsia="仿宋_GB2312"/>
                <w:sz w:val="21"/>
              </w:rPr>
              <w:t>质量管控：材料验收、隐蔽验收、旁站到位，问题整改闭环。</w:t>
            </w:r>
          </w:p>
          <w:p>
            <w:pPr>
              <w:pStyle w:val="null3"/>
            </w:pPr>
            <w:r>
              <w:rPr>
                <w:rFonts w:ascii="仿宋_GB2312" w:hAnsi="仿宋_GB2312" w:cs="仿宋_GB2312" w:eastAsia="仿宋_GB2312"/>
                <w:sz w:val="21"/>
              </w:rPr>
              <w:t>安全管理：隐患及时排查整改，无安全事故。</w:t>
            </w:r>
          </w:p>
          <w:p>
            <w:pPr>
              <w:pStyle w:val="null3"/>
            </w:pPr>
            <w:r>
              <w:rPr>
                <w:rFonts w:ascii="仿宋_GB2312" w:hAnsi="仿宋_GB2312" w:cs="仿宋_GB2312" w:eastAsia="仿宋_GB2312"/>
                <w:sz w:val="21"/>
              </w:rPr>
              <w:t>资料台账：监理日志、验收记录、签证、月报齐全真实、同步归档。</w:t>
            </w:r>
          </w:p>
          <w:p>
            <w:pPr>
              <w:pStyle w:val="null3"/>
            </w:pPr>
            <w:r>
              <w:rPr>
                <w:rFonts w:ascii="仿宋_GB2312" w:hAnsi="仿宋_GB2312" w:cs="仿宋_GB2312" w:eastAsia="仿宋_GB2312"/>
                <w:sz w:val="21"/>
              </w:rPr>
              <w:t>工作配合：服从建设单位管理，及时协调各方，履职到位、无违规行为。</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5、售后及响应时效</w:t>
            </w:r>
          </w:p>
          <w:p>
            <w:pPr>
              <w:pStyle w:val="null3"/>
            </w:pPr>
            <w:r>
              <w:rPr>
                <w:rFonts w:ascii="仿宋_GB2312" w:hAnsi="仿宋_GB2312" w:cs="仿宋_GB2312" w:eastAsia="仿宋_GB2312"/>
                <w:sz w:val="21"/>
              </w:rPr>
              <w:t>缺陷期：验收合格后24月。</w:t>
            </w:r>
          </w:p>
          <w:p>
            <w:pPr>
              <w:pStyle w:val="null3"/>
            </w:pPr>
            <w:r>
              <w:rPr>
                <w:rFonts w:ascii="仿宋_GB2312" w:hAnsi="仿宋_GB2312" w:cs="仿宋_GB2312" w:eastAsia="仿宋_GB2312"/>
                <w:sz w:val="21"/>
              </w:rPr>
              <w:t>响应时效：即时响应（包括电话响应）；电话响应无法解决3小时内到达现场。修复时间12小时内解决；如24小时内无法修复，应提供相应解决方案。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配置总监理工程师及团队人员，团队人员中具有与本项目服务相关的专业人员。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配备满足项目监理实施的监理检测设备。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第一阶段服务期：2026年7月1日—2026年8月31日。 第二阶段服务期：2027年7月1日—2027年8月31日。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进度款，项目整体进度完成80%，达到付款条件起7个工作日内，支付合同总金额的50.0%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进度款，项目全部完成，竣工验收合格后（包括竣工资料备案合格），达到付款条件起7个工作日内，支付合同总金额的30.0%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进度款，结算审计完成后，达到付款条件起7个工作日内，支付合同总金额的15.0%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进度款，缺陷期满，达到付款条件起7个工作日内，支付合同总金额的5.0%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违约责任见合同文本。解决争议的方法：凡因本合同引起的或与本合同相关的任何争议，由双方友好协商解决。协商不成时，双方均有权向甲方所在地有管辖权的人民法院提起诉讼解决。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2）具有独立承担民事责任的能力。提供注册登记凭证（营业执照、其他组织经营的合法凭证，自然人的提供身份证明文件）。供应商需在项目电子化交易系统中按要求上传相应证明文件并进行电子签章。（3）具有良好的商业信誉和健全的财务会计制度。提供经审计具有注册会计师行业统一监管平台出具赋码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供应商需在项目电子化交易系统中按要求上传相应证明文件并进行电子签章。（4）具有履行合同所必需的设备和专业技术能力。提供声明文件。供应商需在项目电子化交易系统中按要求上传相应证明文件并进行电子签章。（5）具有依法缴纳税收的良好记录。提供缴费所属日期为投标截止时间前6个月内任一月份（投标截止时间当月不计入）的缴费凭据或税务机关出具的完税证明或（在法规范围内不需提供的应出具书面说明和证明文件）；/或具有依法缴纳税收的诚信声明；以上二种形式的资料提供任何一种即可。供应商需在项目电子化交易系统中按要求上传相应证明文件并进行电子签章。（6）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供应商需在项目电子化交易系统中按要求上传相应证明文件并进行电子签章。（7）参加政府采购活动前3年内在经营活动中没有重大违法记录的书面声明。供应商需在项目电子化交易系统中按要求上传相应证明文件并进行电子签章。（8）具备工程监理综合资质或房屋建筑工程监理甲级资质，拟派本项目总监理工程师具备有效的房屋建筑工程专业国家注册监理工程师证书（在本单位注册）。（9）法定代表人身份证明文件及法人代表授权书。法定代表人直接投标的仅提供身份证明文件。授权代表投标须同时提供法定代表人身份证明文件及法人代表授权书。供应商需在项目电子化交易系统中按要求上传相应证明文件并进行电子签章。（10）不接受联合体。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市场准入许可</w:t>
            </w:r>
          </w:p>
        </w:tc>
        <w:tc>
          <w:tcPr>
            <w:tcW w:type="dxa" w:w="3322"/>
          </w:tcPr>
          <w:p>
            <w:pPr>
              <w:pStyle w:val="null3"/>
            </w:pPr>
            <w:r>
              <w:rPr>
                <w:rFonts w:ascii="仿宋_GB2312" w:hAnsi="仿宋_GB2312" w:cs="仿宋_GB2312" w:eastAsia="仿宋_GB2312"/>
              </w:rPr>
              <w:t>供应商具备监理综合资质或房屋建筑工程专业监理甲级资质。供应商需在项目电子化交易系统中按要求上传相应证明文件并进行电子签章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人员要求</w:t>
            </w:r>
          </w:p>
        </w:tc>
        <w:tc>
          <w:tcPr>
            <w:tcW w:type="dxa" w:w="3322"/>
          </w:tcPr>
          <w:p>
            <w:pPr>
              <w:pStyle w:val="null3"/>
            </w:pPr>
            <w:r>
              <w:rPr>
                <w:rFonts w:ascii="仿宋_GB2312" w:hAnsi="仿宋_GB2312" w:cs="仿宋_GB2312" w:eastAsia="仿宋_GB2312"/>
              </w:rPr>
              <w:t>拟派总监理工程师要求：具备房屋建筑工程专业注册监理工程师，且未担任其他在建工程项目的总监理工程师。供应商需在项目电子化交易系统中按要求上传相应证明文件并进行电子签章。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异常低价投标（响应）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当要求相关供应商在评审现场60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w:t>
            </w:r>
          </w:p>
        </w:tc>
        <w:tc>
          <w:tcPr>
            <w:tcW w:type="dxa" w:w="1661"/>
          </w:tcPr>
          <w:p>
            <w:pPr>
              <w:pStyle w:val="null3"/>
            </w:pPr>
            <w:r>
              <w:rPr>
                <w:rFonts w:ascii="仿宋_GB2312" w:hAnsi="仿宋_GB2312" w:cs="仿宋_GB2312" w:eastAsia="仿宋_GB2312"/>
              </w:rPr>
              <w:t>响应文件封面 标的清单 磋商报价方案说明书 响应函 技术和商务条款响应表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1.磋商响应文件的签署、加盖印章是否有效；2.提供的各种证明文件、数据、资料是否有效。</w:t>
            </w:r>
          </w:p>
        </w:tc>
        <w:tc>
          <w:tcPr>
            <w:tcW w:type="dxa" w:w="1661"/>
          </w:tcPr>
          <w:p>
            <w:pPr>
              <w:pStyle w:val="null3"/>
            </w:pPr>
            <w:r>
              <w:rPr>
                <w:rFonts w:ascii="仿宋_GB2312" w:hAnsi="仿宋_GB2312" w:cs="仿宋_GB2312" w:eastAsia="仿宋_GB2312"/>
              </w:rPr>
              <w:t>响应文件封面 标的清单 磋商报价方案说明书 响应函 技术和商务条款响应表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1.磋商报价是否超过采购预算、最高限价；2.磋商报价有效期是否符合磋商文件的要求；3.响应文件内容是否符合国家法律法规；4.是否响应实质性条款。</w:t>
            </w:r>
          </w:p>
        </w:tc>
        <w:tc>
          <w:tcPr>
            <w:tcW w:type="dxa" w:w="1661"/>
          </w:tcPr>
          <w:p>
            <w:pPr>
              <w:pStyle w:val="null3"/>
            </w:pPr>
            <w:r>
              <w:rPr>
                <w:rFonts w:ascii="仿宋_GB2312" w:hAnsi="仿宋_GB2312" w:cs="仿宋_GB2312" w:eastAsia="仿宋_GB2312"/>
              </w:rPr>
              <w:t>响应文件封面 标的清单 磋商报价方案说明书 响应函 技术和商务条款响应表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针对本项目提供具体可行的监理大纲，内容包括：①监理范围和服务内容；②监理工作目标及监理依据；③监理工作程序、方法和制度；④质量、安全环保措施；⑤合同管理及信息管理；⑥监理组织协调内容及措施；⑦监理工作重点、难点分析及应对措施；⑧验收方案。评审标准：1、完整性：方案须全面，对评审内容中的各项要求描述详细；2、可实施性：切合本项目实际情况，实施步骤清晰、合理；3、针对性：方案能够紧扣项目实际情况，内容科学合理。三、赋分依据（满分24分）①监理范围和服务内容：每完全满足一个评审标准得0.5分，满分1.5分；未提供不得分；②监理工作目标及监理依据:每完全满足一个评审标准得0.5分，满分1.5分；未提供不得分；③监理工作程序、方法和制度：每完全满足一个评审标准得0.5分，满分1.5分；未提供不得分；④质量、安全环保措施:每完全满足一个评审标准得0.5分，满分1.5分；未提供不得分；⑤合同管理及信息管理:每完全满足一个评审标准得0.5分，满分1.5分；未提供不得分；⑥监理组织协调内容及措施:每完全满足一个评审标准得0.5分，满分1.5分；未提供不得分；⑦监理工作重点、难点分析及应对措施:每完全满足一个评审标准得0.5分，满分1.5分；未提供不得分；⑧验收方案:每完全满足一个评审标准得0.5分，满分1.5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内部工作制度</w:t>
            </w:r>
          </w:p>
        </w:tc>
        <w:tc>
          <w:tcPr>
            <w:tcW w:type="dxa" w:w="2492"/>
          </w:tcPr>
          <w:p>
            <w:pPr>
              <w:pStyle w:val="null3"/>
            </w:pPr>
            <w:r>
              <w:rPr>
                <w:rFonts w:ascii="仿宋_GB2312" w:hAnsi="仿宋_GB2312" w:cs="仿宋_GB2312" w:eastAsia="仿宋_GB2312"/>
              </w:rPr>
              <w:t>针对本项目提供具体可行的工作制度，内容包括：①实施与验收阶段监理组织内部的工作制度；②监理汇报制度；③文件管理制度；④监理现场工作制度。评审标准：1、完整性：方案须全面，对评审内容中的各项要求描述详细，切合本项目实际情况，实施步骤清晰、合理；2、针对性：方案能够紧扣项目实际情况，内容科学合理。三、赋分依据（满分8分）①实施与验收阶段监理组织内部的工作制度：每完全满足一个评审标准得1分，满分2分；未提供不得分；②监理汇报制度:每完全满足一个评审标准得1分，满分2分；未提供不得分；③文件管理制度：每完全满足一个评审标准得1分，满分2分；④监理现场工作制度：每完全满足一个评审标准得1分，满分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拟投入检测仪器设备</w:t>
            </w:r>
          </w:p>
        </w:tc>
        <w:tc>
          <w:tcPr>
            <w:tcW w:type="dxa" w:w="2492"/>
          </w:tcPr>
          <w:p>
            <w:pPr>
              <w:pStyle w:val="null3"/>
            </w:pPr>
            <w:r>
              <w:rPr>
                <w:rFonts w:ascii="仿宋_GB2312" w:hAnsi="仿宋_GB2312" w:cs="仿宋_GB2312" w:eastAsia="仿宋_GB2312"/>
              </w:rPr>
              <w:t>针对本项目提供监理检测设备配置情况。评审标准：1、完整性：须全面，检测设备配置齐全、先进，完全满足工程检测要求；2、可实施性：切合本项目实际情况，监理检测设备配置情况清晰、合理；3、针对性：监理检测设备配置情况能够紧扣项目实际情况，内容科学合理。三、赋分依据（满分6分）针对本项目提供监理检测设备配置情况：每完全满足一个评审标准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承诺内容包含：①应急预案；②增值服务；③合理化建议。评审标准：1、完整性：方案须全面，对评审内容中的各项要求描述详细；2、可实施性：切合本项目实际情况，实施步骤清晰、合理；3、针对性：方案能够紧扣项目实际情况，内容科学合理。三、赋分依据（满分9分）①应急预案：每完全满足一个评审标准得1分，满分3分；未提供不得分；②增值服务:每完全满足一个评审标准得1分，满分3分；未提供不得分；③合理化建议：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拟投入团队人员（拟派总监理工程师）1</w:t>
            </w:r>
          </w:p>
        </w:tc>
        <w:tc>
          <w:tcPr>
            <w:tcW w:type="dxa" w:w="2492"/>
          </w:tcPr>
          <w:p>
            <w:pPr>
              <w:pStyle w:val="null3"/>
            </w:pPr>
            <w:r>
              <w:rPr>
                <w:rFonts w:ascii="仿宋_GB2312" w:hAnsi="仿宋_GB2312" w:cs="仿宋_GB2312" w:eastAsia="仿宋_GB2312"/>
              </w:rPr>
              <w:t>拟派总监理工程师具有建筑工程类相关专业高级职称得4分，具有中级职称得2分，本项目最高计4分。评审依据：以加盖公章的职称证复印件为准。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拟投入团队人员（拟派总监理工程师）2</w:t>
            </w:r>
          </w:p>
        </w:tc>
        <w:tc>
          <w:tcPr>
            <w:tcW w:type="dxa" w:w="2492"/>
          </w:tcPr>
          <w:p>
            <w:pPr>
              <w:pStyle w:val="null3"/>
            </w:pPr>
            <w:r>
              <w:rPr>
                <w:rFonts w:ascii="仿宋_GB2312" w:hAnsi="仿宋_GB2312" w:cs="仿宋_GB2312" w:eastAsia="仿宋_GB2312"/>
              </w:rPr>
              <w:t>提供总监理工程师2022年1月1日至今担任过类似项目总监理工程师业绩，每提供一个得2分,最多得4分。备注：以合同复印件加盖供应商公章为准。合同里须体现总监理工程师姓名，否则不计分。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拟投入团队人员（拟派团队人员）1</w:t>
            </w:r>
          </w:p>
        </w:tc>
        <w:tc>
          <w:tcPr>
            <w:tcW w:type="dxa" w:w="2492"/>
          </w:tcPr>
          <w:p>
            <w:pPr>
              <w:pStyle w:val="null3"/>
            </w:pPr>
            <w:r>
              <w:rPr>
                <w:rFonts w:ascii="仿宋_GB2312" w:hAnsi="仿宋_GB2312" w:cs="仿宋_GB2312" w:eastAsia="仿宋_GB2312"/>
              </w:rPr>
              <w:t>项目机构设置、组成人员名单，实施人员岗位职责及经验；评审标准：内容详细全面、科学合理、符合实际情况，得3分；内容不全面、与实际情况有偏差得2分；内容不全面、严重偏离实际情况得1分。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拟投入团队人员（拟派团队人员）2</w:t>
            </w:r>
          </w:p>
        </w:tc>
        <w:tc>
          <w:tcPr>
            <w:tcW w:type="dxa" w:w="2492"/>
          </w:tcPr>
          <w:p>
            <w:pPr>
              <w:pStyle w:val="null3"/>
            </w:pPr>
            <w:r>
              <w:rPr>
                <w:rFonts w:ascii="仿宋_GB2312" w:hAnsi="仿宋_GB2312" w:cs="仿宋_GB2312" w:eastAsia="仿宋_GB2312"/>
              </w:rPr>
              <w:t>团队人员中具有与本项目服务相关的在本单位任职专业人员至少包括（土建工程专业、机电安装工程专业、暖通专业、电气专业、给排水专业、造价工程师、安全人员）各2人，响应文件须附工程类注册执业资格或中级（或以上）专业技术职称证书，或监理工程师从业资格证，或监理从业资格培训证书，安全人员注册安全工程师证书（建筑施工安全）或建筑施工企业安全管理人员C证（土建类）以上人员均须提供社保缴纳证明及无在建项目承诺书。满足要求得7分。每多提供1人得1分，本项最高得14分。以上人员所需证明材料提供不齐全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提供供应商2022年1月至今类似监理业绩（以完整的合同形式为准），每份计2分，计满10分为止。（时间以合同签订时间为准，没有签订时间不计分）注：项目总监业绩与企业业绩不予重复计分。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30分）。其他供应商的价格分统一按照下列公式计算：响应报价得分=(基准价／响应报价（最后报价）)×30分。注：1、计算分数时四舍五入取小数点后两位；2、落实政府采购政策：详见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详见附件：技术和商务条款响应表</w:t>
      </w:r>
    </w:p>
    <w:p>
      <w:pPr>
        <w:pStyle w:val="null3"/>
        <w:ind w:firstLine="960"/>
      </w:pPr>
      <w:r>
        <w:rPr>
          <w:rFonts w:ascii="仿宋_GB2312" w:hAnsi="仿宋_GB2312" w:cs="仿宋_GB2312" w:eastAsia="仿宋_GB2312"/>
        </w:rPr>
        <w:t>详见附件：磋商报价方案说明书</w:t>
      </w:r>
    </w:p>
    <w:p>
      <w:pPr>
        <w:pStyle w:val="null3"/>
        <w:ind w:firstLine="960"/>
      </w:pPr>
      <w:r>
        <w:rPr>
          <w:rFonts w:ascii="仿宋_GB2312" w:hAnsi="仿宋_GB2312" w:cs="仿宋_GB2312" w:eastAsia="仿宋_GB2312"/>
        </w:rPr>
        <w:t>详见附件：供应商业绩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