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版本号：ZTGX-2026-02820260812002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商洛市松树钻蛀类害虫无人机喷药防治项目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ZTGX-2026-028</w:t>
      </w:r>
      <w:r>
        <w:br/>
      </w:r>
      <w:r>
        <w:br/>
      </w:r>
      <w:r>
        <w:br/>
      </w:r>
    </w:p>
    <w:p>
      <w:pPr>
        <w:pStyle w:val="null3"/>
        <w:jc w:val="center"/>
        <w:outlineLvl w:val="2"/>
      </w:pPr>
      <w:r>
        <w:rPr>
          <w:rFonts w:ascii="仿宋_GB2312" w:hAnsi="仿宋_GB2312" w:cs="仿宋_GB2312" w:eastAsia="仿宋_GB2312"/>
          <w:sz w:val="28"/>
          <w:b/>
        </w:rPr>
        <w:t>商洛市林木病虫防治检疫站</w:t>
      </w:r>
    </w:p>
    <w:p>
      <w:pPr>
        <w:pStyle w:val="null3"/>
        <w:jc w:val="center"/>
        <w:outlineLvl w:val="2"/>
      </w:pPr>
      <w:r>
        <w:rPr>
          <w:rFonts w:ascii="仿宋_GB2312" w:hAnsi="仿宋_GB2312" w:cs="仿宋_GB2312" w:eastAsia="仿宋_GB2312"/>
          <w:sz w:val="28"/>
          <w:b/>
        </w:rPr>
        <w:t>陕西中天国信项目管理有限公司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陕西中天国信项目管理有限公司</w:t>
      </w:r>
      <w:r>
        <w:rPr>
          <w:rFonts w:ascii="仿宋_GB2312" w:hAnsi="仿宋_GB2312" w:cs="仿宋_GB2312" w:eastAsia="仿宋_GB2312"/>
        </w:rPr>
        <w:t>（以下简称“代理机构”）受</w:t>
      </w:r>
      <w:r>
        <w:rPr>
          <w:rFonts w:ascii="仿宋_GB2312" w:hAnsi="仿宋_GB2312" w:cs="仿宋_GB2312" w:eastAsia="仿宋_GB2312"/>
        </w:rPr>
        <w:t>商洛市林木病虫防治检疫站</w:t>
      </w:r>
      <w:r>
        <w:rPr>
          <w:rFonts w:ascii="仿宋_GB2312" w:hAnsi="仿宋_GB2312" w:cs="仿宋_GB2312" w:eastAsia="仿宋_GB2312"/>
        </w:rPr>
        <w:t>委托，拟对</w:t>
      </w:r>
      <w:r>
        <w:rPr>
          <w:rFonts w:ascii="仿宋_GB2312" w:hAnsi="仿宋_GB2312" w:cs="仿宋_GB2312" w:eastAsia="仿宋_GB2312"/>
        </w:rPr>
        <w:t>商洛市松树钻蛀类害虫无人机喷药防治项目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ZTGX-2026-028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商洛市松树钻蛀类害虫无人机喷药防治项目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无人机防治松树钻蛀类害虫，完成1.2万亩无人机防治松树钻蛀类害虫任务，包含药品费及飞行费。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能力的法人、其他组织或自然人：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 代表人身份证明：法定代表人授权委托书（附法定代表人、被授权委托人身份证复印件）及被授权委托人身份证原件（法定代表人参加投标只须提供法定代表人身份证）；</w:t>
      </w:r>
    </w:p>
    <w:p>
      <w:pPr>
        <w:pStyle w:val="null3"/>
      </w:pPr>
      <w:r>
        <w:rPr>
          <w:rFonts w:ascii="仿宋_GB2312" w:hAnsi="仿宋_GB2312" w:cs="仿宋_GB2312" w:eastAsia="仿宋_GB2312"/>
        </w:rPr>
        <w:t>3、资质证书：供应商须具备林业有害生物防治丙级及以上资质证书；</w:t>
      </w:r>
    </w:p>
    <w:p>
      <w:pPr>
        <w:pStyle w:val="null3"/>
      </w:pPr>
      <w:r>
        <w:rPr>
          <w:rFonts w:ascii="仿宋_GB2312" w:hAnsi="仿宋_GB2312" w:cs="仿宋_GB2312" w:eastAsia="仿宋_GB2312"/>
        </w:rPr>
        <w:t>4、财务状况：财务状况报告：提供供应商2025年度财务审计报告，或者提供其投标前三个月内基本存款账户开户银行出具的资信证明及基本存款帐户开户证明；</w:t>
      </w:r>
    </w:p>
    <w:p>
      <w:pPr>
        <w:pStyle w:val="null3"/>
      </w:pPr>
      <w:r>
        <w:rPr>
          <w:rFonts w:ascii="仿宋_GB2312" w:hAnsi="仿宋_GB2312" w:cs="仿宋_GB2312" w:eastAsia="仿宋_GB2312"/>
        </w:rPr>
        <w:t>5、税收缴纳证明：具有依法缴纳税收的良好记录（提供投标截止日前一年内任一个月的纳税证明或完税证明（任意税种），依法免税的单位应提供相关证明材料）；</w:t>
      </w:r>
    </w:p>
    <w:p>
      <w:pPr>
        <w:pStyle w:val="null3"/>
      </w:pPr>
      <w:r>
        <w:rPr>
          <w:rFonts w:ascii="仿宋_GB2312" w:hAnsi="仿宋_GB2312" w:cs="仿宋_GB2312" w:eastAsia="仿宋_GB2312"/>
        </w:rPr>
        <w:t>6、社保缴纳证明：社会保障资金缴纳证明：提供投标截止日前一年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7、书面承诺书：提供具备履行合同所必需的设备和专业技术能力的书面声明；</w:t>
      </w:r>
    </w:p>
    <w:p>
      <w:pPr>
        <w:pStyle w:val="null3"/>
      </w:pPr>
      <w:r>
        <w:rPr>
          <w:rFonts w:ascii="仿宋_GB2312" w:hAnsi="仿宋_GB2312" w:cs="仿宋_GB2312" w:eastAsia="仿宋_GB2312"/>
        </w:rPr>
        <w:t>8、信用记录：本项目采购响应文件递交截止时间前供应商未被列入“信用中国”网站(www.creditchina.gov.cn)“记录失信被执行人、重大税收违法案件当事人名单和政府采购严重违法失信行为”记录名单。不得为中国政府采购网(www.ccgp.gov.cn)“政府采购严重违法失信行为信息记录” 被财政部门禁止参加政府采购活动的供应商；</w:t>
      </w:r>
    </w:p>
    <w:p>
      <w:pPr>
        <w:pStyle w:val="null3"/>
      </w:pPr>
      <w:r>
        <w:rPr>
          <w:rFonts w:ascii="仿宋_GB2312" w:hAnsi="仿宋_GB2312" w:cs="仿宋_GB2312" w:eastAsia="仿宋_GB2312"/>
        </w:rPr>
        <w:t>9、书面声明：提供参加政府采购活动近3年内在经营活动中没有重大违法纪录的书面声明；</w:t>
      </w:r>
    </w:p>
    <w:p>
      <w:pPr>
        <w:pStyle w:val="null3"/>
      </w:pPr>
      <w:r>
        <w:rPr>
          <w:rFonts w:ascii="仿宋_GB2312" w:hAnsi="仿宋_GB2312" w:cs="仿宋_GB2312" w:eastAsia="仿宋_GB2312"/>
        </w:rPr>
        <w:t>10、非联合体：本项目不接受联合体投标，提供非联合体声明</w:t>
      </w:r>
    </w:p>
    <w:p>
      <w:pPr>
        <w:pStyle w:val="null3"/>
      </w:pPr>
      <w:r>
        <w:rPr>
          <w:rFonts w:ascii="仿宋_GB2312" w:hAnsi="仿宋_GB2312" w:cs="仿宋_GB2312" w:eastAsia="仿宋_GB2312"/>
        </w:rPr>
        <w:t>11、投标保证金：按要求提供缴纳凭证或保函</w:t>
      </w:r>
    </w:p>
    <w:p>
      <w:pPr>
        <w:pStyle w:val="null3"/>
      </w:pPr>
      <w:r>
        <w:rPr>
          <w:rFonts w:ascii="仿宋_GB2312" w:hAnsi="仿宋_GB2312" w:cs="仿宋_GB2312" w:eastAsia="仿宋_GB2312"/>
        </w:rPr>
        <w:t>12、控股关系：单位负责人为同一人或者存在控股、管理关系的不同单位不得同时参加磋商，提供相关声明。 （提供承诺，格式自拟）；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商洛市林木病虫防治检疫站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商洛市商州区张峪沟</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商洛市林木病虫防治检疫站经办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18700101759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陕西中天国信项目管理有限公司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陕西省商洛市商州区朝阳路城投公司东隔壁二楼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15129148490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开户名称：陕西中天国信项目管理有限公司</w:t>
            </w:r>
          </w:p>
          <w:p>
            <w:pPr>
              <w:pStyle w:val="null3"/>
            </w:pPr>
            <w:r>
              <w:rPr>
                <w:rFonts w:ascii="仿宋_GB2312" w:hAnsi="仿宋_GB2312" w:cs="仿宋_GB2312" w:eastAsia="仿宋_GB2312"/>
              </w:rPr>
              <w:t>开户银行：中国工商银行股份有限公司商洛行政广场支行</w:t>
            </w:r>
          </w:p>
          <w:p>
            <w:pPr>
              <w:pStyle w:val="null3"/>
            </w:pPr>
            <w:r>
              <w:rPr>
                <w:rFonts w:ascii="仿宋_GB2312" w:hAnsi="仿宋_GB2312" w:cs="仿宋_GB2312" w:eastAsia="仿宋_GB2312"/>
              </w:rPr>
              <w:t>银行账号：2608070409200065897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代理服务费收费标准：1.收费标准：参照原国家计委（计价格〔2002〕1980号）文件及国家发展改革委发改价格〔2011〕534号文件规定标准计取该项目招标代理服务费； 2.招标代理服务费由中标单位在领取中标通知书前一次性向招标代理机构缴纳。 账户信息如下： 账户名称：陕西中天国信项目管理有限公司 开 户 行：中国工商银行股份有限公司商洛行政广场支行 账 号：2608070409200065897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商洛市林木病虫防治检疫站</w:t>
      </w:r>
      <w:r>
        <w:rPr>
          <w:rFonts w:ascii="仿宋_GB2312" w:hAnsi="仿宋_GB2312" w:cs="仿宋_GB2312" w:eastAsia="仿宋_GB2312"/>
        </w:rPr>
        <w:t>和</w:t>
      </w:r>
      <w:r>
        <w:rPr>
          <w:rFonts w:ascii="仿宋_GB2312" w:hAnsi="仿宋_GB2312" w:cs="仿宋_GB2312" w:eastAsia="仿宋_GB2312"/>
        </w:rPr>
        <w:t>陕西中天国信项目管理有限公司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商洛市林木病虫防治检疫站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陕西中天国信项目管理有限公司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商洛市林木病虫防治检疫站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陕西中天国信项目管理有限公司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符合作业设计要求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陕西中天国信项目管理有限公司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陕西中天国信项目管理有限公司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陕西中天国信项目管理有限公司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联系人：胡工</w:t>
      </w:r>
    </w:p>
    <w:p>
      <w:pPr>
        <w:pStyle w:val="null3"/>
      </w:pPr>
      <w:r>
        <w:rPr>
          <w:rFonts w:ascii="仿宋_GB2312" w:hAnsi="仿宋_GB2312" w:cs="仿宋_GB2312" w:eastAsia="仿宋_GB2312"/>
        </w:rPr>
        <w:t>联系电话：15129148490</w:t>
      </w:r>
    </w:p>
    <w:p>
      <w:pPr>
        <w:pStyle w:val="null3"/>
      </w:pPr>
      <w:r>
        <w:rPr>
          <w:rFonts w:ascii="仿宋_GB2312" w:hAnsi="仿宋_GB2312" w:cs="仿宋_GB2312" w:eastAsia="仿宋_GB2312"/>
        </w:rPr>
        <w:t>地址：陕西省商洛市商州区朝阳路城投公司东隔壁二楼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完成1.2万亩无人机防治松树钻蛀类害虫任务，包含药品费及飞行费。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无人机防治松树钻蛀类害虫</w:t>
            </w:r>
          </w:p>
        </w:tc>
        <w:tc>
          <w:tcPr>
            <w:tcW w:type="dxa" w:w="755"/>
          </w:tcPr>
          <w:p>
            <w:pPr>
              <w:pStyle w:val="null3"/>
              <w:jc w:val="right"/>
            </w:pPr>
            <w:r>
              <w:rPr>
                <w:rFonts w:ascii="仿宋_GB2312" w:hAnsi="仿宋_GB2312" w:cs="仿宋_GB2312" w:eastAsia="仿宋_GB2312"/>
              </w:rPr>
              <w:t>12,000.00</w:t>
            </w:r>
          </w:p>
        </w:tc>
        <w:tc>
          <w:tcPr>
            <w:tcW w:type="dxa" w:w="755"/>
          </w:tcPr>
          <w:p>
            <w:pPr>
              <w:pStyle w:val="null3"/>
              <w:jc w:val="right"/>
            </w:pPr>
            <w:r>
              <w:rPr>
                <w:rFonts w:ascii="仿宋_GB2312" w:hAnsi="仿宋_GB2312" w:cs="仿宋_GB2312" w:eastAsia="仿宋_GB2312"/>
              </w:rPr>
              <w:t>360,000.00</w:t>
            </w:r>
          </w:p>
        </w:tc>
        <w:tc>
          <w:tcPr>
            <w:tcW w:type="dxa" w:w="755"/>
          </w:tcPr>
          <w:p>
            <w:pPr>
              <w:pStyle w:val="null3"/>
            </w:pPr>
            <w:r>
              <w:rPr>
                <w:rFonts w:ascii="仿宋_GB2312" w:hAnsi="仿宋_GB2312" w:cs="仿宋_GB2312" w:eastAsia="仿宋_GB2312"/>
              </w:rPr>
              <w:t>亩</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标的名称：无人机防治松树钻蛀类害虫</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333333"/>
              </w:rPr>
              <w:t>无人机防</w:t>
            </w:r>
            <w:r>
              <w:rPr>
                <w:rFonts w:ascii="仿宋_GB2312" w:hAnsi="仿宋_GB2312" w:cs="仿宋_GB2312" w:eastAsia="仿宋_GB2312"/>
                <w:sz w:val="21"/>
                <w:color w:val="333333"/>
              </w:rPr>
              <w:t>治松树钻</w:t>
            </w:r>
            <w:r>
              <w:rPr>
                <w:rFonts w:ascii="仿宋_GB2312" w:hAnsi="仿宋_GB2312" w:cs="仿宋_GB2312" w:eastAsia="仿宋_GB2312"/>
                <w:sz w:val="21"/>
                <w:color w:val="333333"/>
              </w:rPr>
              <w:t>蛀类害虫：</w:t>
            </w:r>
            <w:r>
              <w:rPr>
                <w:rFonts w:ascii="仿宋_GB2312" w:hAnsi="仿宋_GB2312" w:cs="仿宋_GB2312" w:eastAsia="仿宋_GB2312"/>
                <w:sz w:val="21"/>
                <w:color w:val="333333"/>
              </w:rPr>
              <w:t>完成1.2万亩无人机防</w:t>
            </w:r>
            <w:r>
              <w:rPr>
                <w:rFonts w:ascii="仿宋_GB2312" w:hAnsi="仿宋_GB2312" w:cs="仿宋_GB2312" w:eastAsia="仿宋_GB2312"/>
                <w:sz w:val="21"/>
                <w:color w:val="333333"/>
              </w:rPr>
              <w:t>治松树钻蛀类害虫任</w:t>
            </w:r>
            <w:r>
              <w:rPr>
                <w:rFonts w:ascii="仿宋_GB2312" w:hAnsi="仿宋_GB2312" w:cs="仿宋_GB2312" w:eastAsia="仿宋_GB2312"/>
                <w:sz w:val="21"/>
                <w:color w:val="333333"/>
              </w:rPr>
              <w:t>务，包含药品费及飞行</w:t>
            </w:r>
            <w:r>
              <w:rPr>
                <w:rFonts w:ascii="仿宋_GB2312" w:hAnsi="仿宋_GB2312" w:cs="仿宋_GB2312" w:eastAsia="仿宋_GB2312"/>
                <w:sz w:val="21"/>
                <w:color w:val="333333"/>
              </w:rPr>
              <w:t>费。符合</w:t>
            </w:r>
            <w:r>
              <w:rPr>
                <w:rFonts w:ascii="仿宋_GB2312" w:hAnsi="仿宋_GB2312" w:cs="仿宋_GB2312" w:eastAsia="仿宋_GB2312"/>
                <w:sz w:val="21"/>
                <w:color w:val="333333"/>
              </w:rPr>
              <w:t>作业设计要求</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符合本次采购需求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符合本次采购需求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符合本次采购需求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符合作业设计要求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预付款，合同签订后15工作日内，达到付款条件起15个工作日内，支付合同总金额的50.0%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进度款，竣工验收合格后，达到付款条件起30个工作日内，支付合同总金额的50.0%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若协商不能解决，合同当事人任何一方均可向有管辖权的人民法院起诉。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特定资格证明资料.docx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 代表人身份证明</w:t>
            </w:r>
          </w:p>
        </w:tc>
        <w:tc>
          <w:tcPr>
            <w:tcW w:type="dxa" w:w="3322"/>
          </w:tcPr>
          <w:p>
            <w:pPr>
              <w:pStyle w:val="null3"/>
            </w:pPr>
            <w:r>
              <w:rPr>
                <w:rFonts w:ascii="仿宋_GB2312" w:hAnsi="仿宋_GB2312" w:cs="仿宋_GB2312" w:eastAsia="仿宋_GB2312"/>
              </w:rPr>
              <w:t>法定代表人授权委托书（附法定代表人、被授权委托人身份证复印件）及被授权委托人身份证原件（法定代表人参加投标只须提供法定代表人身份证）；</w:t>
            </w:r>
          </w:p>
        </w:tc>
        <w:tc>
          <w:tcPr>
            <w:tcW w:type="dxa" w:w="1661"/>
          </w:tcPr>
          <w:p>
            <w:pPr>
              <w:pStyle w:val="null3"/>
            </w:pPr>
            <w:r>
              <w:rPr>
                <w:rFonts w:ascii="仿宋_GB2312" w:hAnsi="仿宋_GB2312" w:cs="仿宋_GB2312" w:eastAsia="仿宋_GB2312"/>
              </w:rPr>
              <w:t>法定代表人证明书与法定代表人授权书.docx 特定资格证明资料.docx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供应商须具备林业有害生物防治丙级及以上资质证书；</w:t>
            </w:r>
          </w:p>
        </w:tc>
        <w:tc>
          <w:tcPr>
            <w:tcW w:type="dxa" w:w="1661"/>
          </w:tcPr>
          <w:p>
            <w:pPr>
              <w:pStyle w:val="null3"/>
            </w:pPr>
            <w:r>
              <w:rPr>
                <w:rFonts w:ascii="仿宋_GB2312" w:hAnsi="仿宋_GB2312" w:cs="仿宋_GB2312" w:eastAsia="仿宋_GB2312"/>
              </w:rPr>
              <w:t>特定资格证明资料.docx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财务状况报告：提供供应商2025年度财务审计报告，或者提供其投标前三个月内基本存款账户开户银行出具的资信证明及基本存款帐户开户证明；</w:t>
            </w:r>
          </w:p>
        </w:tc>
        <w:tc>
          <w:tcPr>
            <w:tcW w:type="dxa" w:w="1661"/>
          </w:tcPr>
          <w:p>
            <w:pPr>
              <w:pStyle w:val="null3"/>
            </w:pPr>
            <w:r>
              <w:rPr>
                <w:rFonts w:ascii="仿宋_GB2312" w:hAnsi="仿宋_GB2312" w:cs="仿宋_GB2312" w:eastAsia="仿宋_GB2312"/>
              </w:rPr>
              <w:t>特定资格证明资料.docx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具有依法缴纳税收的良好记录（提供投标截止日前一年内任一个月的纳税证明或完税证明（任意税种），依法免税的单位应提供相关证明材料）；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特定资格证明资料.docx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社会保障资金缴纳证明：提供投标截止日前一年内任意一个月已缴纳的社会保障资金缴存单据或社保机构开具的社会保险参保缴费情况证明；依法不需要缴纳社会保障资金的应提供相关文件证明；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特定资格证明资料.docx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书面承诺书</w:t>
            </w:r>
          </w:p>
        </w:tc>
        <w:tc>
          <w:tcPr>
            <w:tcW w:type="dxa" w:w="3322"/>
          </w:tcPr>
          <w:p>
            <w:pPr>
              <w:pStyle w:val="null3"/>
            </w:pPr>
            <w:r>
              <w:rPr>
                <w:rFonts w:ascii="仿宋_GB2312" w:hAnsi="仿宋_GB2312" w:cs="仿宋_GB2312" w:eastAsia="仿宋_GB2312"/>
              </w:rPr>
              <w:t>提供具备履行合同所必需的设备和专业技术能力的书面声明；</w:t>
            </w:r>
          </w:p>
        </w:tc>
        <w:tc>
          <w:tcPr>
            <w:tcW w:type="dxa" w:w="1661"/>
          </w:tcPr>
          <w:p>
            <w:pPr>
              <w:pStyle w:val="null3"/>
            </w:pPr>
            <w:r>
              <w:rPr>
                <w:rFonts w:ascii="仿宋_GB2312" w:hAnsi="仿宋_GB2312" w:cs="仿宋_GB2312" w:eastAsia="仿宋_GB2312"/>
              </w:rPr>
              <w:t>特定资格证明资料.docx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本项目采购响应文件递交截止时间前供应商未被列入“信用中国”网站(www.creditchina.gov.cn)“记录失信被执行人、重大税收违法案件当事人名单和政府采购严重违法失信行为”记录名单。不得为中国政府采购网(www.ccgp.gov.cn)“政府采购严重违法失信行为信息记录” 被财政部门禁止参加政府采购活动的供应商；</w:t>
            </w:r>
          </w:p>
        </w:tc>
        <w:tc>
          <w:tcPr>
            <w:tcW w:type="dxa" w:w="1661"/>
          </w:tcPr>
          <w:p>
            <w:pPr>
              <w:pStyle w:val="null3"/>
            </w:pPr>
            <w:r>
              <w:rPr>
                <w:rFonts w:ascii="仿宋_GB2312" w:hAnsi="仿宋_GB2312" w:cs="仿宋_GB2312" w:eastAsia="仿宋_GB2312"/>
              </w:rPr>
              <w:t>特定资格证明资料.docx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提供参加政府采购活动近3年内在经营活动中没有重大违法纪录的书面声明；</w:t>
            </w:r>
          </w:p>
        </w:tc>
        <w:tc>
          <w:tcPr>
            <w:tcW w:type="dxa" w:w="1661"/>
          </w:tcPr>
          <w:p>
            <w:pPr>
              <w:pStyle w:val="null3"/>
            </w:pPr>
            <w:r>
              <w:rPr>
                <w:rFonts w:ascii="仿宋_GB2312" w:hAnsi="仿宋_GB2312" w:cs="仿宋_GB2312" w:eastAsia="仿宋_GB2312"/>
              </w:rPr>
              <w:t>特定资格证明资料.docx 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特定资格证明资料.docx 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按要求提供缴纳凭证或保函</w:t>
            </w:r>
          </w:p>
        </w:tc>
        <w:tc>
          <w:tcPr>
            <w:tcW w:type="dxa" w:w="1661"/>
          </w:tcPr>
          <w:p>
            <w:pPr>
              <w:pStyle w:val="null3"/>
            </w:pPr>
            <w:r>
              <w:rPr>
                <w:rFonts w:ascii="仿宋_GB2312" w:hAnsi="仿宋_GB2312" w:cs="仿宋_GB2312" w:eastAsia="仿宋_GB2312"/>
              </w:rPr>
              <w:t>特定资格证明资料.docx 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单位负责人为同一人或者存在控股、管理关系的不同单位不得同时参加磋商，提供相关声明。 （提供承诺，格式自拟）；</w:t>
            </w:r>
          </w:p>
        </w:tc>
        <w:tc>
          <w:tcPr>
            <w:tcW w:type="dxa" w:w="1661"/>
          </w:tcPr>
          <w:p>
            <w:pPr>
              <w:pStyle w:val="null3"/>
            </w:pPr>
            <w:r>
              <w:rPr>
                <w:rFonts w:ascii="仿宋_GB2312" w:hAnsi="仿宋_GB2312" w:cs="仿宋_GB2312" w:eastAsia="仿宋_GB2312"/>
              </w:rPr>
              <w:t>特定资格证明资料.docx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供应商根据采购文件认为有必要补充说明的事项.docx 中小企业声明函 残疾人福利性单位声明函 商务应答表 服务方案 标的清单 服务内容及服务要求应答表 报价表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报价评分</w:t>
            </w:r>
          </w:p>
        </w:tc>
        <w:tc>
          <w:tcPr>
            <w:tcW w:type="dxa" w:w="2492"/>
          </w:tcPr>
          <w:p>
            <w:pPr>
              <w:pStyle w:val="null3"/>
            </w:pPr>
            <w:r>
              <w:rPr>
                <w:rFonts w:ascii="仿宋_GB2312" w:hAnsi="仿宋_GB2312" w:cs="仿宋_GB2312" w:eastAsia="仿宋_GB2312"/>
              </w:rPr>
              <w:t>1.经初审合格的投标文件，其投标报价为有效投标报价。 2.满足竞争性磋商文件实质性要求的最低投标报价为评标基准价，其价格分为满分30分。 3.投标报价得分=（评标基准价/投标报价）×30的公式计算得分。 4.投标报价不完整的，不进入评标标准价的计算，本项得0分。 5.经评委一致认定，供应商的投标报价低于公认市场成本价，或超过采购预算，其响应将被拒绝。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提供2023年以来本单位负责的类似工程施工业绩（业绩以合同复印件或及中标通知书为依据，时间以证明资料显示时间为准），每个业绩得3分，最高得15分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供应商针对本项目编制完善的施工方案，内容包含但不限于：具体施工内容、施工次序、施工方法（工艺）、成品保护措施等。 评审标准： ①内容科学全面，详细、具体的计10分； ②内容完整，但仅对部分内容进行详细描述的计8分； ③仅有框架或内容条理不清晰、混乱的计6分； ④内容缺一项或内容与项目无关的计4分； ⑤内容简单或内容欠缺2项及以上的计2分； ⑥未提供本项不计分。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工程进度计划与保障措施</w:t>
            </w:r>
          </w:p>
        </w:tc>
        <w:tc>
          <w:tcPr>
            <w:tcW w:type="dxa" w:w="2492"/>
          </w:tcPr>
          <w:p>
            <w:pPr>
              <w:pStyle w:val="null3"/>
            </w:pPr>
            <w:r>
              <w:rPr>
                <w:rFonts w:ascii="仿宋_GB2312" w:hAnsi="仿宋_GB2312" w:cs="仿宋_GB2312" w:eastAsia="仿宋_GB2312"/>
              </w:rPr>
              <w:t>供应商针对本项目编制完善的工期的技术组织措施，内容包含但不限于：施工组织与工期保证措施、特殊情况保证：夜间、雨季等情况。 评审标准： ①内容完整全面详细、合理具体，内容能够紧扣项目实际情况，条理清晰的计6分； ②内容完整，但条理不清晰、措施不具体或无紧扣项目实际情况的计4分； ③仅有框架，无实质性实施内容的或内容宽泛的计2分； ④内容缺1项的或内容粗略、逻辑混乱、出现常识性错误、存在不可能实现的夸大情形的计1分； ⑤未提供相关内容的不计分。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确保工程质量的组织措施</w:t>
            </w:r>
          </w:p>
        </w:tc>
        <w:tc>
          <w:tcPr>
            <w:tcW w:type="dxa" w:w="2492"/>
          </w:tcPr>
          <w:p>
            <w:pPr>
              <w:pStyle w:val="null3"/>
            </w:pPr>
            <w:r>
              <w:rPr>
                <w:rFonts w:ascii="仿宋_GB2312" w:hAnsi="仿宋_GB2312" w:cs="仿宋_GB2312" w:eastAsia="仿宋_GB2312"/>
              </w:rPr>
              <w:t>供应商针对本项目编制完善的工程质量技术组织措施，内容包含但不限于：质量目标管理体系、施工质量的检验制度、确保质量的技术组织措施、材料储存方案。 评审标准： ①内容完整全面详细，且各项制度、措施等合理具体，内容能够紧扣项目实际情况，条理清晰的计6分； ②内容完整，但条理不清晰、措施不具体或无紧扣项目实际情况的计4分； ③内容缺1项的计2分； ④内容缺2项及以上或内容粗略、逻辑混乱、出现常识性错误、存在不可能实现的夸大情形的计1分； ⑤未提供相关内容的不计分。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文明施工、环境保护管理体系与措施</w:t>
            </w:r>
          </w:p>
        </w:tc>
        <w:tc>
          <w:tcPr>
            <w:tcW w:type="dxa" w:w="2492"/>
          </w:tcPr>
          <w:p>
            <w:pPr>
              <w:pStyle w:val="null3"/>
            </w:pPr>
            <w:r>
              <w:rPr>
                <w:rFonts w:ascii="仿宋_GB2312" w:hAnsi="仿宋_GB2312" w:cs="仿宋_GB2312" w:eastAsia="仿宋_GB2312"/>
              </w:rPr>
              <w:t>供应商针对本项目编制完善的文明施工及环境保护措施，内容包含但不限于：安全文明施工目标及施工现场的临时管理措施、文明施工保障措施、环境保护管理体系、环保控制措施、污染物及废弃物处理的排放、噪音控制、防尘及扬尘的控制措施。 评审标准： ①内容完整全面详细、合理具体，内容能够紧扣项目实际情况，条理清晰的计6分； ②内容完整，但条理不清晰、措施不具体或无紧扣项目实际情况的计4分； ③内容缺1项的计2分； ④内容缺2项及以上缺项或内容粗略、逻辑混乱、出现常识性错误、存在不可能实现的夸大情形的计1分； ⑤未提供相关内容的不计分。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供应商针对本项目编制完善的劳动力安排计划及劳务分包情况，内容包含但不限于：劳动力投入计划，劳动力保障措施。 评审标准： ①内容完整全面详细、合理具体，内容能够紧扣项目实际情况，条理清晰的计6分； ②内容完整，但条理不清晰、措施不具体或无紧扣项目实际情况的计4分； ③仅有框架，无实质性实施内容的或内容宽泛的计2分； ④内容缺1项的或内容粗略、逻辑混乱、出现常识性错误、存在不可能实现的夸大情形的计1分； ⑤未提供相关内容的不计分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安全生产的技术组织措施</w:t>
            </w:r>
          </w:p>
        </w:tc>
        <w:tc>
          <w:tcPr>
            <w:tcW w:type="dxa" w:w="2492"/>
          </w:tcPr>
          <w:p>
            <w:pPr>
              <w:pStyle w:val="null3"/>
            </w:pPr>
            <w:r>
              <w:rPr>
                <w:rFonts w:ascii="仿宋_GB2312" w:hAnsi="仿宋_GB2312" w:cs="仿宋_GB2312" w:eastAsia="仿宋_GB2312"/>
              </w:rPr>
              <w:t>供应商针对本项目编制完善的安全生产的技术组织措施，内容包含但不限于：安全管理体系、安全责任归属划分、安全标识：安全警戒标语、施工人员安全警示服和安全帽穿配要求、安全教育培训等。 评审标准： ①内容完整全面详细、合理具体，内容能够紧扣项目实际情况，条理清晰的计6分； ②内容完整，但条理不清晰、措施不具体或无紧扣项目实际情况的计4分； ③内容缺1项的计2分； ④内容缺2项及以上缺项或内容粗略、逻辑混乱、出现常识性错误、存在不可能实现的夸大情形的计1分； ⑤未提供相关内容的不计分。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供应商针对本项目编制完善的服务承诺，内容包含但不限于：对招标文件和合同条款的响应承诺、针对本项目实际需求提供实质性服务承诺及保障措施、针对本项目的施工验收后期的质保承诺等。 评审标准： ①内容完整全面详细、合理具体，内容能够紧扣项目实际情况，条理清晰的计5分； ②内容完整，但条理不清晰、措施不具体或无紧扣项目实际情况的计4分； ③仅有框架，无实质性实施内容的或内容宽泛的计2分； ④内容缺1项的或内容粗略、逻辑混乱、出现常识性错误、存在不可能实现的夸大情形的计1分； ⑤未提供相关内容的不计分。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人员配备与资质</w:t>
            </w:r>
          </w:p>
        </w:tc>
        <w:tc>
          <w:tcPr>
            <w:tcW w:type="dxa" w:w="2492"/>
          </w:tcPr>
          <w:p>
            <w:pPr>
              <w:pStyle w:val="null3"/>
            </w:pPr>
            <w:r>
              <w:rPr>
                <w:rFonts w:ascii="仿宋_GB2312" w:hAnsi="仿宋_GB2312" w:cs="仿宋_GB2312" w:eastAsia="仿宋_GB2312"/>
              </w:rPr>
              <w:t>1. 项目负责人资质（3分）： （1）持有林业类高级职称证书，得 3 分 （2）持有林业类中级职称证书，得 2 分 （3）持有林业类初级职称证书，得 1 分 （4）无有效证书，得 0 分 2. 团队专业配置（7分）： 团队内每有一人持有林业类高级职称证书得3分，每有一人持有林业类中级职称证书得2分，每有一人持有林业类初级职称证书得1分，本项最高7分。 须附上项目组全部人员身份证、职称证书扫描件，证书造假、人员无法核验的直接本项清零。项目负责人业绩指2023年1月1日以来类似项目业绩，以合同签订时间为准。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评审委员会启动异常低价投标（响应）审查后，应当要求相关供应商在评审现场合理的时间内提供书面说明及必要的证明材料，对投标（响应）价格作出解释。无</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详见附件：特定资格证明资料.docx</w:t>
      </w:r>
    </w:p>
    <w:p>
      <w:pPr>
        <w:pStyle w:val="null3"/>
        <w:ind w:firstLine="960"/>
      </w:pPr>
      <w:r>
        <w:rPr>
          <w:rFonts w:ascii="仿宋_GB2312" w:hAnsi="仿宋_GB2312" w:cs="仿宋_GB2312" w:eastAsia="仿宋_GB2312"/>
        </w:rPr>
        <w:t>详见附件：供应商根据采购文件认为有必要补充说明的事项.docx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