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版本号：ZCSP-华县-2026-0010820260703001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康养楼消防泵房改造工程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ZCSP-华县-2026-00108</w:t>
      </w:r>
      <w:r>
        <w:br/>
      </w:r>
      <w:r>
        <w:br/>
      </w:r>
      <w:r>
        <w:br/>
      </w:r>
    </w:p>
    <w:p>
      <w:pPr>
        <w:pStyle w:val="null3"/>
        <w:jc w:val="center"/>
        <w:outlineLvl w:val="2"/>
      </w:pPr>
      <w:r>
        <w:rPr>
          <w:rFonts w:ascii="仿宋_GB2312" w:hAnsi="仿宋_GB2312" w:cs="仿宋_GB2312" w:eastAsia="仿宋_GB2312"/>
          <w:sz w:val="28"/>
          <w:b/>
        </w:rPr>
        <w:t>渭南市华州区人民医院</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康养楼消防泵房改造工程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ZCSP-华县-2026-00108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康养楼消防泵房改造工程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康养楼消防泵房改造工程为砖混结构一层3米高，建筑面积27平方米；钢筋混凝土结构消防水池有效容积186立方米；专业有土建工程、消防工程、给排水、电气工程等。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采购包1（康养楼消防泵房改造工程）：属于专门面向中小企业采购。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2、企业资质：供应商须具备建筑工程施工总承包三级（含三级）及以上资质，并具有有效的安全生产许可证；</w:t>
      </w:r>
    </w:p>
    <w:p>
      <w:pPr>
        <w:pStyle w:val="null3"/>
      </w:pPr>
      <w:r>
        <w:rPr>
          <w:rFonts w:ascii="仿宋_GB2312" w:hAnsi="仿宋_GB2312" w:cs="仿宋_GB2312" w:eastAsia="仿宋_GB2312"/>
        </w:rPr>
        <w:t>3、项目经理：拟派项目经理须具有建筑工程二级及以上注册建造师资格并具有有效的安全生产考核合格证，且无在建工程；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4、磋商保证金交纳凭证：磋商保证金凭证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采购包1：984,439.95元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984,439.95</w:t>
      </w:r>
    </w:p>
    <w:p>
      <w:pPr>
        <w:pStyle w:val="null3"/>
      </w:pPr>
      <w:r>
        <w:rPr>
          <w:rFonts w:ascii="仿宋_GB2312" w:hAnsi="仿宋_GB2312" w:cs="仿宋_GB2312" w:eastAsia="仿宋_GB2312"/>
        </w:rPr>
        <w:t>采购包最高限价（元）: 984,439.95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康养楼消防泵房改造工程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984,439.95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标的名称：康养楼消防泵房改造工程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康养楼消防泵房改造工程为砖混结构一层</w:t>
            </w:r>
            <w:r>
              <w:rPr>
                <w:rFonts w:ascii="仿宋_GB2312" w:hAnsi="仿宋_GB2312" w:cs="仿宋_GB2312" w:eastAsia="仿宋_GB2312"/>
                <w:sz w:val="21"/>
              </w:rPr>
              <w:t>3米高，建筑面积27平方米；钢筋混凝土结构消防水池有效容积186立方米；专业有土建工程、消防工程、给排水、电气工程等，具体详见工程量清单。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 《施工现场临时用电安全技术规范》（JGJ46-88） 《建筑电气工程施工质量验收规范》GB50303-2015 《建设工程施工现场供用电安全规范》（GB 50194-93） 《建筑地基基础工程施工质量验收规范》（GB 50202）； 《建设施工安全检查标准》（JGJ59-99） 《建筑与市政工程无障碍通用规范》 GB55019-2021 《工程建设标准强制性条文》（2013年版） 《建筑节能与可再生能源利用通用规范》（GB 55015-2021） 《安全防范工程通用规范》 （ GB 55029-2022） 《安全防范工程通用规范》 （GB 55029-2022） 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（2）工程地点：渭南市华州区。 （3）质量标准：合格，达到国家现行技术标准。 （4）质保期：按照《建设工程质量管理条例》及有关规定执行，质量保修期自工程竣工验收合格之日起计算。 （5）付款方式：项目开工后，根据工程施工进度拨付预付款最高至60%，项目竣工验收合格，审计部门审定后，一年内付清剩余工程款。（6）在施工范围内按施工内容和要求制定详细的施工组织设计方案，方案科学、合理、可靠。 （7）人员配备合理。有针对本项目的项目团队，项目经理、配备人员分工明确（应有具体成员名单，包括姓名、工作职责等）。（8）有各类突发事件的应急预案和措施，有明确的具体承诺。（9）供应商必须按法律、法规及有关政策规定为其工作人员购买相关保险。（10）供应商的工作人员数量必须满足采购人的实际工作要求，且穿着统一标识的工作服。（11）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中标（成交）结果公告发布后3个工作日内提供叁套纸质投标文件（经编标工具生成的文件直接打印并加盖公章）和叁套纸质最终版《工程量清单表》，递交的纸质版文件内容确保与线上电子文件保持一致，不允许修改和补充。2.根据《政府采购法实施条例》释义，银行、保险、石油石化、电力、电信等有行业特殊情况的，允许法人的分支机构参加政府采购活动。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（2）税收缴纳证明：提供响应文件递交截止时间前一年内任意一个月的缴费凭据（依法免税的供应商应提供相关文件证明）； （3）社会保障资金缴纳证明：提供响应文件递交截止时间前一年内任意一个月的社保缴费凭据或社保机构开具的社会保险参保缴费情况证明（依法不需要缴纳社会保障资金的供应商应提供相关证明）；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若采用承诺制，供应商可根据本磋商文件格式要求出具承诺函，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施工组织设计及其他证明材料.docx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施工组织设计及其他证明材料.docx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施工组织设计及其他证明材料.docx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错误、存在歧义；⑤无具体详细的阐述、实施性不强、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（一）评审内容：①质量目标；②质量管理体系； ③施工质量保障措施。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（一）评审内容：①工期目标；②施工进度计划； ③工期保障措施。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①安全目标；②安全生产管理体系；③安全生产保证措施。（二）评审标准： （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②文明施工及环境保护措施。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人员配备：拟投入的项目管理机构人员结构合理、岗位职责明确，除项目经理外，项目管理机构每增加一人得1分，本项最高得6分；注：须提供人员相关证件，不提供或完全背离评审标准得0分。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供应商近三年（2023年5月至今）每具有1项类似业绩得1分，最多得4分，未提供得0分。（提供合同扫描件，以合同签订时间为准）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满足磋商文件要求且最后报价最低的价格为磋商基准价得30分； 其他供应商的价格分按下列公式计算： 磋商报价得分=(磋商基准价／最终磋商报价)×30%×100。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详见附件：施工组织设计及其他证明材料.docx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详见附件：施工组织设计及其他证明材料.docx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