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版本号：ZJZBSX-260511-008020260609003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政府办公区EPS应急电源采购项目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ZJZBSX-260511-0080</w:t>
      </w:r>
      <w:r>
        <w:br/>
      </w:r>
      <w:r>
        <w:br/>
      </w:r>
      <w:r>
        <w:br/>
      </w:r>
    </w:p>
    <w:p>
      <w:pPr>
        <w:pStyle w:val="null3"/>
        <w:jc w:val="center"/>
        <w:outlineLvl w:val="2"/>
      </w:pPr>
      <w:r>
        <w:rPr>
          <w:rFonts w:ascii="仿宋_GB2312" w:hAnsi="仿宋_GB2312" w:cs="仿宋_GB2312" w:eastAsia="仿宋_GB2312"/>
          <w:sz w:val="28"/>
          <w:b/>
        </w:rPr>
        <w:t>西安市机关事务服务中心</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西安市机关事务服务中心</w:t>
      </w:r>
      <w:r>
        <w:rPr>
          <w:rFonts w:ascii="仿宋_GB2312" w:hAnsi="仿宋_GB2312" w:cs="仿宋_GB2312" w:eastAsia="仿宋_GB2312"/>
        </w:rPr>
        <w:t>委托，拟对</w:t>
      </w:r>
      <w:r>
        <w:rPr>
          <w:rFonts w:ascii="仿宋_GB2312" w:hAnsi="仿宋_GB2312" w:cs="仿宋_GB2312" w:eastAsia="仿宋_GB2312"/>
        </w:rPr>
        <w:t>政府办公区EPS应急电源采购项目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ZJZBSX-260511-0080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政府办公区EPS应急电源采购项目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根据所提供检测清单及维修要求，对政府办公区EPS应急电源进行维修、更换。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采购包1（政府办公区EPS应急电源采购）：属于专门面向中小企业采购。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工程的供应商应为中型、小型、微型企业或监狱企业或残疾人福利性单位。承接工程的供应商为中型、小型、微型企业的，投标人提供《中小企业声明函》，且中小企业的划分标准所属行业为建筑业；承接工程的供应商为监狱企业的，投标人应提供承接工程的供应商为监狱企业的证明文件（监狱企业视同小型、微型企业）；承接工程的供应商为残疾人福利性单位的，投标人应提供承接工程的供应商为残疾人福利性单位的《残疾人福利性单位声明函》（残疾人福利性单位视同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西安市凤城八路109号市行政中心5号楼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西安市机关事务管理局经办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029-67098611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采购包1：418,928.00元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代理服务费收费标准：收费标准参照中华人民共和国国家计划委员会计价格[2002]1980号文计算收取，不足伍仟元按伍仟元收取。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西安市机关事务服务中心</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1、工程质量必须与合同要求一致，未按合同或采购文件要求提供服务或工程质量不能满足采购人要求，采购单位有权终止合同，甚至对供应商违约行为进行追究； 2、验收依据：①采购文件、响应文件、澄清表（函）；②本合同及附件文本；③国家相应的标准、规范。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418,928.00</w:t>
      </w:r>
    </w:p>
    <w:p>
      <w:pPr>
        <w:pStyle w:val="null3"/>
      </w:pPr>
      <w:r>
        <w:rPr>
          <w:rFonts w:ascii="仿宋_GB2312" w:hAnsi="仿宋_GB2312" w:cs="仿宋_GB2312" w:eastAsia="仿宋_GB2312"/>
        </w:rPr>
        <w:t>采购包最高限价（元）: 418,928.00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政府办公区EPS应急电源采购</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418,928.00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标的名称：政府办公区EPS应急电源采购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一、项目介绍</w:t>
            </w:r>
            <w:r>
              <w:br/>
            </w:r>
            <w:r>
              <w:rPr>
                <w:rFonts w:ascii="仿宋_GB2312" w:hAnsi="仿宋_GB2312" w:cs="仿宋_GB2312" w:eastAsia="仿宋_GB2312"/>
              </w:rPr>
              <w:t xml:space="preserve">   政府院内、应急中心EPS应急电源共97套，其中政府办公区86台EPS应急电源分别为：1.5KW2台、2KW51台、3KW7台、3.7KW9台、5KW17台；蓄电池分别为：38AH144块、65AH272块、100AH212块、150AH28块，共计656块。应急中心11台EPS应急电源：1KW4台、3KW5台、3.7KW2台；蓄电池分别为：38AH32块、65AH16块、150AH20块，共计68块。</w:t>
            </w:r>
            <w:r>
              <w:br/>
            </w:r>
            <w:r>
              <w:rPr>
                <w:rFonts w:ascii="仿宋_GB2312" w:hAnsi="仿宋_GB2312" w:cs="仿宋_GB2312" w:eastAsia="仿宋_GB2312"/>
              </w:rPr>
              <w:t xml:space="preserve">   97套应急电源系统安装于政府院内、应急中心内各主要部位，为各消防应急照明和疏散指示系统等提供持续可靠的供电，为应急消防和生命安全提供有力的保障。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二、维修内容</w:t>
            </w:r>
            <w:r>
              <w:br/>
            </w:r>
            <w:r>
              <w:rPr>
                <w:rFonts w:ascii="仿宋_GB2312" w:hAnsi="仿宋_GB2312" w:cs="仿宋_GB2312" w:eastAsia="仿宋_GB2312"/>
              </w:rPr>
              <w:t xml:space="preserve"> 1、此次共维修11台，其中6台2KW单项主机、2台3KW 三相主机、3台5KW三相主机；</w:t>
            </w:r>
            <w:r>
              <w:br/>
            </w:r>
            <w:r>
              <w:rPr>
                <w:rFonts w:ascii="仿宋_GB2312" w:hAnsi="仿宋_GB2312" w:cs="仿宋_GB2312" w:eastAsia="仿宋_GB2312"/>
              </w:rPr>
              <w:t xml:space="preserve"> 2、更换13台主机，其中6台2KW单相主机、2台3.7KW三相主机、5台5KW三相主机；</w:t>
            </w:r>
            <w:r>
              <w:br/>
            </w:r>
            <w:r>
              <w:rPr>
                <w:rFonts w:ascii="仿宋_GB2312" w:hAnsi="仿宋_GB2312" w:cs="仿宋_GB2312" w:eastAsia="仿宋_GB2312"/>
              </w:rPr>
              <w:t xml:space="preserve"> 3、更换12V38AH蓄电池64节、更换12V65AH蓄电池128节、更换12V100AH蓄电池76节、更换12V150AH蓄电池16节。</w:t>
            </w:r>
            <w:r>
              <w:br/>
            </w:r>
            <w:r>
              <w:rPr>
                <w:rFonts w:ascii="仿宋_GB2312" w:hAnsi="仿宋_GB2312" w:cs="仿宋_GB2312" w:eastAsia="仿宋_GB2312"/>
              </w:rPr>
              <w:t xml:space="preserve"> 4、对97套EPS进行三年系统维护和厂家技术支持。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三、检测清单</w:t>
            </w:r>
          </w:p>
          <w:tbl>
            <w:tblPr>
              <w:tblBorders>
                <w:top w:val="none" w:color="000000" w:sz="4"/>
                <w:left w:val="none" w:color="000000" w:sz="4"/>
                <w:bottom w:val="none" w:color="000000" w:sz="4"/>
                <w:right w:val="none" w:color="000000" w:sz="4"/>
                <w:insideH w:val="none"/>
                <w:insideV w:val="none"/>
              </w:tblBorders>
            </w:tblPr>
            <w:tblGrid>
              <w:gridCol w:w="169"/>
              <w:gridCol w:w="496"/>
              <w:gridCol w:w="430"/>
              <w:gridCol w:w="527"/>
              <w:gridCol w:w="931"/>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电源位置</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主机型号</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故障内容</w:t>
                  </w:r>
                </w:p>
              </w:tc>
              <w:tc>
                <w:tcPr>
                  <w:tcW w:type="dxa" w:w="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维修具体内容</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1号楼11层东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1号楼7层西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1号楼6层东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1号楼6层西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1号楼5层东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主机逆变故障、屏幕损坏、电池组老化、完全不存储电量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1号楼3层东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1号楼3层西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713"/>
                  </w:tblGrid>
                  <w:tr>
                    <w:tc>
                      <w:tcPr>
                        <w:tcW w:type="dxa" w:w="7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1台2KW主机及更换电池</w:t>
                        </w:r>
                      </w:p>
                    </w:tc>
                  </w:tr>
                </w:tbl>
                <w:p>
                  <w:pPr>
                    <w:pStyle w:val="null3"/>
                    <w:jc w:val="center"/>
                  </w:pP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1号楼1层第一会议室设备间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主机严重故障，已停用、电池组放置过久已完全亏电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1号楼负一层餐厅东南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1号楼负一层餐厅西南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1台5KW主机及电池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1号楼负二层西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主机报传输故障，核心板件损坏、电池组老化、完全不存储电量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2号楼12层东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4节电池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2号楼9层东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2号楼8层西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1台2KW主机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2号楼7层东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2号楼3层东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2号楼2层西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2号楼负一层超市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1台5KW主机及更换电池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主机逆变故障、核心板件损坏、电池组放置过久已完全亏电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2号楼负二层东北人防电井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2号楼负二层东北人防电井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4号楼2层东西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1台3.7KW主机、更换电池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4号楼2层南北</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主机逆变故障、主要板件损坏、电池组放置过久已完全亏电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1台3.7KW主机、更换电池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8号楼负一层强电井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主机报传输故障</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1台3KW主机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9号楼1层中间</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9号楼1层西</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EA-YJS-1.5KW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东车库负一层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主机逆变故障、主要板件损坏、电池组放置过久已完全亏电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1台5KW主机</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东车库负二层</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EA-YJS-5K</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电池组放置过久已完全亏电</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东附楼负一层</w:t>
                  </w:r>
                  <w:r>
                    <w:rPr>
                      <w:rFonts w:ascii="仿宋_GB2312" w:hAnsi="仿宋_GB2312" w:cs="仿宋_GB2312" w:eastAsia="仿宋_GB2312"/>
                      <w:sz w:val="20"/>
                      <w:color w:val="000000"/>
                    </w:rPr>
                    <w:t>2号配电室</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2KW主机一台更换电池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西附楼负一层强电井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EA-YJS-2KW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主机故障，电池组老化、几乎不存储电量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w:t>
                  </w:r>
                  <w:r>
                    <w:rPr>
                      <w:rFonts w:ascii="仿宋_GB2312" w:hAnsi="仿宋_GB2312" w:cs="仿宋_GB2312" w:eastAsia="仿宋_GB2312"/>
                      <w:sz w:val="20"/>
                      <w:color w:val="000000"/>
                    </w:rPr>
                    <w:t>2KW主机一台更换电池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应急中心负一层南电井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EA-YJS-3.7KW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武警楼一层电井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电池组老化、几乎不存储电量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维修</w:t>
                  </w:r>
                  <w:r>
                    <w:rPr>
                      <w:rFonts w:ascii="仿宋_GB2312" w:hAnsi="仿宋_GB2312" w:cs="仿宋_GB2312" w:eastAsia="仿宋_GB2312"/>
                      <w:sz w:val="20"/>
                      <w:color w:val="000000"/>
                    </w:rPr>
                    <w:t>3K主机及更换电池</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后勤楼一层电井</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EA-YJS-3KW</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电池组老化、完全不存储电量</w:t>
                  </w:r>
                </w:p>
              </w:tc>
              <w:tc>
                <w:tcPr>
                  <w:tcW w:type="dxa" w:w="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更换电池</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四、维修要求</w:t>
            </w:r>
            <w:r>
              <w:br/>
            </w:r>
            <w:r>
              <w:rPr>
                <w:rFonts w:ascii="仿宋_GB2312" w:hAnsi="仿宋_GB2312" w:cs="仿宋_GB2312" w:eastAsia="仿宋_GB2312"/>
              </w:rPr>
              <w:t xml:space="preserve"> 1、维修部分：</w:t>
            </w:r>
            <w:r>
              <w:br/>
            </w:r>
            <w:r>
              <w:rPr>
                <w:rFonts w:ascii="仿宋_GB2312" w:hAnsi="仿宋_GB2312" w:cs="仿宋_GB2312" w:eastAsia="仿宋_GB2312"/>
              </w:rPr>
              <w:t xml:space="preserve"> （1）维修6台2KW主机（包含每套 4节12V100AH蓄电池更换），对主机内部主要元器件（主控板、电源板、IGBT、电容等）进行逐项排查、检测，对有问题的板件进行维修或更换，对其它板件进行维护保养，直至机器恢复正常运行、正常切换；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（2）维修2台3KW主机（包含1套 4节12V150AH蓄电池更换），对主机内部主要元器件（主控板、电源板、IGBT、电容等）进行逐项排查、检测，对有问题的板件进行维修或更换，对其它板件进行维护保养，直至机器恢复正常运行、正常切换；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3）维修3台5KW主机（包含每套16节12V65AH蓄电池更换），对主机内部主要元器件（主控板、电源板、IGBT、电容等）进行逐项排查、检测，对有问题的板件进行维修或更换，对其它板件进行维护保养，直至机器恢复正常运行、正常切换。</w:t>
            </w:r>
            <w:r>
              <w:br/>
            </w:r>
            <w:r>
              <w:rPr>
                <w:rFonts w:ascii="仿宋_GB2312" w:hAnsi="仿宋_GB2312" w:cs="仿宋_GB2312" w:eastAsia="仿宋_GB2312"/>
              </w:rPr>
              <w:t xml:space="preserve"> 2、更新部分：</w:t>
            </w:r>
            <w:r>
              <w:br/>
            </w:r>
            <w:r>
              <w:rPr>
                <w:rFonts w:ascii="仿宋_GB2312" w:hAnsi="仿宋_GB2312" w:cs="仿宋_GB2312" w:eastAsia="仿宋_GB2312"/>
              </w:rPr>
              <w:t xml:space="preserve"> （1）更换6台2KW主机（包含5套4节12V100AH蓄电池更换）</w:t>
            </w:r>
            <w:r>
              <w:br/>
            </w:r>
            <w:r>
              <w:rPr>
                <w:rFonts w:ascii="仿宋_GB2312" w:hAnsi="仿宋_GB2312" w:cs="仿宋_GB2312" w:eastAsia="仿宋_GB2312"/>
              </w:rPr>
              <w:t xml:space="preserve"> （2）更换2台3.7KW主机（每套包含16节12V38AH蓄电池更换）</w:t>
            </w:r>
            <w:r>
              <w:br/>
            </w:r>
            <w:r>
              <w:rPr>
                <w:rFonts w:ascii="仿宋_GB2312" w:hAnsi="仿宋_GB2312" w:cs="仿宋_GB2312" w:eastAsia="仿宋_GB2312"/>
              </w:rPr>
              <w:t xml:space="preserve"> （3）更换5台5KW主机（包含3套16节12V65AH蓄电池更换）</w:t>
            </w:r>
            <w:r>
              <w:br/>
            </w:r>
            <w:r>
              <w:rPr>
                <w:rFonts w:ascii="仿宋_GB2312" w:hAnsi="仿宋_GB2312" w:cs="仿宋_GB2312" w:eastAsia="仿宋_GB2312"/>
              </w:rPr>
              <w:t xml:space="preserve"> （4）更换1套1.5KW配套电池组（每套包含4节12V100AH蓄电池）、7套2KW配套蓄电池组（每套包含4节12V100AH蓄电池）、更换3套3KW配套蓄电池组（每套包含4节12V150AH蓄电池）、更换2套3.7KW配套蓄电池组（每套包含16节12V38AH蓄电池）、更换2套5KW配套蓄电池组（每套包含16节12V65AH蓄电池）。</w:t>
            </w:r>
            <w:r>
              <w:br/>
            </w:r>
            <w:r>
              <w:rPr>
                <w:rFonts w:ascii="仿宋_GB2312" w:hAnsi="仿宋_GB2312" w:cs="仿宋_GB2312" w:eastAsia="仿宋_GB2312"/>
              </w:rPr>
              <w:t xml:space="preserve"> 3、其它部分：</w:t>
            </w:r>
            <w:r>
              <w:br/>
            </w:r>
            <w:r>
              <w:rPr>
                <w:rFonts w:ascii="仿宋_GB2312" w:hAnsi="仿宋_GB2312" w:cs="仿宋_GB2312" w:eastAsia="仿宋_GB2312"/>
              </w:rPr>
              <w:t xml:space="preserve"> 对此次维修的39套EPS应急电源系统进行安装和系统调试，并对政府办公区内涉及的97套EPS应急电源系统提供三年免费系统维护。</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五、技术参数要求</w:t>
            </w:r>
            <w:r>
              <w:br/>
            </w:r>
            <w:r>
              <w:rPr>
                <w:rFonts w:ascii="仿宋_GB2312" w:hAnsi="仿宋_GB2312" w:cs="仿宋_GB2312" w:eastAsia="仿宋_GB2312"/>
              </w:rPr>
              <w:t xml:space="preserve"> 1、2KVA和3KVA EPS电源技术要求</w:t>
            </w:r>
            <w:r>
              <w:br/>
            </w:r>
            <w:r>
              <w:rPr>
                <w:rFonts w:ascii="仿宋_GB2312" w:hAnsi="仿宋_GB2312" w:cs="仿宋_GB2312" w:eastAsia="仿宋_GB2312"/>
              </w:rPr>
              <w:t xml:space="preserve"> （1）功率要求：≥2KVA；</w:t>
            </w:r>
            <w:r>
              <w:br/>
            </w:r>
            <w:r>
              <w:rPr>
                <w:rFonts w:ascii="仿宋_GB2312" w:hAnsi="仿宋_GB2312" w:cs="仿宋_GB2312" w:eastAsia="仿宋_GB2312"/>
              </w:rPr>
              <w:t xml:space="preserve"> （2）输入输出相数：单进单出；</w:t>
            </w:r>
            <w:r>
              <w:br/>
            </w:r>
            <w:r>
              <w:rPr>
                <w:rFonts w:ascii="仿宋_GB2312" w:hAnsi="仿宋_GB2312" w:cs="仿宋_GB2312" w:eastAsia="仿宋_GB2312"/>
              </w:rPr>
              <w:t xml:space="preserve"> （3）直流电压：DC48V；</w:t>
            </w:r>
            <w:r>
              <w:br/>
            </w:r>
            <w:r>
              <w:rPr>
                <w:rFonts w:ascii="仿宋_GB2312" w:hAnsi="仿宋_GB2312" w:cs="仿宋_GB2312" w:eastAsia="仿宋_GB2312"/>
              </w:rPr>
              <w:t xml:space="preserve"> （4）输入电压范围：220V＋25％，220V－25％；</w:t>
            </w:r>
            <w:r>
              <w:br/>
            </w:r>
            <w:r>
              <w:rPr>
                <w:rFonts w:ascii="仿宋_GB2312" w:hAnsi="仿宋_GB2312" w:cs="仿宋_GB2312" w:eastAsia="仿宋_GB2312"/>
              </w:rPr>
              <w:t xml:space="preserve"> （5）输出电压：主电模式：与主电一致，应急模式：220V±15％</w:t>
            </w:r>
            <w:r>
              <w:br/>
            </w:r>
            <w:r>
              <w:rPr>
                <w:rFonts w:ascii="仿宋_GB2312" w:hAnsi="仿宋_GB2312" w:cs="仿宋_GB2312" w:eastAsia="仿宋_GB2312"/>
              </w:rPr>
              <w:t xml:space="preserve"> （6）输出效率：主电状态≥94％，应急状态≥85％；</w:t>
            </w:r>
            <w:r>
              <w:br/>
            </w:r>
            <w:r>
              <w:rPr>
                <w:rFonts w:ascii="仿宋_GB2312" w:hAnsi="仿宋_GB2312" w:cs="仿宋_GB2312" w:eastAsia="仿宋_GB2312"/>
              </w:rPr>
              <w:t xml:space="preserve"> ★（7）切换时间：≤5秒；需提供国家认可机构出具的检测报告。并说明切换时间可设定范围；</w:t>
            </w:r>
            <w:r>
              <w:br/>
            </w:r>
            <w:r>
              <w:rPr>
                <w:rFonts w:ascii="仿宋_GB2312" w:hAnsi="仿宋_GB2312" w:cs="仿宋_GB2312" w:eastAsia="仿宋_GB2312"/>
              </w:rPr>
              <w:t xml:space="preserve"> （8）过载特性：超载120%，正常运行，超载150%，正常运行30s后以上立即保护；</w:t>
            </w:r>
            <w:r>
              <w:br/>
            </w:r>
            <w:r>
              <w:rPr>
                <w:rFonts w:ascii="仿宋_GB2312" w:hAnsi="仿宋_GB2312" w:cs="仿宋_GB2312" w:eastAsia="仿宋_GB2312"/>
              </w:rPr>
              <w:t xml:space="preserve"> ★（9）需提供有关电磁兼容测试报告和证明文件；</w:t>
            </w:r>
            <w:r>
              <w:br/>
            </w:r>
            <w:r>
              <w:rPr>
                <w:rFonts w:ascii="仿宋_GB2312" w:hAnsi="仿宋_GB2312" w:cs="仿宋_GB2312" w:eastAsia="仿宋_GB2312"/>
              </w:rPr>
              <w:t xml:space="preserve"> （10）输出电压失真度：≤5％；</w:t>
            </w:r>
            <w:r>
              <w:br/>
            </w:r>
            <w:r>
              <w:rPr>
                <w:rFonts w:ascii="仿宋_GB2312" w:hAnsi="仿宋_GB2312" w:cs="仿宋_GB2312" w:eastAsia="仿宋_GB2312"/>
              </w:rPr>
              <w:t xml:space="preserve"> （11）电池安装方式：采用一体机，蓄电池组内置于EPS主机内（可安装4节12V100AH和4节12V120AH电池）；</w:t>
            </w:r>
            <w:r>
              <w:br/>
            </w:r>
            <w:r>
              <w:rPr>
                <w:rFonts w:ascii="仿宋_GB2312" w:hAnsi="仿宋_GB2312" w:cs="仿宋_GB2312" w:eastAsia="仿宋_GB2312"/>
              </w:rPr>
              <w:t xml:space="preserve"> （12）冷却方式应符合IEC60146-1-1的要求。冷却空气孔应仅位于盘的前部或顶部。最好为自然通风，当需要强制通风时，强制通风应包括必需的空气过滤器，风扇和风道；</w:t>
            </w:r>
            <w:r>
              <w:br/>
            </w:r>
            <w:r>
              <w:rPr>
                <w:rFonts w:ascii="仿宋_GB2312" w:hAnsi="仿宋_GB2312" w:cs="仿宋_GB2312" w:eastAsia="仿宋_GB2312"/>
              </w:rPr>
              <w:t xml:space="preserve"> （13）当输入电压瞬时降至80%额定电压时，系统的特性应不受影响；</w:t>
            </w:r>
            <w:r>
              <w:br/>
            </w:r>
            <w:r>
              <w:rPr>
                <w:rFonts w:ascii="仿宋_GB2312" w:hAnsi="仿宋_GB2312" w:cs="仿宋_GB2312" w:eastAsia="仿宋_GB2312"/>
              </w:rPr>
              <w:t xml:space="preserve"> （14）EPS防护等级：IP31。</w:t>
            </w:r>
            <w:r>
              <w:br/>
            </w:r>
            <w:r>
              <w:rPr>
                <w:rFonts w:ascii="仿宋_GB2312" w:hAnsi="仿宋_GB2312" w:cs="仿宋_GB2312" w:eastAsia="仿宋_GB2312"/>
              </w:rPr>
              <w:t xml:space="preserve"> 2、3.7KVA和5KVA EPS电源技术要求</w:t>
            </w:r>
            <w:r>
              <w:br/>
            </w:r>
            <w:r>
              <w:rPr>
                <w:rFonts w:ascii="仿宋_GB2312" w:hAnsi="仿宋_GB2312" w:cs="仿宋_GB2312" w:eastAsia="仿宋_GB2312"/>
              </w:rPr>
              <w:t xml:space="preserve"> （1）功率要求：≥3.7KVA、≥5KVA；</w:t>
            </w:r>
            <w:r>
              <w:br/>
            </w:r>
            <w:r>
              <w:rPr>
                <w:rFonts w:ascii="仿宋_GB2312" w:hAnsi="仿宋_GB2312" w:cs="仿宋_GB2312" w:eastAsia="仿宋_GB2312"/>
              </w:rPr>
              <w:t xml:space="preserve"> （2）输入输出相数：三进单出；</w:t>
            </w:r>
            <w:r>
              <w:br/>
            </w:r>
            <w:r>
              <w:rPr>
                <w:rFonts w:ascii="仿宋_GB2312" w:hAnsi="仿宋_GB2312" w:cs="仿宋_GB2312" w:eastAsia="仿宋_GB2312"/>
              </w:rPr>
              <w:t xml:space="preserve"> （3）直流电压：192V；</w:t>
            </w:r>
            <w:r>
              <w:br/>
            </w:r>
            <w:r>
              <w:rPr>
                <w:rFonts w:ascii="仿宋_GB2312" w:hAnsi="仿宋_GB2312" w:cs="仿宋_GB2312" w:eastAsia="仿宋_GB2312"/>
              </w:rPr>
              <w:t xml:space="preserve"> （4）输入电压范围：380V＋25％，220V－25％；</w:t>
            </w:r>
            <w:r>
              <w:br/>
            </w:r>
            <w:r>
              <w:rPr>
                <w:rFonts w:ascii="仿宋_GB2312" w:hAnsi="仿宋_GB2312" w:cs="仿宋_GB2312" w:eastAsia="仿宋_GB2312"/>
              </w:rPr>
              <w:t xml:space="preserve"> （5）输出电压：主电模式：与主电一致，应急模式：220V±15％；</w:t>
            </w:r>
            <w:r>
              <w:br/>
            </w:r>
            <w:r>
              <w:rPr>
                <w:rFonts w:ascii="仿宋_GB2312" w:hAnsi="仿宋_GB2312" w:cs="仿宋_GB2312" w:eastAsia="仿宋_GB2312"/>
              </w:rPr>
              <w:t xml:space="preserve"> （6）输出路数：≥5路输出；</w:t>
            </w:r>
            <w:r>
              <w:br/>
            </w:r>
            <w:r>
              <w:rPr>
                <w:rFonts w:ascii="仿宋_GB2312" w:hAnsi="仿宋_GB2312" w:cs="仿宋_GB2312" w:eastAsia="仿宋_GB2312"/>
              </w:rPr>
              <w:t xml:space="preserve"> （7）输出效率：主电状态≥94％，应急状态≥85％；</w:t>
            </w:r>
            <w:r>
              <w:br/>
            </w:r>
            <w:r>
              <w:rPr>
                <w:rFonts w:ascii="仿宋_GB2312" w:hAnsi="仿宋_GB2312" w:cs="仿宋_GB2312" w:eastAsia="仿宋_GB2312"/>
              </w:rPr>
              <w:t xml:space="preserve"> ★（8）切换时间：≤5秒；需提供国家认可机构出具的检测报告。并说明切换时间可设定范围；</w:t>
            </w:r>
            <w:r>
              <w:br/>
            </w:r>
            <w:r>
              <w:rPr>
                <w:rFonts w:ascii="仿宋_GB2312" w:hAnsi="仿宋_GB2312" w:cs="仿宋_GB2312" w:eastAsia="仿宋_GB2312"/>
              </w:rPr>
              <w:t xml:space="preserve"> （9）过载特性：超载120%，正常运行，超载150%，正常运行30s后以上立即保护；</w:t>
            </w:r>
            <w:r>
              <w:br/>
            </w:r>
            <w:r>
              <w:rPr>
                <w:rFonts w:ascii="仿宋_GB2312" w:hAnsi="仿宋_GB2312" w:cs="仿宋_GB2312" w:eastAsia="仿宋_GB2312"/>
              </w:rPr>
              <w:t xml:space="preserve"> ★（10）需提供有关电磁兼容测试报告和证明文件；</w:t>
            </w:r>
            <w:r>
              <w:br/>
            </w:r>
            <w:r>
              <w:rPr>
                <w:rFonts w:ascii="仿宋_GB2312" w:hAnsi="仿宋_GB2312" w:cs="仿宋_GB2312" w:eastAsia="仿宋_GB2312"/>
              </w:rPr>
              <w:t xml:space="preserve"> （11）输出电压失真度：≤5％；</w:t>
            </w:r>
            <w:r>
              <w:br/>
            </w:r>
            <w:r>
              <w:rPr>
                <w:rFonts w:ascii="仿宋_GB2312" w:hAnsi="仿宋_GB2312" w:cs="仿宋_GB2312" w:eastAsia="仿宋_GB2312"/>
              </w:rPr>
              <w:t xml:space="preserve"> （12）电池安装方式：采用一体机，蓄电池组内置于EPS主机内（可安装16节12V100AH电池）；</w:t>
            </w:r>
            <w:r>
              <w:br/>
            </w:r>
            <w:r>
              <w:rPr>
                <w:rFonts w:ascii="仿宋_GB2312" w:hAnsi="仿宋_GB2312" w:cs="仿宋_GB2312" w:eastAsia="仿宋_GB2312"/>
              </w:rPr>
              <w:t xml:space="preserve"> （13）冷却方式应符合IEC60146-1-1的要求。冷却空气孔应仅位于盘的前部或顶部。最好为自然通风，当需要强制通风时，强制通风应包括必需的空气过滤器，风扇和风道；</w:t>
            </w:r>
            <w:r>
              <w:br/>
            </w:r>
            <w:r>
              <w:rPr>
                <w:rFonts w:ascii="仿宋_GB2312" w:hAnsi="仿宋_GB2312" w:cs="仿宋_GB2312" w:eastAsia="仿宋_GB2312"/>
              </w:rPr>
              <w:t xml:space="preserve"> （14）当输入电压瞬时降至80%额定电压时，系统的特性应不受影响；</w:t>
            </w:r>
            <w:r>
              <w:br/>
            </w:r>
            <w:r>
              <w:rPr>
                <w:rFonts w:ascii="仿宋_GB2312" w:hAnsi="仿宋_GB2312" w:cs="仿宋_GB2312" w:eastAsia="仿宋_GB2312"/>
              </w:rPr>
              <w:t xml:space="preserve"> （15）EPS防护等级：IP31。</w:t>
            </w:r>
            <w:r>
              <w:br/>
            </w:r>
            <w:r>
              <w:rPr>
                <w:rFonts w:ascii="仿宋_GB2312" w:hAnsi="仿宋_GB2312" w:cs="仿宋_GB2312" w:eastAsia="仿宋_GB2312"/>
              </w:rPr>
              <w:t xml:space="preserve"> 3、蓄电池技术要求</w:t>
            </w:r>
            <w:r>
              <w:br/>
            </w:r>
            <w:r>
              <w:rPr>
                <w:rFonts w:ascii="仿宋_GB2312" w:hAnsi="仿宋_GB2312" w:cs="仿宋_GB2312" w:eastAsia="仿宋_GB2312"/>
              </w:rPr>
              <w:t xml:space="preserve"> （1）配置免维护阀控式密封铅酸蓄电池，专业阀控式密封设计，有效确保电池不漏（渗）液、无酸雾、不腐蚀。</w:t>
            </w:r>
            <w:r>
              <w:br/>
            </w:r>
            <w:r>
              <w:rPr>
                <w:rFonts w:ascii="仿宋_GB2312" w:hAnsi="仿宋_GB2312" w:cs="仿宋_GB2312" w:eastAsia="仿宋_GB2312"/>
              </w:rPr>
              <w:t xml:space="preserve"> （2）符合YD 5083-2005《电信设备抗地震性能能检测规范》。</w:t>
            </w:r>
            <w:r>
              <w:br/>
            </w:r>
            <w:r>
              <w:rPr>
                <w:rFonts w:ascii="仿宋_GB2312" w:hAnsi="仿宋_GB2312" w:cs="仿宋_GB2312" w:eastAsia="仿宋_GB2312"/>
              </w:rPr>
              <w:t xml:space="preserve"> （3）★蓄电池浮充设计寿命不能低于10年（环境温度为25℃时）。此项须以公开资料为准，如公开的彩页、官网截图等。</w:t>
            </w:r>
            <w:r>
              <w:br/>
            </w:r>
            <w:r>
              <w:rPr>
                <w:rFonts w:ascii="仿宋_GB2312" w:hAnsi="仿宋_GB2312" w:cs="仿宋_GB2312" w:eastAsia="仿宋_GB2312"/>
              </w:rPr>
              <w:t xml:space="preserve"> （4）电池端电压的均衡性：蓄电池组中个蓄电池间开路电压最高与最低差值不大于100mV；进入浮充状态24小时后，各蓄电池间的浮充电压最高值与最低值之差不大于350mV。</w:t>
            </w:r>
            <w:r>
              <w:br/>
            </w:r>
            <w:r>
              <w:rPr>
                <w:rFonts w:ascii="仿宋_GB2312" w:hAnsi="仿宋_GB2312" w:cs="仿宋_GB2312" w:eastAsia="仿宋_GB2312"/>
              </w:rPr>
              <w:t xml:space="preserve"> （5）损失：完全充电的蓄电池，在25±5℃的环境中，静置28天后，其容量保持率应在97％以上。提供同系列产品泰尔检测报告。蓄电池的安全阀开阀压力应为10kPa～49kPa，闭阀压力应为1kPa～15kPa.提供同系列产品泰尔检测报告。</w:t>
            </w:r>
            <w:r>
              <w:br/>
            </w:r>
            <w:r>
              <w:rPr>
                <w:rFonts w:ascii="仿宋_GB2312" w:hAnsi="仿宋_GB2312" w:cs="仿宋_GB2312" w:eastAsia="仿宋_GB2312"/>
              </w:rPr>
              <w:t xml:space="preserve"> （6）的浮充电压值及范围：13.50V～13.80V，浮充电流值及范围: 50-100mA/100Ah；蓄电池的充电（恒压）电压值及范围:14.10～14.40V，充电电流值及范围:0.1C10～0.2C10A。</w:t>
            </w:r>
            <w:r>
              <w:br/>
            </w:r>
            <w:r>
              <w:rPr>
                <w:rFonts w:ascii="仿宋_GB2312" w:hAnsi="仿宋_GB2312" w:cs="仿宋_GB2312" w:eastAsia="仿宋_GB2312"/>
              </w:rPr>
              <w:t xml:space="preserve"> （7）密封反应效率应不低于98％。提供同系列产品泰尔检测报告。</w:t>
            </w:r>
            <w:r>
              <w:br/>
            </w:r>
            <w:r>
              <w:rPr>
                <w:rFonts w:ascii="仿宋_GB2312" w:hAnsi="仿宋_GB2312" w:cs="仿宋_GB2312" w:eastAsia="仿宋_GB2312"/>
              </w:rPr>
              <w:t xml:space="preserve"> （8）电池材料选择符合国家标准的ABS树脂阻燃材料，提供蓄电池阻燃材料V-0等级的测试报告。</w:t>
            </w:r>
            <w:r>
              <w:br/>
            </w:r>
            <w:r>
              <w:rPr>
                <w:rFonts w:ascii="仿宋_GB2312" w:hAnsi="仿宋_GB2312" w:cs="仿宋_GB2312" w:eastAsia="仿宋_GB2312"/>
              </w:rPr>
              <w:t xml:space="preserve"> （9）本项目所有供货产品要求源自正规授权合法渠道，供应商须提供产品授权函或代理协议或其他能证明合法来源渠道的证明资料，同时提供不少于1年的原厂质保服务承诺书，保证货源可溯源、手续齐全合规，严禁来路不明、非正规流通产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1.工期：自合同签订之日起45日内完工并达到验收状态。 2.付款方式：合同签订之日起15日内支付合同总额的60%，完工并验收合格后15日内支付合同总额的40%。 3.质保期：自验收合格之日起1年。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壹份，纸质投标文件需胶装，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不接受顺丰同城及跑腿），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工程的供应商应为中型、小型、微型企业或监狱企业或残疾人福利性单位。承接工程的供应商为中型、小型、微型企业的，投标人提供《中小企业声明函》，且中小企业的划分标准所属行业为建筑业；承接工程的供应商为监狱企业的，投标人应提供承接工程的供应商为监狱企业的证明文件（监狱企业视同小型、微型企业）；承接工程的供应商为残疾人福利性单位的，投标人应提供承接工程的供应商为残疾人福利性单位的《残疾人福利性单位声明函》（残疾人福利性单位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3.分项报价表.docx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是否满足磋商文件实质性要求</w:t>
            </w:r>
          </w:p>
        </w:tc>
        <w:tc>
          <w:tcPr>
            <w:tcW w:type="dxa" w:w="3322"/>
          </w:tcPr>
          <w:p>
            <w:pPr>
              <w:pStyle w:val="null3"/>
            </w:pPr>
            <w:r>
              <w:rPr>
                <w:rFonts w:ascii="仿宋_GB2312" w:hAnsi="仿宋_GB2312" w:cs="仿宋_GB2312" w:eastAsia="仿宋_GB2312"/>
              </w:rPr>
              <w:t>工期是否响应磋商文件要求；质保期不低于磋商文件要求；付款方式是否响应磋商文件要求；加★项是否满足磋商文件要求；系统维护期限是否满足磋商文件要求。</w:t>
            </w:r>
          </w:p>
        </w:tc>
        <w:tc>
          <w:tcPr>
            <w:tcW w:type="dxa" w:w="1661"/>
          </w:tcPr>
          <w:p>
            <w:pPr>
              <w:pStyle w:val="null3"/>
            </w:pPr>
            <w:r>
              <w:rPr>
                <w:rFonts w:ascii="仿宋_GB2312" w:hAnsi="仿宋_GB2312" w:cs="仿宋_GB2312" w:eastAsia="仿宋_GB2312"/>
              </w:rPr>
              <w:t>4.技术响应表.docx 5.商务应答表.docx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更换主材</w:t>
            </w:r>
          </w:p>
        </w:tc>
        <w:tc>
          <w:tcPr>
            <w:tcW w:type="dxa" w:w="2492"/>
          </w:tcPr>
          <w:p>
            <w:pPr>
              <w:pStyle w:val="null3"/>
            </w:pPr>
            <w:r>
              <w:rPr>
                <w:rFonts w:ascii="仿宋_GB2312" w:hAnsi="仿宋_GB2312" w:cs="仿宋_GB2312" w:eastAsia="仿宋_GB2312"/>
              </w:rPr>
              <w:t>1.更换主材表（电池、主机）品牌明确，参数描述详细，承诺满足本项目使用要求，有质量保证，性价比高，参照技术参数要求提供产品彩页、功能截图、阻燃检测报告等资质，每完全提供一类主材资料证明文件计1分，最多4分，提供不全或未提供不得分；（一类是按：2KW主机、5KW主机、100AH电池、65AH电池、38AH电池分类）； 2.更换主材（电池、主机）均为全新正品行货，提供合法来源渠道证明文件，每类主材证明资料合格完整得3分，不提供或提供不合格不得分，满分6分。（供应商为所投产品代理商：提供货物的合法来源渠道证明文件（例如：产品制造商授权、销售协议、代理协议等证明文件）；供应商为所投产品的制造商：需提供情况说明（说明某一项产品为制造商自己生产）。注：以加盖供应商公章的证明材料扫描件为计分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公司实力</w:t>
            </w:r>
          </w:p>
        </w:tc>
        <w:tc>
          <w:tcPr>
            <w:tcW w:type="dxa" w:w="2492"/>
          </w:tcPr>
          <w:p>
            <w:pPr>
              <w:pStyle w:val="null3"/>
            </w:pPr>
            <w:r>
              <w:rPr>
                <w:rFonts w:ascii="仿宋_GB2312" w:hAnsi="仿宋_GB2312" w:cs="仿宋_GB2312" w:eastAsia="仿宋_GB2312"/>
              </w:rPr>
              <w:t>1.配备专职EPS现场项目经理1名：项目经理具备机电专业二级（或以上）注册建造师证且持有安全考核合格B证，两证均应在有效注册期内并注册在投标供应商单位，提供得2分，不能提供或提供不全不得分； 2.现场配备不少于4名EPS技术施工人员，施工人员具备有效期内的（低压电工证》，提供以上人员本年度内至少1个月社保缴纳记录或劳动合同及银行代发放工资流水，以上人员配置≥4人得4分，≥2人得2分，≥1人得1分； 3.供应商机电工程施工总承包资质（或建筑机电安装工程专业承包资质）、安全生产许可资质等证明文件证。提供1份证书得1分，满分2分。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需针对本项目提供完整的项目实施方案。内容包含：①供货组织及进度安排、②对接及运输方案、③安装维修调试方案、④人员、物力调配安排、⑤应急方案，以上5项内容完整，逻辑清晰，符合本项目要求，得满分15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安全文明施工</w:t>
            </w:r>
          </w:p>
        </w:tc>
        <w:tc>
          <w:tcPr>
            <w:tcW w:type="dxa" w:w="2492"/>
          </w:tcPr>
          <w:p>
            <w:pPr>
              <w:pStyle w:val="null3"/>
            </w:pPr>
            <w:r>
              <w:rPr>
                <w:rFonts w:ascii="仿宋_GB2312" w:hAnsi="仿宋_GB2312" w:cs="仿宋_GB2312" w:eastAsia="仿宋_GB2312"/>
              </w:rPr>
              <w:t>针对本项目编制具体可行的安全文明施工措施。内容包含：①施工现场环境保护措施、②文明施工措施、③安全防护措施、④临时用电措施，以上4项内容完整，逻辑清晰，符合本项目要求，得满分8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认证证书</w:t>
            </w:r>
          </w:p>
        </w:tc>
        <w:tc>
          <w:tcPr>
            <w:tcW w:type="dxa" w:w="2492"/>
          </w:tcPr>
          <w:p>
            <w:pPr>
              <w:pStyle w:val="null3"/>
            </w:pPr>
            <w:r>
              <w:rPr>
                <w:rFonts w:ascii="仿宋_GB2312" w:hAnsi="仿宋_GB2312" w:cs="仿宋_GB2312" w:eastAsia="仿宋_GB2312"/>
              </w:rPr>
              <w:t>供应商具有有效的：环境管理体系认证证书、职业健康安全管理体系认证证书、质量管理体系认证证书。每具备一项得1分，最多得3分。提供证书扫描件加盖供应商公章作为计分依据。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②使用寿命及效果，以上2项内容完整，逻辑清晰，符合本项目要求，得满分6分，每缺少一项扣3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项目实际需求提供售后服务方案。内容包含：①售后服务范围、②响应时间、③响应方式、④故障处理及补救措施、⑤定期回访及维护，以上5项内容完整，逻辑清晰，符合本项目要求，得满分10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供应商承诺质保期在满足磋商文件要求的基础上，每增加一年得2分，满分4分。无承诺不得分。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提供2023年1月1日至今同类项目业绩完整合同，提供合同复印件加盖供应商公章，每份计2分，满分6分。 1.时间认定：以合同签订时间为准；无合同签订时间的，以合同履行起始时间为准； 2.同类业绩：指与正在采购的标的在功能、技术、规模、性质上相近似的业绩； 3.合同主体：仅限于投标人自己实施的合同，同一采购人（甲方）同一项目的原始合同与续签合同，按1份业绩计算；关联公司、挂靠业绩不计分。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磋商价格最低的报价为评标基准价，其价格分为满分。其他供应商的价格分统一按照下列公式计算：磋商报价得分=(评标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详见附件：4.技术响应表.docx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