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51F91">
      <w:pPr>
        <w:pStyle w:val="2"/>
        <w:spacing w:before="50" w:after="50"/>
        <w:rPr>
          <w:color w:val="000000"/>
          <w:sz w:val="24"/>
        </w:rPr>
      </w:pPr>
      <w:r>
        <w:rPr>
          <w:rFonts w:hint="eastAsia"/>
          <w:color w:val="000000"/>
        </w:rPr>
        <w:t xml:space="preserve"> 合同主要条款（参考）</w:t>
      </w:r>
    </w:p>
    <w:p w14:paraId="4F3EED1B">
      <w:pPr>
        <w:jc w:val="center"/>
        <w:rPr>
          <w:rFonts w:ascii="仿宋" w:hAnsi="仿宋" w:eastAsia="仿宋" w:cs="仿宋"/>
          <w:color w:val="000000"/>
          <w:sz w:val="20"/>
          <w:szCs w:val="20"/>
        </w:rPr>
      </w:pPr>
      <w:r>
        <w:rPr>
          <w:rFonts w:hint="eastAsia" w:ascii="仿宋" w:hAnsi="仿宋" w:eastAsia="仿宋" w:cs="仿宋"/>
          <w:color w:val="000000"/>
          <w:sz w:val="20"/>
          <w:szCs w:val="20"/>
        </w:rPr>
        <w:t>（采购项目编号：          ）</w:t>
      </w:r>
    </w:p>
    <w:p w14:paraId="28B68D2E">
      <w:pPr>
        <w:autoSpaceDN w:val="0"/>
        <w:spacing w:before="150"/>
        <w:rPr>
          <w:rFonts w:ascii="仿宋" w:hAnsi="仿宋" w:eastAsia="仿宋" w:cs="仿宋"/>
          <w:color w:val="000000"/>
          <w:sz w:val="20"/>
          <w:szCs w:val="20"/>
        </w:rPr>
      </w:pPr>
      <w:r>
        <w:rPr>
          <w:rFonts w:hint="eastAsia" w:ascii="仿宋" w:hAnsi="仿宋" w:eastAsia="仿宋" w:cs="仿宋"/>
          <w:color w:val="000000"/>
          <w:sz w:val="20"/>
          <w:szCs w:val="20"/>
        </w:rPr>
        <w:t>甲方（客户方）：</w:t>
      </w:r>
    </w:p>
    <w:p w14:paraId="516EB9EC">
      <w:pPr>
        <w:autoSpaceDN w:val="0"/>
        <w:spacing w:before="150"/>
        <w:rPr>
          <w:rFonts w:ascii="仿宋" w:hAnsi="仿宋" w:eastAsia="仿宋" w:cs="仿宋"/>
          <w:color w:val="000000"/>
          <w:sz w:val="20"/>
          <w:szCs w:val="20"/>
        </w:rPr>
      </w:pPr>
      <w:r>
        <w:rPr>
          <w:rFonts w:hint="eastAsia" w:ascii="仿宋" w:hAnsi="仿宋" w:eastAsia="仿宋" w:cs="仿宋"/>
          <w:color w:val="000000"/>
          <w:sz w:val="20"/>
          <w:szCs w:val="20"/>
        </w:rPr>
        <w:t>乙方（服务方）：</w:t>
      </w:r>
    </w:p>
    <w:p w14:paraId="63C75684">
      <w:pPr>
        <w:autoSpaceDN w:val="0"/>
        <w:spacing w:before="150"/>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甲乙双方本着相互信任，真诚合作的原则，经双方友好协商，就乙方为甲方提供特定服务达成一致意见，特签订本合同(包括本合同附件A)。</w:t>
      </w:r>
    </w:p>
    <w:p w14:paraId="0E3E926F">
      <w:pPr>
        <w:autoSpaceDN w:val="0"/>
        <w:spacing w:before="150"/>
        <w:rPr>
          <w:rFonts w:ascii="仿宋" w:hAnsi="仿宋" w:eastAsia="仿宋" w:cs="仿宋"/>
          <w:b/>
          <w:color w:val="000000"/>
          <w:sz w:val="20"/>
          <w:szCs w:val="20"/>
        </w:rPr>
      </w:pPr>
      <w:r>
        <w:rPr>
          <w:rFonts w:hint="eastAsia" w:ascii="仿宋" w:hAnsi="仿宋" w:eastAsia="仿宋" w:cs="仿宋"/>
          <w:b/>
          <w:color w:val="000000"/>
          <w:sz w:val="20"/>
          <w:szCs w:val="20"/>
        </w:rPr>
        <w:t>一、 施工内容</w:t>
      </w:r>
    </w:p>
    <w:p w14:paraId="736FEE97">
      <w:pPr>
        <w:autoSpaceDN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1、乙方同意向甲方提供附于本合同并作为本合同一部分的附件A所列的特定工程服务。工程的内容、时限、衡量成果的</w:t>
      </w:r>
      <w:r>
        <w:fldChar w:fldCharType="begin"/>
      </w:r>
      <w:r>
        <w:instrText xml:space="preserve"> HYPERLINK "http://www.jianshe99.com/web/zhuanyeziliao/biaozhunguifan/" </w:instrText>
      </w:r>
      <w:r>
        <w:fldChar w:fldCharType="separate"/>
      </w:r>
      <w:r>
        <w:rPr>
          <w:rFonts w:hint="eastAsia" w:ascii="仿宋" w:hAnsi="仿宋" w:eastAsia="仿宋" w:cs="仿宋"/>
          <w:color w:val="000000"/>
          <w:sz w:val="20"/>
          <w:szCs w:val="20"/>
        </w:rPr>
        <w:t>标准</w:t>
      </w:r>
      <w:r>
        <w:rPr>
          <w:rFonts w:hint="eastAsia" w:ascii="仿宋" w:hAnsi="仿宋" w:eastAsia="仿宋" w:cs="仿宋"/>
          <w:color w:val="000000"/>
          <w:sz w:val="20"/>
          <w:szCs w:val="20"/>
        </w:rPr>
        <w:fldChar w:fldCharType="end"/>
      </w:r>
      <w:r>
        <w:rPr>
          <w:rFonts w:hint="eastAsia" w:ascii="仿宋" w:hAnsi="仿宋" w:eastAsia="仿宋" w:cs="仿宋"/>
          <w:color w:val="000000"/>
          <w:sz w:val="20"/>
          <w:szCs w:val="20"/>
        </w:rPr>
        <w:t>见附件A。</w:t>
      </w:r>
    </w:p>
    <w:p w14:paraId="00377508">
      <w:pPr>
        <w:autoSpaceDN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2、如果乙方在工作中因自身过错而发生任何错误或遗漏，乙方应无条件更正，而不另外收费，并对因此而对甲方造成的损失承担赔偿责任，赔偿以附件A所载明的该项工程服务对应之费用为限。若因甲方原因造成工作的延误，将由甲方承担相应的损失。</w:t>
      </w:r>
    </w:p>
    <w:p w14:paraId="1AAB51F9">
      <w:pPr>
        <w:autoSpaceDN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3、乙方的服务承诺：</w:t>
      </w:r>
    </w:p>
    <w:p w14:paraId="077D53E2">
      <w:pPr>
        <w:autoSpaceDN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1） 乙方接到甲方通过电话、信函传真、电子邮件、网上提交等方式提出关于附件A所列工程服务的请求后，在两个有效工作日内给予响应并提供工程服务。</w:t>
      </w:r>
    </w:p>
    <w:p w14:paraId="0489A8AB">
      <w:pPr>
        <w:autoSpaceDN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2）乙方提供给甲方的工程服务，必须按照合同附件A规定的标准进行。</w:t>
      </w:r>
    </w:p>
    <w:p w14:paraId="2F58E02A">
      <w:pPr>
        <w:adjustRightInd w:val="0"/>
        <w:snapToGrid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附分项清单：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714"/>
        <w:gridCol w:w="1482"/>
        <w:gridCol w:w="1701"/>
        <w:gridCol w:w="708"/>
        <w:gridCol w:w="1061"/>
        <w:gridCol w:w="1111"/>
        <w:gridCol w:w="912"/>
      </w:tblGrid>
      <w:tr w14:paraId="7F02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 w:type="pct"/>
            <w:vAlign w:val="center"/>
          </w:tcPr>
          <w:p w14:paraId="4D3A300A">
            <w:pPr>
              <w:jc w:val="center"/>
              <w:rPr>
                <w:rFonts w:ascii="仿宋" w:hAnsi="仿宋" w:eastAsia="仿宋" w:cs="仿宋"/>
                <w:color w:val="000000"/>
                <w:sz w:val="20"/>
                <w:szCs w:val="20"/>
              </w:rPr>
            </w:pPr>
            <w:r>
              <w:rPr>
                <w:rFonts w:hint="eastAsia" w:ascii="仿宋" w:hAnsi="仿宋" w:eastAsia="仿宋" w:cs="仿宋"/>
                <w:color w:val="000000"/>
                <w:sz w:val="20"/>
                <w:szCs w:val="20"/>
              </w:rPr>
              <w:t>序号</w:t>
            </w:r>
          </w:p>
        </w:tc>
        <w:tc>
          <w:tcPr>
            <w:tcW w:w="923" w:type="pct"/>
            <w:vAlign w:val="center"/>
          </w:tcPr>
          <w:p w14:paraId="6A2A9E76">
            <w:pPr>
              <w:jc w:val="center"/>
              <w:rPr>
                <w:rFonts w:ascii="仿宋" w:hAnsi="仿宋" w:eastAsia="仿宋" w:cs="仿宋"/>
                <w:color w:val="000000"/>
                <w:sz w:val="20"/>
                <w:szCs w:val="20"/>
              </w:rPr>
            </w:pPr>
            <w:r>
              <w:rPr>
                <w:rFonts w:hint="eastAsia" w:ascii="仿宋" w:hAnsi="仿宋" w:eastAsia="仿宋" w:cs="仿宋"/>
                <w:color w:val="000000"/>
                <w:sz w:val="20"/>
                <w:szCs w:val="20"/>
              </w:rPr>
              <w:t>名称</w:t>
            </w:r>
          </w:p>
        </w:tc>
        <w:tc>
          <w:tcPr>
            <w:tcW w:w="798" w:type="pct"/>
            <w:vAlign w:val="center"/>
          </w:tcPr>
          <w:p w14:paraId="1A1A3AAB">
            <w:pPr>
              <w:jc w:val="center"/>
              <w:rPr>
                <w:rFonts w:ascii="仿宋" w:hAnsi="仿宋" w:eastAsia="仿宋" w:cs="仿宋"/>
                <w:color w:val="000000"/>
                <w:sz w:val="20"/>
                <w:szCs w:val="20"/>
              </w:rPr>
            </w:pPr>
            <w:r>
              <w:rPr>
                <w:rFonts w:hint="eastAsia" w:ascii="仿宋" w:hAnsi="仿宋" w:eastAsia="仿宋" w:cs="仿宋"/>
                <w:color w:val="000000"/>
                <w:sz w:val="20"/>
                <w:szCs w:val="20"/>
              </w:rPr>
              <w:t>施工内容说明</w:t>
            </w:r>
          </w:p>
        </w:tc>
        <w:tc>
          <w:tcPr>
            <w:tcW w:w="916" w:type="pct"/>
            <w:vAlign w:val="center"/>
          </w:tcPr>
          <w:p w14:paraId="6A317D51">
            <w:pPr>
              <w:jc w:val="center"/>
              <w:rPr>
                <w:rFonts w:ascii="仿宋" w:hAnsi="仿宋" w:eastAsia="仿宋" w:cs="仿宋"/>
                <w:color w:val="000000"/>
                <w:sz w:val="20"/>
                <w:szCs w:val="20"/>
              </w:rPr>
            </w:pPr>
            <w:r>
              <w:rPr>
                <w:rFonts w:hint="eastAsia" w:ascii="仿宋" w:hAnsi="仿宋" w:eastAsia="仿宋" w:cs="仿宋"/>
                <w:color w:val="000000"/>
                <w:sz w:val="20"/>
                <w:szCs w:val="20"/>
              </w:rPr>
              <w:t>施工单位全称</w:t>
            </w:r>
          </w:p>
        </w:tc>
        <w:tc>
          <w:tcPr>
            <w:tcW w:w="381" w:type="pct"/>
            <w:vAlign w:val="center"/>
          </w:tcPr>
          <w:p w14:paraId="1A3ABB28">
            <w:pPr>
              <w:jc w:val="center"/>
              <w:rPr>
                <w:rFonts w:ascii="仿宋" w:hAnsi="仿宋" w:eastAsia="仿宋" w:cs="仿宋"/>
                <w:color w:val="000000"/>
                <w:sz w:val="20"/>
                <w:szCs w:val="20"/>
              </w:rPr>
            </w:pPr>
            <w:r>
              <w:rPr>
                <w:rFonts w:hint="eastAsia" w:ascii="仿宋" w:hAnsi="仿宋" w:eastAsia="仿宋" w:cs="仿宋"/>
                <w:color w:val="000000"/>
                <w:sz w:val="20"/>
                <w:szCs w:val="20"/>
              </w:rPr>
              <w:t>数量</w:t>
            </w:r>
          </w:p>
        </w:tc>
        <w:tc>
          <w:tcPr>
            <w:tcW w:w="571" w:type="pct"/>
            <w:vAlign w:val="center"/>
          </w:tcPr>
          <w:p w14:paraId="73A59B5D">
            <w:pPr>
              <w:jc w:val="center"/>
              <w:rPr>
                <w:rFonts w:ascii="仿宋" w:hAnsi="仿宋" w:eastAsia="仿宋" w:cs="仿宋"/>
                <w:color w:val="000000"/>
                <w:sz w:val="20"/>
                <w:szCs w:val="20"/>
              </w:rPr>
            </w:pPr>
            <w:r>
              <w:rPr>
                <w:rFonts w:hint="eastAsia" w:ascii="仿宋" w:hAnsi="仿宋" w:eastAsia="仿宋" w:cs="仿宋"/>
                <w:color w:val="000000"/>
                <w:sz w:val="20"/>
                <w:szCs w:val="20"/>
              </w:rPr>
              <w:t>单价</w:t>
            </w:r>
          </w:p>
        </w:tc>
        <w:tc>
          <w:tcPr>
            <w:tcW w:w="598" w:type="pct"/>
            <w:vAlign w:val="center"/>
          </w:tcPr>
          <w:p w14:paraId="775582CF">
            <w:pPr>
              <w:jc w:val="center"/>
              <w:rPr>
                <w:rFonts w:ascii="仿宋" w:hAnsi="仿宋" w:eastAsia="仿宋" w:cs="仿宋"/>
                <w:color w:val="000000"/>
                <w:sz w:val="20"/>
                <w:szCs w:val="20"/>
              </w:rPr>
            </w:pPr>
            <w:r>
              <w:rPr>
                <w:rFonts w:hint="eastAsia" w:ascii="仿宋" w:hAnsi="仿宋" w:eastAsia="仿宋" w:cs="仿宋"/>
                <w:color w:val="000000"/>
                <w:sz w:val="20"/>
                <w:szCs w:val="20"/>
              </w:rPr>
              <w:t>合计</w:t>
            </w:r>
          </w:p>
        </w:tc>
        <w:tc>
          <w:tcPr>
            <w:tcW w:w="491" w:type="pct"/>
            <w:vAlign w:val="center"/>
          </w:tcPr>
          <w:p w14:paraId="1DE2F479">
            <w:pPr>
              <w:jc w:val="center"/>
              <w:rPr>
                <w:rFonts w:ascii="仿宋" w:hAnsi="仿宋" w:eastAsia="仿宋" w:cs="仿宋"/>
                <w:color w:val="000000"/>
                <w:sz w:val="20"/>
                <w:szCs w:val="20"/>
              </w:rPr>
            </w:pPr>
            <w:r>
              <w:rPr>
                <w:rFonts w:hint="eastAsia" w:ascii="仿宋" w:hAnsi="仿宋" w:eastAsia="仿宋" w:cs="仿宋"/>
                <w:color w:val="000000"/>
                <w:sz w:val="20"/>
                <w:szCs w:val="20"/>
              </w:rPr>
              <w:t>备注</w:t>
            </w:r>
          </w:p>
        </w:tc>
      </w:tr>
      <w:tr w14:paraId="7482A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 w:type="pct"/>
          </w:tcPr>
          <w:p w14:paraId="23FFBF31">
            <w:pPr>
              <w:rPr>
                <w:rFonts w:ascii="仿宋" w:hAnsi="仿宋" w:eastAsia="仿宋" w:cs="仿宋"/>
                <w:color w:val="000000"/>
                <w:sz w:val="20"/>
                <w:szCs w:val="20"/>
              </w:rPr>
            </w:pPr>
          </w:p>
        </w:tc>
        <w:tc>
          <w:tcPr>
            <w:tcW w:w="923" w:type="pct"/>
          </w:tcPr>
          <w:p w14:paraId="0BD1D374">
            <w:pPr>
              <w:rPr>
                <w:rFonts w:ascii="仿宋" w:hAnsi="仿宋" w:eastAsia="仿宋" w:cs="仿宋"/>
                <w:color w:val="000000"/>
                <w:sz w:val="20"/>
                <w:szCs w:val="20"/>
              </w:rPr>
            </w:pPr>
          </w:p>
        </w:tc>
        <w:tc>
          <w:tcPr>
            <w:tcW w:w="798" w:type="pct"/>
          </w:tcPr>
          <w:p w14:paraId="6ED0C197">
            <w:pPr>
              <w:rPr>
                <w:rFonts w:ascii="仿宋" w:hAnsi="仿宋" w:eastAsia="仿宋" w:cs="仿宋"/>
                <w:color w:val="000000"/>
                <w:sz w:val="20"/>
                <w:szCs w:val="20"/>
              </w:rPr>
            </w:pPr>
          </w:p>
        </w:tc>
        <w:tc>
          <w:tcPr>
            <w:tcW w:w="916" w:type="pct"/>
          </w:tcPr>
          <w:p w14:paraId="788E44C3">
            <w:pPr>
              <w:rPr>
                <w:rFonts w:ascii="仿宋" w:hAnsi="仿宋" w:eastAsia="仿宋" w:cs="仿宋"/>
                <w:color w:val="000000"/>
                <w:sz w:val="20"/>
                <w:szCs w:val="20"/>
              </w:rPr>
            </w:pPr>
          </w:p>
        </w:tc>
        <w:tc>
          <w:tcPr>
            <w:tcW w:w="381" w:type="pct"/>
          </w:tcPr>
          <w:p w14:paraId="3D576506">
            <w:pPr>
              <w:rPr>
                <w:rFonts w:ascii="仿宋" w:hAnsi="仿宋" w:eastAsia="仿宋" w:cs="仿宋"/>
                <w:color w:val="000000"/>
                <w:sz w:val="20"/>
                <w:szCs w:val="20"/>
              </w:rPr>
            </w:pPr>
          </w:p>
        </w:tc>
        <w:tc>
          <w:tcPr>
            <w:tcW w:w="571" w:type="pct"/>
          </w:tcPr>
          <w:p w14:paraId="0497D20A">
            <w:pPr>
              <w:rPr>
                <w:rFonts w:ascii="仿宋" w:hAnsi="仿宋" w:eastAsia="仿宋" w:cs="仿宋"/>
                <w:color w:val="000000"/>
                <w:sz w:val="20"/>
                <w:szCs w:val="20"/>
              </w:rPr>
            </w:pPr>
          </w:p>
        </w:tc>
        <w:tc>
          <w:tcPr>
            <w:tcW w:w="598" w:type="pct"/>
          </w:tcPr>
          <w:p w14:paraId="5FE496DA">
            <w:pPr>
              <w:rPr>
                <w:rFonts w:ascii="仿宋" w:hAnsi="仿宋" w:eastAsia="仿宋" w:cs="仿宋"/>
                <w:color w:val="000000"/>
                <w:sz w:val="20"/>
                <w:szCs w:val="20"/>
              </w:rPr>
            </w:pPr>
          </w:p>
        </w:tc>
        <w:tc>
          <w:tcPr>
            <w:tcW w:w="491" w:type="pct"/>
          </w:tcPr>
          <w:p w14:paraId="46F750B8">
            <w:pPr>
              <w:rPr>
                <w:rFonts w:ascii="仿宋" w:hAnsi="仿宋" w:eastAsia="仿宋" w:cs="仿宋"/>
                <w:color w:val="000000"/>
                <w:sz w:val="20"/>
                <w:szCs w:val="20"/>
              </w:rPr>
            </w:pPr>
          </w:p>
        </w:tc>
      </w:tr>
      <w:tr w14:paraId="2718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 w:type="pct"/>
          </w:tcPr>
          <w:p w14:paraId="38332612">
            <w:pPr>
              <w:rPr>
                <w:rFonts w:ascii="仿宋" w:hAnsi="仿宋" w:eastAsia="仿宋" w:cs="仿宋"/>
                <w:color w:val="000000"/>
                <w:sz w:val="20"/>
                <w:szCs w:val="20"/>
              </w:rPr>
            </w:pPr>
          </w:p>
        </w:tc>
        <w:tc>
          <w:tcPr>
            <w:tcW w:w="923" w:type="pct"/>
          </w:tcPr>
          <w:p w14:paraId="5841DF4C">
            <w:pPr>
              <w:rPr>
                <w:rFonts w:ascii="仿宋" w:hAnsi="仿宋" w:eastAsia="仿宋" w:cs="仿宋"/>
                <w:color w:val="000000"/>
                <w:sz w:val="20"/>
                <w:szCs w:val="20"/>
              </w:rPr>
            </w:pPr>
          </w:p>
        </w:tc>
        <w:tc>
          <w:tcPr>
            <w:tcW w:w="798" w:type="pct"/>
          </w:tcPr>
          <w:p w14:paraId="7B2013DB">
            <w:pPr>
              <w:rPr>
                <w:rFonts w:ascii="仿宋" w:hAnsi="仿宋" w:eastAsia="仿宋" w:cs="仿宋"/>
                <w:color w:val="000000"/>
                <w:sz w:val="20"/>
                <w:szCs w:val="20"/>
              </w:rPr>
            </w:pPr>
          </w:p>
        </w:tc>
        <w:tc>
          <w:tcPr>
            <w:tcW w:w="916" w:type="pct"/>
          </w:tcPr>
          <w:p w14:paraId="614962C3">
            <w:pPr>
              <w:rPr>
                <w:rFonts w:ascii="仿宋" w:hAnsi="仿宋" w:eastAsia="仿宋" w:cs="仿宋"/>
                <w:color w:val="000000"/>
                <w:sz w:val="20"/>
                <w:szCs w:val="20"/>
              </w:rPr>
            </w:pPr>
          </w:p>
        </w:tc>
        <w:tc>
          <w:tcPr>
            <w:tcW w:w="381" w:type="pct"/>
          </w:tcPr>
          <w:p w14:paraId="52E2EF1C">
            <w:pPr>
              <w:rPr>
                <w:rFonts w:ascii="仿宋" w:hAnsi="仿宋" w:eastAsia="仿宋" w:cs="仿宋"/>
                <w:color w:val="000000"/>
                <w:sz w:val="20"/>
                <w:szCs w:val="20"/>
              </w:rPr>
            </w:pPr>
          </w:p>
        </w:tc>
        <w:tc>
          <w:tcPr>
            <w:tcW w:w="571" w:type="pct"/>
          </w:tcPr>
          <w:p w14:paraId="5FA3F00A">
            <w:pPr>
              <w:rPr>
                <w:rFonts w:ascii="仿宋" w:hAnsi="仿宋" w:eastAsia="仿宋" w:cs="仿宋"/>
                <w:color w:val="000000"/>
                <w:sz w:val="20"/>
                <w:szCs w:val="20"/>
              </w:rPr>
            </w:pPr>
          </w:p>
        </w:tc>
        <w:tc>
          <w:tcPr>
            <w:tcW w:w="598" w:type="pct"/>
          </w:tcPr>
          <w:p w14:paraId="6C97DB0E">
            <w:pPr>
              <w:rPr>
                <w:rFonts w:ascii="仿宋" w:hAnsi="仿宋" w:eastAsia="仿宋" w:cs="仿宋"/>
                <w:color w:val="000000"/>
                <w:sz w:val="20"/>
                <w:szCs w:val="20"/>
              </w:rPr>
            </w:pPr>
          </w:p>
        </w:tc>
        <w:tc>
          <w:tcPr>
            <w:tcW w:w="491" w:type="pct"/>
          </w:tcPr>
          <w:p w14:paraId="4640F8CC">
            <w:pPr>
              <w:rPr>
                <w:rFonts w:ascii="仿宋" w:hAnsi="仿宋" w:eastAsia="仿宋" w:cs="仿宋"/>
                <w:color w:val="000000"/>
                <w:sz w:val="20"/>
                <w:szCs w:val="20"/>
              </w:rPr>
            </w:pPr>
          </w:p>
        </w:tc>
      </w:tr>
      <w:tr w14:paraId="33815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 w:type="pct"/>
          </w:tcPr>
          <w:p w14:paraId="745A57FA">
            <w:pPr>
              <w:rPr>
                <w:rFonts w:ascii="仿宋" w:hAnsi="仿宋" w:eastAsia="仿宋" w:cs="仿宋"/>
                <w:color w:val="000000"/>
                <w:sz w:val="20"/>
                <w:szCs w:val="20"/>
              </w:rPr>
            </w:pPr>
          </w:p>
        </w:tc>
        <w:tc>
          <w:tcPr>
            <w:tcW w:w="923" w:type="pct"/>
          </w:tcPr>
          <w:p w14:paraId="35FE8DBA">
            <w:pPr>
              <w:rPr>
                <w:rFonts w:ascii="仿宋" w:hAnsi="仿宋" w:eastAsia="仿宋" w:cs="仿宋"/>
                <w:color w:val="000000"/>
                <w:sz w:val="20"/>
                <w:szCs w:val="20"/>
              </w:rPr>
            </w:pPr>
          </w:p>
        </w:tc>
        <w:tc>
          <w:tcPr>
            <w:tcW w:w="798" w:type="pct"/>
          </w:tcPr>
          <w:p w14:paraId="137A99AD">
            <w:pPr>
              <w:rPr>
                <w:rFonts w:ascii="仿宋" w:hAnsi="仿宋" w:eastAsia="仿宋" w:cs="仿宋"/>
                <w:color w:val="000000"/>
                <w:sz w:val="20"/>
                <w:szCs w:val="20"/>
              </w:rPr>
            </w:pPr>
          </w:p>
        </w:tc>
        <w:tc>
          <w:tcPr>
            <w:tcW w:w="916" w:type="pct"/>
          </w:tcPr>
          <w:p w14:paraId="5FD30DC7">
            <w:pPr>
              <w:rPr>
                <w:rFonts w:ascii="仿宋" w:hAnsi="仿宋" w:eastAsia="仿宋" w:cs="仿宋"/>
                <w:color w:val="000000"/>
                <w:sz w:val="20"/>
                <w:szCs w:val="20"/>
              </w:rPr>
            </w:pPr>
          </w:p>
        </w:tc>
        <w:tc>
          <w:tcPr>
            <w:tcW w:w="381" w:type="pct"/>
          </w:tcPr>
          <w:p w14:paraId="0F5340D4">
            <w:pPr>
              <w:rPr>
                <w:rFonts w:ascii="仿宋" w:hAnsi="仿宋" w:eastAsia="仿宋" w:cs="仿宋"/>
                <w:color w:val="000000"/>
                <w:sz w:val="20"/>
                <w:szCs w:val="20"/>
              </w:rPr>
            </w:pPr>
          </w:p>
        </w:tc>
        <w:tc>
          <w:tcPr>
            <w:tcW w:w="571" w:type="pct"/>
          </w:tcPr>
          <w:p w14:paraId="2E25EE01">
            <w:pPr>
              <w:rPr>
                <w:rFonts w:ascii="仿宋" w:hAnsi="仿宋" w:eastAsia="仿宋" w:cs="仿宋"/>
                <w:color w:val="000000"/>
                <w:sz w:val="20"/>
                <w:szCs w:val="20"/>
              </w:rPr>
            </w:pPr>
          </w:p>
        </w:tc>
        <w:tc>
          <w:tcPr>
            <w:tcW w:w="598" w:type="pct"/>
          </w:tcPr>
          <w:p w14:paraId="4AA6466F">
            <w:pPr>
              <w:rPr>
                <w:rFonts w:ascii="仿宋" w:hAnsi="仿宋" w:eastAsia="仿宋" w:cs="仿宋"/>
                <w:color w:val="000000"/>
                <w:sz w:val="20"/>
                <w:szCs w:val="20"/>
              </w:rPr>
            </w:pPr>
          </w:p>
        </w:tc>
        <w:tc>
          <w:tcPr>
            <w:tcW w:w="491" w:type="pct"/>
          </w:tcPr>
          <w:p w14:paraId="1692A12B">
            <w:pPr>
              <w:rPr>
                <w:rFonts w:ascii="仿宋" w:hAnsi="仿宋" w:eastAsia="仿宋" w:cs="仿宋"/>
                <w:color w:val="000000"/>
                <w:sz w:val="20"/>
                <w:szCs w:val="20"/>
              </w:rPr>
            </w:pPr>
          </w:p>
        </w:tc>
      </w:tr>
      <w:tr w14:paraId="6DE2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 w:type="pct"/>
          </w:tcPr>
          <w:p w14:paraId="7B1C9332">
            <w:pPr>
              <w:rPr>
                <w:rFonts w:ascii="仿宋" w:hAnsi="仿宋" w:eastAsia="仿宋" w:cs="仿宋"/>
                <w:color w:val="000000"/>
                <w:sz w:val="20"/>
                <w:szCs w:val="20"/>
              </w:rPr>
            </w:pPr>
          </w:p>
        </w:tc>
        <w:tc>
          <w:tcPr>
            <w:tcW w:w="923" w:type="pct"/>
          </w:tcPr>
          <w:p w14:paraId="51950055">
            <w:pPr>
              <w:rPr>
                <w:rFonts w:ascii="仿宋" w:hAnsi="仿宋" w:eastAsia="仿宋" w:cs="仿宋"/>
                <w:color w:val="000000"/>
                <w:sz w:val="20"/>
                <w:szCs w:val="20"/>
              </w:rPr>
            </w:pPr>
          </w:p>
        </w:tc>
        <w:tc>
          <w:tcPr>
            <w:tcW w:w="798" w:type="pct"/>
          </w:tcPr>
          <w:p w14:paraId="7D08E1C1">
            <w:pPr>
              <w:rPr>
                <w:rFonts w:ascii="仿宋" w:hAnsi="仿宋" w:eastAsia="仿宋" w:cs="仿宋"/>
                <w:color w:val="000000"/>
                <w:sz w:val="20"/>
                <w:szCs w:val="20"/>
              </w:rPr>
            </w:pPr>
          </w:p>
        </w:tc>
        <w:tc>
          <w:tcPr>
            <w:tcW w:w="916" w:type="pct"/>
          </w:tcPr>
          <w:p w14:paraId="323C7E9A">
            <w:pPr>
              <w:rPr>
                <w:rFonts w:ascii="仿宋" w:hAnsi="仿宋" w:eastAsia="仿宋" w:cs="仿宋"/>
                <w:color w:val="000000"/>
                <w:sz w:val="20"/>
                <w:szCs w:val="20"/>
              </w:rPr>
            </w:pPr>
          </w:p>
        </w:tc>
        <w:tc>
          <w:tcPr>
            <w:tcW w:w="381" w:type="pct"/>
          </w:tcPr>
          <w:p w14:paraId="687B17FB">
            <w:pPr>
              <w:rPr>
                <w:rFonts w:ascii="仿宋" w:hAnsi="仿宋" w:eastAsia="仿宋" w:cs="仿宋"/>
                <w:color w:val="000000"/>
                <w:sz w:val="20"/>
                <w:szCs w:val="20"/>
              </w:rPr>
            </w:pPr>
          </w:p>
        </w:tc>
        <w:tc>
          <w:tcPr>
            <w:tcW w:w="571" w:type="pct"/>
          </w:tcPr>
          <w:p w14:paraId="4ED2BF4A">
            <w:pPr>
              <w:rPr>
                <w:rFonts w:ascii="仿宋" w:hAnsi="仿宋" w:eastAsia="仿宋" w:cs="仿宋"/>
                <w:color w:val="000000"/>
                <w:sz w:val="20"/>
                <w:szCs w:val="20"/>
              </w:rPr>
            </w:pPr>
          </w:p>
        </w:tc>
        <w:tc>
          <w:tcPr>
            <w:tcW w:w="598" w:type="pct"/>
          </w:tcPr>
          <w:p w14:paraId="78A3CE5E">
            <w:pPr>
              <w:rPr>
                <w:rFonts w:ascii="仿宋" w:hAnsi="仿宋" w:eastAsia="仿宋" w:cs="仿宋"/>
                <w:color w:val="000000"/>
                <w:sz w:val="20"/>
                <w:szCs w:val="20"/>
              </w:rPr>
            </w:pPr>
          </w:p>
        </w:tc>
        <w:tc>
          <w:tcPr>
            <w:tcW w:w="491" w:type="pct"/>
          </w:tcPr>
          <w:p w14:paraId="15A3783D">
            <w:pPr>
              <w:rPr>
                <w:rFonts w:ascii="仿宋" w:hAnsi="仿宋" w:eastAsia="仿宋" w:cs="仿宋"/>
                <w:color w:val="000000"/>
                <w:sz w:val="20"/>
                <w:szCs w:val="20"/>
              </w:rPr>
            </w:pPr>
          </w:p>
        </w:tc>
      </w:tr>
      <w:tr w14:paraId="007E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 w:type="pct"/>
          </w:tcPr>
          <w:p w14:paraId="7310A275">
            <w:pPr>
              <w:rPr>
                <w:rFonts w:ascii="仿宋" w:hAnsi="仿宋" w:eastAsia="仿宋" w:cs="仿宋"/>
                <w:color w:val="000000"/>
                <w:sz w:val="20"/>
                <w:szCs w:val="20"/>
              </w:rPr>
            </w:pPr>
          </w:p>
        </w:tc>
        <w:tc>
          <w:tcPr>
            <w:tcW w:w="923" w:type="pct"/>
          </w:tcPr>
          <w:p w14:paraId="049C3EFF">
            <w:pPr>
              <w:rPr>
                <w:rFonts w:ascii="仿宋" w:hAnsi="仿宋" w:eastAsia="仿宋" w:cs="仿宋"/>
                <w:color w:val="000000"/>
                <w:sz w:val="20"/>
                <w:szCs w:val="20"/>
              </w:rPr>
            </w:pPr>
          </w:p>
        </w:tc>
        <w:tc>
          <w:tcPr>
            <w:tcW w:w="798" w:type="pct"/>
          </w:tcPr>
          <w:p w14:paraId="762BFC29">
            <w:pPr>
              <w:rPr>
                <w:rFonts w:ascii="仿宋" w:hAnsi="仿宋" w:eastAsia="仿宋" w:cs="仿宋"/>
                <w:color w:val="000000"/>
                <w:sz w:val="20"/>
                <w:szCs w:val="20"/>
              </w:rPr>
            </w:pPr>
          </w:p>
        </w:tc>
        <w:tc>
          <w:tcPr>
            <w:tcW w:w="916" w:type="pct"/>
          </w:tcPr>
          <w:p w14:paraId="13CCB2F6">
            <w:pPr>
              <w:rPr>
                <w:rFonts w:ascii="仿宋" w:hAnsi="仿宋" w:eastAsia="仿宋" w:cs="仿宋"/>
                <w:color w:val="000000"/>
                <w:sz w:val="20"/>
                <w:szCs w:val="20"/>
              </w:rPr>
            </w:pPr>
          </w:p>
        </w:tc>
        <w:tc>
          <w:tcPr>
            <w:tcW w:w="381" w:type="pct"/>
          </w:tcPr>
          <w:p w14:paraId="647649AC">
            <w:pPr>
              <w:rPr>
                <w:rFonts w:ascii="仿宋" w:hAnsi="仿宋" w:eastAsia="仿宋" w:cs="仿宋"/>
                <w:color w:val="000000"/>
                <w:sz w:val="20"/>
                <w:szCs w:val="20"/>
              </w:rPr>
            </w:pPr>
          </w:p>
        </w:tc>
        <w:tc>
          <w:tcPr>
            <w:tcW w:w="571" w:type="pct"/>
          </w:tcPr>
          <w:p w14:paraId="5CFB2F50">
            <w:pPr>
              <w:rPr>
                <w:rFonts w:ascii="仿宋" w:hAnsi="仿宋" w:eastAsia="仿宋" w:cs="仿宋"/>
                <w:color w:val="000000"/>
                <w:sz w:val="20"/>
                <w:szCs w:val="20"/>
              </w:rPr>
            </w:pPr>
          </w:p>
        </w:tc>
        <w:tc>
          <w:tcPr>
            <w:tcW w:w="598" w:type="pct"/>
          </w:tcPr>
          <w:p w14:paraId="1295684D">
            <w:pPr>
              <w:rPr>
                <w:rFonts w:ascii="仿宋" w:hAnsi="仿宋" w:eastAsia="仿宋" w:cs="仿宋"/>
                <w:color w:val="000000"/>
                <w:sz w:val="20"/>
                <w:szCs w:val="20"/>
              </w:rPr>
            </w:pPr>
          </w:p>
        </w:tc>
        <w:tc>
          <w:tcPr>
            <w:tcW w:w="491" w:type="pct"/>
          </w:tcPr>
          <w:p w14:paraId="5DA9C537">
            <w:pPr>
              <w:rPr>
                <w:rFonts w:ascii="仿宋" w:hAnsi="仿宋" w:eastAsia="仿宋" w:cs="仿宋"/>
                <w:color w:val="000000"/>
                <w:sz w:val="20"/>
                <w:szCs w:val="20"/>
              </w:rPr>
            </w:pPr>
          </w:p>
        </w:tc>
      </w:tr>
    </w:tbl>
    <w:p w14:paraId="7D1C2B80">
      <w:pPr>
        <w:adjustRightInd w:val="0"/>
        <w:snapToGrid w:val="0"/>
        <w:ind w:firstLine="396" w:firstLineChars="198"/>
        <w:rPr>
          <w:rFonts w:ascii="仿宋" w:hAnsi="仿宋" w:eastAsia="仿宋" w:cs="仿宋"/>
          <w:color w:val="000000"/>
          <w:sz w:val="20"/>
          <w:szCs w:val="20"/>
        </w:rPr>
      </w:pPr>
      <w:r>
        <w:rPr>
          <w:rFonts w:hint="eastAsia" w:ascii="仿宋" w:hAnsi="仿宋" w:eastAsia="仿宋" w:cs="仿宋"/>
          <w:color w:val="000000"/>
          <w:sz w:val="20"/>
          <w:szCs w:val="20"/>
        </w:rPr>
        <w:t>注：此表应与采购文件、响应文件内容一致。</w:t>
      </w:r>
    </w:p>
    <w:p w14:paraId="7365A247">
      <w:pPr>
        <w:autoSpaceDN w:val="0"/>
        <w:spacing w:before="150"/>
        <w:rPr>
          <w:rFonts w:ascii="仿宋" w:hAnsi="仿宋" w:eastAsia="仿宋" w:cs="仿宋"/>
          <w:b/>
          <w:color w:val="000000"/>
          <w:sz w:val="20"/>
          <w:szCs w:val="20"/>
        </w:rPr>
      </w:pPr>
      <w:r>
        <w:rPr>
          <w:rFonts w:hint="eastAsia" w:ascii="仿宋" w:hAnsi="仿宋" w:eastAsia="仿宋" w:cs="仿宋"/>
          <w:b/>
          <w:color w:val="000000"/>
          <w:sz w:val="20"/>
          <w:szCs w:val="20"/>
        </w:rPr>
        <w:t>二、 款项结算</w:t>
      </w:r>
    </w:p>
    <w:p w14:paraId="7A0767FF">
      <w:pPr>
        <w:ind w:firstLine="400" w:firstLineChars="200"/>
        <w:rPr>
          <w:rFonts w:ascii="仿宋" w:hAnsi="仿宋" w:eastAsia="仿宋" w:cs="仿宋"/>
          <w:color w:val="000000"/>
          <w:sz w:val="20"/>
          <w:szCs w:val="20"/>
          <w:u w:val="single"/>
        </w:rPr>
      </w:pPr>
      <w:r>
        <w:rPr>
          <w:rFonts w:hint="eastAsia" w:ascii="仿宋" w:hAnsi="仿宋" w:eastAsia="仿宋" w:cs="仿宋"/>
          <w:color w:val="000000"/>
          <w:sz w:val="20"/>
          <w:szCs w:val="20"/>
        </w:rPr>
        <w:t xml:space="preserve">1、付款方式：合同签订之日起15日内支付合同总额的60%，完工并验收合格后15日内支付合同总额的40%。                       </w:t>
      </w:r>
    </w:p>
    <w:p w14:paraId="5EB65B76">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2、支付方式：银行转账。</w:t>
      </w:r>
    </w:p>
    <w:p w14:paraId="49281EA3">
      <w:pPr>
        <w:ind w:left="1"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3、结算方式：投标单位持中标通知书、合同、发票，与采购人结算。</w:t>
      </w:r>
    </w:p>
    <w:p w14:paraId="1CD293BD">
      <w:pPr>
        <w:rPr>
          <w:rFonts w:ascii="仿宋" w:hAnsi="仿宋" w:eastAsia="仿宋" w:cs="仿宋"/>
          <w:b/>
          <w:color w:val="000000"/>
          <w:sz w:val="20"/>
          <w:szCs w:val="20"/>
        </w:rPr>
      </w:pPr>
      <w:r>
        <w:rPr>
          <w:rFonts w:hint="eastAsia" w:ascii="仿宋" w:hAnsi="仿宋" w:eastAsia="仿宋" w:cs="仿宋"/>
          <w:b/>
          <w:color w:val="000000"/>
          <w:sz w:val="20"/>
          <w:szCs w:val="20"/>
        </w:rPr>
        <w:t>三、交付条件：</w:t>
      </w:r>
    </w:p>
    <w:p w14:paraId="6E6EC3DE">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1、项目实施地点：陕西省西安市。</w:t>
      </w:r>
    </w:p>
    <w:p w14:paraId="508D50AF">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2、工期：自合同签订之日起</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个日历天内完成并达到验收状态。</w:t>
      </w:r>
    </w:p>
    <w:p w14:paraId="3328A929">
      <w:pPr>
        <w:rPr>
          <w:rFonts w:ascii="仿宋" w:hAnsi="仿宋" w:eastAsia="仿宋" w:cs="仿宋"/>
          <w:b/>
          <w:color w:val="000000"/>
          <w:sz w:val="20"/>
          <w:szCs w:val="20"/>
        </w:rPr>
      </w:pPr>
      <w:r>
        <w:rPr>
          <w:rFonts w:hint="eastAsia" w:ascii="仿宋" w:hAnsi="仿宋" w:eastAsia="仿宋" w:cs="仿宋"/>
          <w:b/>
          <w:color w:val="000000"/>
          <w:sz w:val="20"/>
          <w:szCs w:val="20"/>
        </w:rPr>
        <w:t>四、合同价款</w:t>
      </w:r>
    </w:p>
    <w:p w14:paraId="1EF8029E">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合同为固定总价，不受市场价格、建筑面积等因素影响。</w:t>
      </w:r>
    </w:p>
    <w:p w14:paraId="5A323802">
      <w:pPr>
        <w:rPr>
          <w:rFonts w:ascii="仿宋" w:hAnsi="仿宋" w:eastAsia="仿宋" w:cs="仿宋"/>
          <w:b/>
          <w:color w:val="000000"/>
          <w:sz w:val="20"/>
          <w:szCs w:val="20"/>
        </w:rPr>
      </w:pPr>
      <w:r>
        <w:rPr>
          <w:rFonts w:hint="eastAsia" w:ascii="仿宋" w:hAnsi="仿宋" w:eastAsia="仿宋" w:cs="仿宋"/>
          <w:b/>
          <w:color w:val="000000"/>
          <w:sz w:val="20"/>
          <w:szCs w:val="20"/>
        </w:rPr>
        <w:t>五、质量保证</w:t>
      </w:r>
    </w:p>
    <w:p w14:paraId="77B90099">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质保期：自项目验收合格后</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年。</w:t>
      </w:r>
    </w:p>
    <w:p w14:paraId="4D847C08">
      <w:pPr>
        <w:rPr>
          <w:rFonts w:ascii="仿宋" w:hAnsi="仿宋" w:eastAsia="仿宋" w:cs="仿宋"/>
          <w:b/>
          <w:color w:val="000000"/>
          <w:sz w:val="20"/>
          <w:szCs w:val="20"/>
        </w:rPr>
      </w:pPr>
      <w:r>
        <w:rPr>
          <w:rFonts w:hint="eastAsia" w:ascii="仿宋" w:hAnsi="仿宋" w:eastAsia="仿宋" w:cs="仿宋"/>
          <w:b/>
          <w:color w:val="000000"/>
          <w:sz w:val="20"/>
          <w:szCs w:val="20"/>
        </w:rPr>
        <w:t>六、验收依据</w:t>
      </w:r>
    </w:p>
    <w:p w14:paraId="0991A555">
      <w:pPr>
        <w:wordWrap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1、工程质量必须与合同要求一致，未按合同或采购文件要求提供服务或工程质量不能满足采购人要求，采购单位有权终 止合同，甚至对供应商违约行为进行追究；</w:t>
      </w:r>
    </w:p>
    <w:p w14:paraId="2F9978E9">
      <w:pPr>
        <w:wordWrap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2、验收依据：①采购文件、响应文件、澄清表（函）；②本合同及附件文本；③国家相应的标准、规范。</w:t>
      </w:r>
    </w:p>
    <w:p w14:paraId="630E743A">
      <w:pPr>
        <w:rPr>
          <w:rFonts w:ascii="仿宋" w:hAnsi="仿宋" w:eastAsia="仿宋" w:cs="仿宋"/>
          <w:b/>
          <w:color w:val="000000"/>
          <w:sz w:val="20"/>
          <w:szCs w:val="20"/>
        </w:rPr>
      </w:pPr>
      <w:r>
        <w:rPr>
          <w:rFonts w:hint="eastAsia" w:ascii="仿宋" w:hAnsi="仿宋" w:eastAsia="仿宋" w:cs="仿宋"/>
          <w:b/>
          <w:color w:val="000000"/>
          <w:sz w:val="20"/>
          <w:szCs w:val="20"/>
        </w:rPr>
        <w:t>七、保密及有关要求</w:t>
      </w:r>
    </w:p>
    <w:p w14:paraId="4C839FE0">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供应商应对项目涉及的所有资料严格保密，严禁对外发布，出现失泄密问题追究相关责任。</w:t>
      </w:r>
    </w:p>
    <w:p w14:paraId="21001FE8">
      <w:pPr>
        <w:autoSpaceDN w:val="0"/>
        <w:spacing w:before="15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供应商应严格遵守办公区工作秩序，爱护小区环境，服从小区物业的管理规定，根据办公区管理单位要求合理制定实施方案。</w:t>
      </w:r>
    </w:p>
    <w:p w14:paraId="2265096E">
      <w:pPr>
        <w:rPr>
          <w:rFonts w:ascii="仿宋" w:hAnsi="仿宋" w:eastAsia="仿宋" w:cs="仿宋"/>
          <w:b/>
          <w:color w:val="000000"/>
          <w:sz w:val="20"/>
          <w:szCs w:val="20"/>
        </w:rPr>
      </w:pPr>
      <w:r>
        <w:rPr>
          <w:rFonts w:hint="eastAsia" w:ascii="仿宋" w:hAnsi="仿宋" w:eastAsia="仿宋" w:cs="仿宋"/>
          <w:b/>
          <w:color w:val="000000"/>
          <w:sz w:val="20"/>
          <w:szCs w:val="20"/>
        </w:rPr>
        <w:t>八、违约责任</w:t>
      </w:r>
    </w:p>
    <w:p w14:paraId="3BACB09D">
      <w:pPr>
        <w:autoSpaceDN w:val="0"/>
        <w:spacing w:before="15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1、按《中华人民共和国民法典》中的相关条款执行。</w:t>
      </w:r>
    </w:p>
    <w:p w14:paraId="00579646">
      <w:pPr>
        <w:autoSpaceDN w:val="0"/>
        <w:spacing w:before="15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2、未按合同要求提供的设备质量不能满足合同技术要求，采购人会同招标组织机构有权终止合同和对供应商的违约行为进行追究。</w:t>
      </w:r>
    </w:p>
    <w:p w14:paraId="5A61EE46">
      <w:pPr>
        <w:autoSpaceDN w:val="0"/>
        <w:spacing w:before="15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3、乙方不能按期完成工作任务，乙方须按甲方已支付金额的双倍金额，返还于甲方，作为赔偿。如因甲方原因导致产品不能按计划完成，乙方不用承担赔偿责任。</w:t>
      </w:r>
    </w:p>
    <w:p w14:paraId="152CA161">
      <w:pPr>
        <w:autoSpaceDN w:val="0"/>
        <w:spacing w:before="150"/>
        <w:rPr>
          <w:rFonts w:ascii="仿宋" w:hAnsi="仿宋" w:eastAsia="仿宋" w:cs="仿宋"/>
          <w:b/>
          <w:color w:val="000000"/>
          <w:sz w:val="20"/>
          <w:szCs w:val="20"/>
        </w:rPr>
      </w:pPr>
      <w:r>
        <w:rPr>
          <w:rFonts w:hint="eastAsia" w:ascii="仿宋" w:hAnsi="仿宋" w:eastAsia="仿宋" w:cs="仿宋"/>
          <w:b/>
          <w:color w:val="000000"/>
          <w:sz w:val="20"/>
          <w:szCs w:val="20"/>
        </w:rPr>
        <w:t>九、争议处理</w:t>
      </w:r>
    </w:p>
    <w:p w14:paraId="769DD26B">
      <w:pPr>
        <w:autoSpaceDN w:val="0"/>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甲乙双方如对协议条款规定的理解有异议，或者对与协议有关的事项发生争议，合同执行中发生争议的，甲、乙双方应协商解决，协商达不成一致时，可向甲方所在地人民法院提请诉讼。</w:t>
      </w:r>
    </w:p>
    <w:p w14:paraId="0FBF9EBA">
      <w:pPr>
        <w:autoSpaceDN w:val="0"/>
        <w:rPr>
          <w:rFonts w:ascii="仿宋" w:hAnsi="仿宋" w:eastAsia="仿宋" w:cs="仿宋"/>
          <w:b/>
          <w:color w:val="000000"/>
          <w:sz w:val="20"/>
          <w:szCs w:val="20"/>
        </w:rPr>
      </w:pPr>
      <w:r>
        <w:rPr>
          <w:rFonts w:hint="eastAsia" w:ascii="仿宋" w:hAnsi="仿宋" w:eastAsia="仿宋" w:cs="仿宋"/>
          <w:b/>
          <w:color w:val="000000"/>
          <w:sz w:val="20"/>
          <w:szCs w:val="20"/>
        </w:rPr>
        <w:t>十、 其他</w:t>
      </w:r>
    </w:p>
    <w:p w14:paraId="566FAF3E">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1、本合同自签订之日起生效。</w:t>
      </w:r>
    </w:p>
    <w:p w14:paraId="36E35A71">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2、合同一式</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份，甲方</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份，乙方</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份、乙方办理结算壹份、代理机构壹份。</w:t>
      </w:r>
    </w:p>
    <w:p w14:paraId="2F144333">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3、未尽事宜由双方在签订合同时具体明确。</w:t>
      </w:r>
    </w:p>
    <w:p w14:paraId="3A61904C">
      <w:pPr>
        <w:rPr>
          <w:rFonts w:ascii="仿宋" w:hAnsi="仿宋" w:eastAsia="仿宋" w:cs="仿宋"/>
          <w:color w:val="000000"/>
          <w:sz w:val="20"/>
          <w:szCs w:val="20"/>
        </w:rPr>
      </w:pPr>
    </w:p>
    <w:p w14:paraId="09FAE01B">
      <w:pPr>
        <w:rPr>
          <w:rFonts w:ascii="仿宋" w:hAnsi="仿宋" w:eastAsia="仿宋" w:cs="仿宋"/>
          <w:color w:val="000000"/>
          <w:sz w:val="20"/>
          <w:szCs w:val="20"/>
        </w:rPr>
      </w:pPr>
    </w:p>
    <w:tbl>
      <w:tblPr>
        <w:tblStyle w:val="8"/>
        <w:tblW w:w="4999" w:type="pct"/>
        <w:tblInd w:w="0" w:type="dxa"/>
        <w:tblLayout w:type="autofit"/>
        <w:tblCellMar>
          <w:top w:w="0" w:type="dxa"/>
          <w:left w:w="108" w:type="dxa"/>
          <w:bottom w:w="0" w:type="dxa"/>
          <w:right w:w="108" w:type="dxa"/>
        </w:tblCellMar>
      </w:tblPr>
      <w:tblGrid>
        <w:gridCol w:w="4641"/>
        <w:gridCol w:w="4644"/>
      </w:tblGrid>
      <w:tr w14:paraId="2129AA57">
        <w:tblPrEx>
          <w:tblCellMar>
            <w:top w:w="0" w:type="dxa"/>
            <w:left w:w="108" w:type="dxa"/>
            <w:bottom w:w="0" w:type="dxa"/>
            <w:right w:w="108" w:type="dxa"/>
          </w:tblCellMar>
        </w:tblPrEx>
        <w:tc>
          <w:tcPr>
            <w:tcW w:w="2499" w:type="pct"/>
            <w:vAlign w:val="bottom"/>
          </w:tcPr>
          <w:p w14:paraId="0534F04E">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采购人：</w:t>
            </w:r>
            <w:r>
              <w:rPr>
                <w:rFonts w:hint="eastAsia" w:ascii="仿宋" w:hAnsi="仿宋" w:eastAsia="仿宋" w:cs="仿宋"/>
                <w:color w:val="000000"/>
                <w:sz w:val="20"/>
                <w:szCs w:val="20"/>
                <w:u w:val="single"/>
              </w:rPr>
              <w:t xml:space="preserve">   （盖章）     </w:t>
            </w:r>
          </w:p>
        </w:tc>
        <w:tc>
          <w:tcPr>
            <w:tcW w:w="2500" w:type="pct"/>
            <w:vAlign w:val="bottom"/>
          </w:tcPr>
          <w:p w14:paraId="160680F2">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供应商：</w:t>
            </w:r>
            <w:r>
              <w:rPr>
                <w:rFonts w:hint="eastAsia" w:ascii="仿宋" w:hAnsi="仿宋" w:eastAsia="仿宋" w:cs="仿宋"/>
                <w:color w:val="000000"/>
                <w:sz w:val="20"/>
                <w:szCs w:val="20"/>
                <w:u w:val="single"/>
              </w:rPr>
              <w:t xml:space="preserve">   （盖章）     </w:t>
            </w:r>
          </w:p>
        </w:tc>
      </w:tr>
      <w:tr w14:paraId="2EA07F11">
        <w:tblPrEx>
          <w:tblCellMar>
            <w:top w:w="0" w:type="dxa"/>
            <w:left w:w="108" w:type="dxa"/>
            <w:bottom w:w="0" w:type="dxa"/>
            <w:right w:w="108" w:type="dxa"/>
          </w:tblCellMar>
        </w:tblPrEx>
        <w:tc>
          <w:tcPr>
            <w:tcW w:w="2499" w:type="pct"/>
            <w:vAlign w:val="bottom"/>
          </w:tcPr>
          <w:p w14:paraId="06AF2EB8">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 xml:space="preserve">地址： </w:t>
            </w:r>
            <w:r>
              <w:rPr>
                <w:rFonts w:hint="eastAsia" w:ascii="仿宋" w:hAnsi="仿宋" w:eastAsia="仿宋" w:cs="仿宋"/>
                <w:color w:val="000000"/>
                <w:sz w:val="20"/>
                <w:szCs w:val="20"/>
                <w:u w:val="single"/>
              </w:rPr>
              <w:t xml:space="preserve">                   </w:t>
            </w:r>
          </w:p>
        </w:tc>
        <w:tc>
          <w:tcPr>
            <w:tcW w:w="2500" w:type="pct"/>
            <w:vAlign w:val="bottom"/>
          </w:tcPr>
          <w:p w14:paraId="4020A65F">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 xml:space="preserve">地址： </w:t>
            </w:r>
            <w:r>
              <w:rPr>
                <w:rFonts w:hint="eastAsia" w:ascii="仿宋" w:hAnsi="仿宋" w:eastAsia="仿宋" w:cs="仿宋"/>
                <w:color w:val="000000"/>
                <w:sz w:val="20"/>
                <w:szCs w:val="20"/>
                <w:u w:val="single"/>
              </w:rPr>
              <w:t xml:space="preserve">                   </w:t>
            </w:r>
          </w:p>
        </w:tc>
      </w:tr>
      <w:tr w14:paraId="7288CE4A">
        <w:tblPrEx>
          <w:tblCellMar>
            <w:top w:w="0" w:type="dxa"/>
            <w:left w:w="108" w:type="dxa"/>
            <w:bottom w:w="0" w:type="dxa"/>
            <w:right w:w="108" w:type="dxa"/>
          </w:tblCellMar>
        </w:tblPrEx>
        <w:tc>
          <w:tcPr>
            <w:tcW w:w="2499" w:type="pct"/>
            <w:vAlign w:val="bottom"/>
          </w:tcPr>
          <w:p w14:paraId="307BF049">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邮政编码：</w:t>
            </w:r>
            <w:r>
              <w:rPr>
                <w:rFonts w:hint="eastAsia" w:ascii="仿宋" w:hAnsi="仿宋" w:eastAsia="仿宋" w:cs="仿宋"/>
                <w:color w:val="000000"/>
                <w:sz w:val="20"/>
                <w:szCs w:val="20"/>
                <w:u w:val="single"/>
              </w:rPr>
              <w:t xml:space="preserve">                 </w:t>
            </w:r>
          </w:p>
        </w:tc>
        <w:tc>
          <w:tcPr>
            <w:tcW w:w="2500" w:type="pct"/>
            <w:vAlign w:val="bottom"/>
          </w:tcPr>
          <w:p w14:paraId="33C64DB8">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邮政编码：</w:t>
            </w:r>
            <w:r>
              <w:rPr>
                <w:rFonts w:hint="eastAsia" w:ascii="仿宋" w:hAnsi="仿宋" w:eastAsia="仿宋" w:cs="仿宋"/>
                <w:color w:val="000000"/>
                <w:sz w:val="20"/>
                <w:szCs w:val="20"/>
                <w:u w:val="single"/>
              </w:rPr>
              <w:t xml:space="preserve">                 </w:t>
            </w:r>
          </w:p>
        </w:tc>
      </w:tr>
      <w:tr w14:paraId="44BAECB0">
        <w:tblPrEx>
          <w:tblCellMar>
            <w:top w:w="0" w:type="dxa"/>
            <w:left w:w="108" w:type="dxa"/>
            <w:bottom w:w="0" w:type="dxa"/>
            <w:right w:w="108" w:type="dxa"/>
          </w:tblCellMar>
        </w:tblPrEx>
        <w:tc>
          <w:tcPr>
            <w:tcW w:w="2499" w:type="pct"/>
            <w:vAlign w:val="bottom"/>
          </w:tcPr>
          <w:p w14:paraId="7C55F8EE">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法定代表人或其授权的代理人：</w:t>
            </w:r>
            <w:r>
              <w:rPr>
                <w:rFonts w:hint="eastAsia" w:ascii="仿宋" w:hAnsi="仿宋" w:eastAsia="仿宋" w:cs="仿宋"/>
                <w:color w:val="000000"/>
                <w:sz w:val="20"/>
                <w:szCs w:val="20"/>
                <w:u w:val="single"/>
              </w:rPr>
              <w:t xml:space="preserve">（签字）      </w:t>
            </w:r>
          </w:p>
        </w:tc>
        <w:tc>
          <w:tcPr>
            <w:tcW w:w="2500" w:type="pct"/>
            <w:vAlign w:val="bottom"/>
          </w:tcPr>
          <w:p w14:paraId="58BBC58C">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法定代表人或其授权的代理人：</w:t>
            </w:r>
            <w:r>
              <w:rPr>
                <w:rFonts w:hint="eastAsia" w:ascii="仿宋" w:hAnsi="仿宋" w:eastAsia="仿宋" w:cs="仿宋"/>
                <w:color w:val="000000"/>
                <w:sz w:val="20"/>
                <w:szCs w:val="20"/>
                <w:u w:val="single"/>
              </w:rPr>
              <w:t xml:space="preserve">（签字）      </w:t>
            </w:r>
          </w:p>
        </w:tc>
      </w:tr>
      <w:tr w14:paraId="2210F1C0">
        <w:tblPrEx>
          <w:tblCellMar>
            <w:top w:w="0" w:type="dxa"/>
            <w:left w:w="108" w:type="dxa"/>
            <w:bottom w:w="0" w:type="dxa"/>
            <w:right w:w="108" w:type="dxa"/>
          </w:tblCellMar>
        </w:tblPrEx>
        <w:tc>
          <w:tcPr>
            <w:tcW w:w="2499" w:type="pct"/>
            <w:vAlign w:val="bottom"/>
          </w:tcPr>
          <w:p w14:paraId="0A993D58">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开户银行：</w:t>
            </w:r>
            <w:r>
              <w:rPr>
                <w:rFonts w:hint="eastAsia" w:ascii="仿宋" w:hAnsi="仿宋" w:eastAsia="仿宋" w:cs="仿宋"/>
                <w:color w:val="000000"/>
                <w:sz w:val="20"/>
                <w:szCs w:val="20"/>
                <w:u w:val="single"/>
              </w:rPr>
              <w:t xml:space="preserve">                 </w:t>
            </w:r>
          </w:p>
        </w:tc>
        <w:tc>
          <w:tcPr>
            <w:tcW w:w="2500" w:type="pct"/>
            <w:vAlign w:val="bottom"/>
          </w:tcPr>
          <w:p w14:paraId="19E6C7A2">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开户银行：</w:t>
            </w:r>
            <w:r>
              <w:rPr>
                <w:rFonts w:hint="eastAsia" w:ascii="仿宋" w:hAnsi="仿宋" w:eastAsia="仿宋" w:cs="仿宋"/>
                <w:color w:val="000000"/>
                <w:sz w:val="20"/>
                <w:szCs w:val="20"/>
                <w:u w:val="single"/>
              </w:rPr>
              <w:t xml:space="preserve">                 </w:t>
            </w:r>
          </w:p>
        </w:tc>
      </w:tr>
      <w:tr w14:paraId="6667CAA1">
        <w:tblPrEx>
          <w:tblCellMar>
            <w:top w:w="0" w:type="dxa"/>
            <w:left w:w="108" w:type="dxa"/>
            <w:bottom w:w="0" w:type="dxa"/>
            <w:right w:w="108" w:type="dxa"/>
          </w:tblCellMar>
        </w:tblPrEx>
        <w:tc>
          <w:tcPr>
            <w:tcW w:w="2499" w:type="pct"/>
            <w:vAlign w:val="bottom"/>
          </w:tcPr>
          <w:p w14:paraId="3CBF335E">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账号：</w:t>
            </w:r>
            <w:r>
              <w:rPr>
                <w:rFonts w:hint="eastAsia" w:ascii="仿宋" w:hAnsi="仿宋" w:eastAsia="仿宋" w:cs="仿宋"/>
                <w:color w:val="000000"/>
                <w:sz w:val="20"/>
                <w:szCs w:val="20"/>
                <w:u w:val="single"/>
              </w:rPr>
              <w:t xml:space="preserve">                      </w:t>
            </w:r>
          </w:p>
        </w:tc>
        <w:tc>
          <w:tcPr>
            <w:tcW w:w="2500" w:type="pct"/>
            <w:vAlign w:val="bottom"/>
          </w:tcPr>
          <w:p w14:paraId="15060ACB">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账号：</w:t>
            </w:r>
            <w:r>
              <w:rPr>
                <w:rFonts w:hint="eastAsia" w:ascii="仿宋" w:hAnsi="仿宋" w:eastAsia="仿宋" w:cs="仿宋"/>
                <w:color w:val="000000"/>
                <w:sz w:val="20"/>
                <w:szCs w:val="20"/>
                <w:u w:val="single"/>
              </w:rPr>
              <w:t xml:space="preserve">                      </w:t>
            </w:r>
          </w:p>
        </w:tc>
      </w:tr>
      <w:tr w14:paraId="254E4919">
        <w:tblPrEx>
          <w:tblCellMar>
            <w:top w:w="0" w:type="dxa"/>
            <w:left w:w="108" w:type="dxa"/>
            <w:bottom w:w="0" w:type="dxa"/>
            <w:right w:w="108" w:type="dxa"/>
          </w:tblCellMar>
        </w:tblPrEx>
        <w:tc>
          <w:tcPr>
            <w:tcW w:w="2499" w:type="pct"/>
            <w:vAlign w:val="bottom"/>
          </w:tcPr>
          <w:p w14:paraId="37F49450">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电话：</w:t>
            </w:r>
            <w:r>
              <w:rPr>
                <w:rFonts w:hint="eastAsia" w:ascii="仿宋" w:hAnsi="仿宋" w:eastAsia="仿宋" w:cs="仿宋"/>
                <w:color w:val="000000"/>
                <w:sz w:val="20"/>
                <w:szCs w:val="20"/>
                <w:u w:val="single"/>
              </w:rPr>
              <w:t xml:space="preserve">                   </w:t>
            </w:r>
          </w:p>
        </w:tc>
        <w:tc>
          <w:tcPr>
            <w:tcW w:w="2500" w:type="pct"/>
            <w:vAlign w:val="bottom"/>
          </w:tcPr>
          <w:p w14:paraId="642B22E2">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电话：</w:t>
            </w:r>
            <w:r>
              <w:rPr>
                <w:rFonts w:hint="eastAsia" w:ascii="仿宋" w:hAnsi="仿宋" w:eastAsia="仿宋" w:cs="仿宋"/>
                <w:color w:val="000000"/>
                <w:sz w:val="20"/>
                <w:szCs w:val="20"/>
                <w:u w:val="single"/>
              </w:rPr>
              <w:t xml:space="preserve">                   </w:t>
            </w:r>
          </w:p>
        </w:tc>
      </w:tr>
      <w:tr w14:paraId="1B313E3F">
        <w:tblPrEx>
          <w:tblCellMar>
            <w:top w:w="0" w:type="dxa"/>
            <w:left w:w="108" w:type="dxa"/>
            <w:bottom w:w="0" w:type="dxa"/>
            <w:right w:w="108" w:type="dxa"/>
          </w:tblCellMar>
        </w:tblPrEx>
        <w:tc>
          <w:tcPr>
            <w:tcW w:w="2499" w:type="pct"/>
            <w:vAlign w:val="bottom"/>
          </w:tcPr>
          <w:p w14:paraId="2A06BB22">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传真：</w:t>
            </w:r>
            <w:r>
              <w:rPr>
                <w:rFonts w:hint="eastAsia" w:ascii="仿宋" w:hAnsi="仿宋" w:eastAsia="仿宋" w:cs="仿宋"/>
                <w:color w:val="000000"/>
                <w:sz w:val="20"/>
                <w:szCs w:val="20"/>
                <w:u w:val="single"/>
              </w:rPr>
              <w:t xml:space="preserve">                      </w:t>
            </w:r>
          </w:p>
        </w:tc>
        <w:tc>
          <w:tcPr>
            <w:tcW w:w="2500" w:type="pct"/>
            <w:vAlign w:val="bottom"/>
          </w:tcPr>
          <w:p w14:paraId="6F8773F0">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传真：</w:t>
            </w:r>
            <w:r>
              <w:rPr>
                <w:rFonts w:hint="eastAsia" w:ascii="仿宋" w:hAnsi="仿宋" w:eastAsia="仿宋" w:cs="仿宋"/>
                <w:color w:val="000000"/>
                <w:sz w:val="20"/>
                <w:szCs w:val="20"/>
                <w:u w:val="single"/>
              </w:rPr>
              <w:t xml:space="preserve">                      </w:t>
            </w:r>
          </w:p>
        </w:tc>
      </w:tr>
      <w:tr w14:paraId="701B6B41">
        <w:tblPrEx>
          <w:tblCellMar>
            <w:top w:w="0" w:type="dxa"/>
            <w:left w:w="108" w:type="dxa"/>
            <w:bottom w:w="0" w:type="dxa"/>
            <w:right w:w="108" w:type="dxa"/>
          </w:tblCellMar>
        </w:tblPrEx>
        <w:tc>
          <w:tcPr>
            <w:tcW w:w="2499" w:type="pct"/>
            <w:vAlign w:val="bottom"/>
          </w:tcPr>
          <w:p w14:paraId="109B55FE">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电子邮箱：</w:t>
            </w:r>
            <w:r>
              <w:rPr>
                <w:rFonts w:hint="eastAsia" w:ascii="仿宋" w:hAnsi="仿宋" w:eastAsia="仿宋" w:cs="仿宋"/>
                <w:color w:val="000000"/>
                <w:sz w:val="20"/>
                <w:szCs w:val="20"/>
                <w:u w:val="single"/>
              </w:rPr>
              <w:t xml:space="preserve">                  </w:t>
            </w:r>
          </w:p>
        </w:tc>
        <w:tc>
          <w:tcPr>
            <w:tcW w:w="2500" w:type="pct"/>
            <w:vAlign w:val="bottom"/>
          </w:tcPr>
          <w:p w14:paraId="7E5A172E">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电子邮箱：</w:t>
            </w:r>
            <w:r>
              <w:rPr>
                <w:rFonts w:hint="eastAsia" w:ascii="仿宋" w:hAnsi="仿宋" w:eastAsia="仿宋" w:cs="仿宋"/>
                <w:color w:val="000000"/>
                <w:sz w:val="20"/>
                <w:szCs w:val="20"/>
                <w:u w:val="single"/>
              </w:rPr>
              <w:t xml:space="preserve">                  </w:t>
            </w:r>
          </w:p>
        </w:tc>
      </w:tr>
      <w:tr w14:paraId="6CB783FD">
        <w:tblPrEx>
          <w:tblCellMar>
            <w:top w:w="0" w:type="dxa"/>
            <w:left w:w="108" w:type="dxa"/>
            <w:bottom w:w="0" w:type="dxa"/>
            <w:right w:w="108" w:type="dxa"/>
          </w:tblCellMar>
        </w:tblPrEx>
        <w:tc>
          <w:tcPr>
            <w:tcW w:w="2499" w:type="pct"/>
            <w:vAlign w:val="bottom"/>
          </w:tcPr>
          <w:p w14:paraId="6F5780BF">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签订日期：</w:t>
            </w:r>
            <w:r>
              <w:rPr>
                <w:rFonts w:hint="eastAsia" w:ascii="仿宋" w:hAnsi="仿宋" w:eastAsia="仿宋" w:cs="仿宋"/>
                <w:color w:val="000000"/>
                <w:sz w:val="20"/>
                <w:szCs w:val="20"/>
                <w:u w:val="single"/>
              </w:rPr>
              <w:t xml:space="preserve">                   </w:t>
            </w:r>
          </w:p>
        </w:tc>
        <w:tc>
          <w:tcPr>
            <w:tcW w:w="2500" w:type="pct"/>
            <w:vAlign w:val="bottom"/>
          </w:tcPr>
          <w:p w14:paraId="12470860">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签订日期：</w:t>
            </w:r>
            <w:r>
              <w:rPr>
                <w:rFonts w:hint="eastAsia" w:ascii="仿宋" w:hAnsi="仿宋" w:eastAsia="仿宋" w:cs="仿宋"/>
                <w:color w:val="000000"/>
                <w:sz w:val="20"/>
                <w:szCs w:val="20"/>
                <w:u w:val="single"/>
              </w:rPr>
              <w:t xml:space="preserve">                   </w:t>
            </w:r>
          </w:p>
        </w:tc>
      </w:tr>
    </w:tbl>
    <w:p w14:paraId="5583B72C">
      <w:pPr>
        <w:tabs>
          <w:tab w:val="left" w:pos="900"/>
        </w:tabs>
        <w:rPr>
          <w:rFonts w:ascii="仿宋" w:hAnsi="仿宋" w:eastAsia="仿宋" w:cs="仿宋"/>
        </w:rPr>
      </w:pPr>
      <w:bookmarkStart w:id="0" w:name="_GoBack"/>
      <w:bookmarkEnd w:id="0"/>
    </w:p>
    <w:sectPr>
      <w:pgSz w:w="11906" w:h="16838"/>
      <w:pgMar w:top="1134" w:right="113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1ZWFmZjk4MWY4Y2VhNjU5MDAyODRmNGNiNWNhYzgifQ=="/>
  </w:docVars>
  <w:rsids>
    <w:rsidRoot w:val="001B1577"/>
    <w:rsid w:val="00143C5E"/>
    <w:rsid w:val="001B1577"/>
    <w:rsid w:val="0028358E"/>
    <w:rsid w:val="003C4B5A"/>
    <w:rsid w:val="004D1066"/>
    <w:rsid w:val="005E4B67"/>
    <w:rsid w:val="006B3AA2"/>
    <w:rsid w:val="00724AD7"/>
    <w:rsid w:val="00736574"/>
    <w:rsid w:val="007F210C"/>
    <w:rsid w:val="00817C23"/>
    <w:rsid w:val="0091755E"/>
    <w:rsid w:val="00AE4CCE"/>
    <w:rsid w:val="00BE05D2"/>
    <w:rsid w:val="00F1493F"/>
    <w:rsid w:val="0276798D"/>
    <w:rsid w:val="12C713E8"/>
    <w:rsid w:val="1C863D10"/>
    <w:rsid w:val="1D8814F2"/>
    <w:rsid w:val="1E1D48A7"/>
    <w:rsid w:val="1ECC5250"/>
    <w:rsid w:val="352F3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60" w:lineRule="auto"/>
      <w:ind w:left="425" w:hanging="425"/>
      <w:jc w:val="center"/>
      <w:outlineLvl w:val="0"/>
    </w:pPr>
    <w:rPr>
      <w:rFonts w:ascii="宋体" w:hAnsi="宋体" w:cs="Times New Roman"/>
      <w:b/>
      <w:bCs/>
      <w:kern w:val="44"/>
      <w:sz w:val="32"/>
      <w:szCs w:val="20"/>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Normal Indent"/>
    <w:basedOn w:val="1"/>
    <w:link w:val="14"/>
    <w:qFormat/>
    <w:uiPriority w:val="0"/>
    <w:pPr>
      <w:autoSpaceDE w:val="0"/>
      <w:autoSpaceDN w:val="0"/>
      <w:adjustRightInd w:val="0"/>
      <w:ind w:firstLine="420"/>
      <w:jc w:val="left"/>
    </w:pPr>
    <w:rPr>
      <w:rFonts w:ascii="宋体" w:hAnsi="Calibri" w:eastAsia="宋体" w:cs="Times New Roman"/>
      <w:kern w:val="0"/>
      <w:sz w:val="24"/>
      <w:szCs w:val="20"/>
    </w:rPr>
  </w:style>
  <w:style w:type="paragraph" w:styleId="4">
    <w:name w:val="Plain Text"/>
    <w:basedOn w:val="1"/>
    <w:link w:val="13"/>
    <w:qFormat/>
    <w:uiPriority w:val="99"/>
    <w:pPr>
      <w:spacing w:line="324" w:lineRule="auto"/>
    </w:pPr>
    <w:rPr>
      <w:rFonts w:ascii="宋体" w:hAnsi="Courier New" w:eastAsia="宋体" w:cs="Times New Roman"/>
      <w:szCs w:val="21"/>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character" w:customStyle="1" w:styleId="11">
    <w:name w:val="页眉 字符"/>
    <w:basedOn w:val="9"/>
    <w:link w:val="6"/>
    <w:qFormat/>
    <w:uiPriority w:val="0"/>
    <w:rPr>
      <w:kern w:val="2"/>
      <w:sz w:val="18"/>
      <w:szCs w:val="18"/>
    </w:rPr>
  </w:style>
  <w:style w:type="character" w:customStyle="1" w:styleId="12">
    <w:name w:val="页脚 字符"/>
    <w:basedOn w:val="9"/>
    <w:link w:val="5"/>
    <w:qFormat/>
    <w:uiPriority w:val="0"/>
    <w:rPr>
      <w:kern w:val="2"/>
      <w:sz w:val="18"/>
      <w:szCs w:val="18"/>
    </w:rPr>
  </w:style>
  <w:style w:type="character" w:customStyle="1" w:styleId="13">
    <w:name w:val="纯文本 字符"/>
    <w:basedOn w:val="9"/>
    <w:link w:val="4"/>
    <w:qFormat/>
    <w:uiPriority w:val="99"/>
    <w:rPr>
      <w:rFonts w:ascii="宋体" w:hAnsi="Courier New" w:eastAsia="宋体" w:cs="Times New Roman"/>
      <w:kern w:val="2"/>
      <w:sz w:val="21"/>
      <w:szCs w:val="21"/>
    </w:rPr>
  </w:style>
  <w:style w:type="character" w:customStyle="1" w:styleId="14">
    <w:name w:val="正文缩进 字符"/>
    <w:link w:val="3"/>
    <w:qFormat/>
    <w:uiPriority w:val="0"/>
    <w:rPr>
      <w:rFonts w:ascii="宋体" w:hAnsi="Calibri" w:eastAsia="宋体" w:cs="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4998</Words>
  <Characters>5111</Characters>
  <Lines>18</Lines>
  <Paragraphs>5</Paragraphs>
  <TotalTime>0</TotalTime>
  <ScaleCrop>false</ScaleCrop>
  <LinksUpToDate>false</LinksUpToDate>
  <CharactersWithSpaces>6223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2024-09-13T06:14:00Z</dcterms:created>
  <dc:creator>lenovo</dc:creator>
  <cp:lastModifiedBy>Administrator</cp:lastModifiedBy>
  <dcterms:modified xsi:type="dcterms:W3CDTF">2026-05-25T07:14:54Z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46B6D5214ADB4D8180690E5AE2CCE8C3_12</vt:lpwstr>
  </property>
  <property fmtid="{D5CDD505-2E9C-101B-9397-08002B2CF9AE}" pid="4" name="KSOTemplateDocerSaveRecord">
    <vt:lpwstr>eyJoZGlkIjoiOGI1NjUzZTFhYWM0NmYwYjE1NTBlNzgxOGI1YTIyMDMifQ==</vt:lpwstr>
  </property>
</Properties>
</file>