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版本号：CZCBGZX(2026)JSXM-120260825001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CZCBGZX(2026)JSXM-1</w:t>
      </w:r>
      <w:r>
        <w:br/>
      </w:r>
      <w:r>
        <w:br/>
      </w:r>
      <w:r>
        <w:br/>
      </w:r>
    </w:p>
    <w:p>
      <w:pPr>
        <w:pStyle w:val="null3"/>
        <w:jc w:val="center"/>
        <w:outlineLvl w:val="2"/>
      </w:pPr>
      <w:r>
        <w:rPr>
          <w:rFonts w:ascii="仿宋_GB2312" w:hAnsi="仿宋_GB2312" w:cs="仿宋_GB2312" w:eastAsia="仿宋_GB2312"/>
          <w:sz w:val="28"/>
          <w:b/>
        </w:rPr>
        <w:t>澄城县北关中学</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澄城县北关中学</w:t>
      </w:r>
      <w:r>
        <w:rPr>
          <w:rFonts w:ascii="仿宋_GB2312" w:hAnsi="仿宋_GB2312" w:cs="仿宋_GB2312" w:eastAsia="仿宋_GB2312"/>
        </w:rPr>
        <w:t>委托，拟对</w:t>
      </w:r>
      <w:r>
        <w:rPr>
          <w:rFonts w:ascii="仿宋_GB2312" w:hAnsi="仿宋_GB2312" w:cs="仿宋_GB2312" w:eastAsia="仿宋_GB2312"/>
        </w:rPr>
        <w:t>运动场地建设项目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CZCBGZX(2026)JSXM-1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北关中学运动场地各区域的布局设计、平整、硬化、软化、美化、排水、照明等。旨在补齐学校体育设施短板，建设标准化安全运动场地，满足义务教育均衡发展硬件标准。场地承担体育课教学、学生体质健康测试、田径球类训练等教学功能，保障大课间、课后体育活动开展，实现学生每日一小时锻炼。可承办校运动会、县域体育赛事及全校集会、升旗等大型活动。场地采用环保防滑面层，消除运动安全隐患，配套照明、器材存放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w:t>
      </w:r>
    </w:p>
    <w:p>
      <w:pPr>
        <w:pStyle w:val="null3"/>
      </w:pPr>
      <w:r>
        <w:rPr>
          <w:rFonts w:ascii="仿宋_GB2312" w:hAnsi="仿宋_GB2312" w:cs="仿宋_GB2312" w:eastAsia="仿宋_GB2312"/>
        </w:rPr>
        <w:t>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8、供应商资质：供应商应具备建设行政主管部门颁发合法有效的建筑工程施工总承包三级及以上资质；具有有效的安全生产许可证；</w:t>
      </w:r>
    </w:p>
    <w:p>
      <w:pPr>
        <w:pStyle w:val="null3"/>
      </w:pPr>
      <w:r>
        <w:rPr>
          <w:rFonts w:ascii="仿宋_GB2312" w:hAnsi="仿宋_GB2312" w:cs="仿宋_GB2312" w:eastAsia="仿宋_GB2312"/>
        </w:rPr>
        <w:t>9、拟派项目经理资质和专业：拟派项目经理须具有建筑工程专业二级及以上注册建造师证书和有效的安全生产考核合格证书，且未担任其他在建工程的项目经理；</w:t>
      </w:r>
    </w:p>
    <w:p>
      <w:pPr>
        <w:pStyle w:val="null3"/>
      </w:pPr>
      <w:r>
        <w:rPr>
          <w:rFonts w:ascii="仿宋_GB2312" w:hAnsi="仿宋_GB2312" w:cs="仿宋_GB2312" w:eastAsia="仿宋_GB2312"/>
        </w:rPr>
        <w:t>10、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澄城县北关中学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澄城县1路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13359138518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澄城县北关中学</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澄城县北关中学</w:t>
      </w:r>
      <w:r>
        <w:rPr>
          <w:rFonts w:ascii="仿宋_GB2312" w:hAnsi="仿宋_GB2312" w:cs="仿宋_GB2312" w:eastAsia="仿宋_GB2312"/>
        </w:rPr>
        <w:t>负责解释。除上述磋商文件内容，其他内容由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澄城县北关中学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澄城县北关中学</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澄城县北关中学</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澄城县北关中学</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联系电话：13359138518</w:t>
      </w:r>
    </w:p>
    <w:p>
      <w:pPr>
        <w:pStyle w:val="null3"/>
      </w:pPr>
      <w:r>
        <w:rPr>
          <w:rFonts w:ascii="仿宋_GB2312" w:hAnsi="仿宋_GB2312" w:cs="仿宋_GB2312" w:eastAsia="仿宋_GB2312"/>
        </w:rPr>
        <w:t>地址：澄城县北关中学</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3,499,631.13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运动场地建设项目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ind w:firstLine="600"/>
              <w:jc w:val="both"/>
            </w:pPr>
            <w:r>
              <w:rPr>
                <w:rFonts w:ascii="仿宋_GB2312" w:hAnsi="仿宋_GB2312" w:cs="仿宋_GB2312" w:eastAsia="仿宋_GB2312"/>
                <w:sz w:val="32"/>
              </w:rPr>
              <w:t>一、项目概况</w:t>
            </w:r>
          </w:p>
          <w:p>
            <w:pPr>
              <w:pStyle w:val="null3"/>
              <w:spacing w:after="120"/>
              <w:ind w:firstLine="600"/>
              <w:jc w:val="both"/>
            </w:pPr>
            <w:r>
              <w:rPr>
                <w:rFonts w:ascii="仿宋_GB2312" w:hAnsi="仿宋_GB2312" w:cs="仿宋_GB2312" w:eastAsia="仿宋_GB2312"/>
                <w:sz w:val="32"/>
              </w:rPr>
              <w:t>对</w:t>
            </w:r>
            <w:r>
              <w:rPr>
                <w:rFonts w:ascii="仿宋_GB2312" w:hAnsi="仿宋_GB2312" w:cs="仿宋_GB2312" w:eastAsia="仿宋_GB2312"/>
                <w:sz w:val="32"/>
              </w:rPr>
              <w:t>北关中学运动场地各区域的布局设计、平整、硬化、软化、美化、排水、照明等。</w:t>
            </w:r>
            <w:r>
              <w:rPr>
                <w:rFonts w:ascii="仿宋_GB2312" w:hAnsi="仿宋_GB2312" w:cs="仿宋_GB2312" w:eastAsia="仿宋_GB2312"/>
                <w:sz w:val="32"/>
              </w:rPr>
              <w:t>旨在补齐学校体育设施短板，建设标准化安全运动场地，满足义务教育均衡发展硬件标准。场地承担体育课教学、学生体质健康测试、田径球类训练等教学功能，保障大课间、课后体育活动开展，实现学生每日一小时锻炼。可承办校运动会、县域体育赛事及全校集会、升旗等大型活动。场地采用环保防滑面层，消除运动安全隐患，配套照明、器材存放等设施。</w:t>
            </w:r>
          </w:p>
          <w:p>
            <w:pPr>
              <w:pStyle w:val="null3"/>
              <w:spacing w:before="315" w:after="120"/>
              <w:ind w:firstLine="562"/>
              <w:jc w:val="left"/>
            </w:pPr>
            <w:r>
              <w:rPr>
                <w:rFonts w:ascii="仿宋_GB2312" w:hAnsi="仿宋_GB2312" w:cs="仿宋_GB2312" w:eastAsia="仿宋_GB2312"/>
                <w:sz w:val="33"/>
              </w:rPr>
              <w:t>二、施工内容简述</w:t>
            </w:r>
          </w:p>
          <w:p>
            <w:pPr>
              <w:pStyle w:val="null3"/>
            </w:pPr>
            <w:r>
              <w:rPr>
                <w:rFonts w:ascii="仿宋_GB2312" w:hAnsi="仿宋_GB2312" w:cs="仿宋_GB2312" w:eastAsia="仿宋_GB2312"/>
                <w:sz w:val="33"/>
              </w:rPr>
              <w:t>拆除清运类：各类体育器材、混凝土构筑物、石材铺装、沥青路面、人行道、隔离墩、围栏、墙体抹灰层拆除，配套垃圾全部外运；同步完成场地乔木修剪、枯枝及杂物清理清运工作。</w:t>
            </w:r>
          </w:p>
          <w:p>
            <w:pPr>
              <w:pStyle w:val="null3"/>
            </w:pPr>
            <w:r>
              <w:rPr>
                <w:rFonts w:ascii="仿宋_GB2312" w:hAnsi="仿宋_GB2312" w:cs="仿宋_GB2312" w:eastAsia="仿宋_GB2312"/>
                <w:sz w:val="33"/>
              </w:rPr>
              <w:t>设施拆装恢复类：对校园原有完好的花岗岩坐凳、篮球架、足球门等设施进行保护性拆除、分类存放，施工完成后原位复位安装；对破损老旧石材地面拆除后重新铺设恢复，保障场地原貌及使用功能。</w:t>
            </w:r>
          </w:p>
          <w:p>
            <w:pPr>
              <w:pStyle w:val="null3"/>
            </w:pPr>
            <w:r>
              <w:rPr>
                <w:rFonts w:ascii="仿宋_GB2312" w:hAnsi="仿宋_GB2312" w:cs="仿宋_GB2312" w:eastAsia="仿宋_GB2312"/>
                <w:sz w:val="33"/>
              </w:rPr>
              <w:t>土建新建类：包含混凝土平台、人行道、散水、砖砌排水沟施工，校园窖井维修养护，以及场地土方回填、整体整平夯实作业。</w:t>
            </w:r>
          </w:p>
          <w:p>
            <w:pPr>
              <w:pStyle w:val="null3"/>
            </w:pPr>
            <w:r>
              <w:rPr>
                <w:rFonts w:ascii="仿宋_GB2312" w:hAnsi="仿宋_GB2312" w:cs="仿宋_GB2312" w:eastAsia="仿宋_GB2312"/>
                <w:sz w:val="33"/>
              </w:rPr>
              <w:t>专业面层类：开展场地沥青面层摊铺、透气型塑胶跑道铺设、硅PU球场施工、人工草皮铺装等专业运动场地面层作业。</w:t>
            </w:r>
          </w:p>
          <w:p>
            <w:pPr>
              <w:pStyle w:val="null3"/>
            </w:pPr>
            <w:r>
              <w:rPr>
                <w:rFonts w:ascii="仿宋_GB2312" w:hAnsi="仿宋_GB2312" w:cs="仿宋_GB2312" w:eastAsia="仿宋_GB2312"/>
                <w:sz w:val="33"/>
              </w:rPr>
              <w:t>装饰绿化类：对校园教学楼、围墙、配电房、围栏等外立面进行基层处理、刮腻子、喷刷涂料施工，同步完成场地绿化草皮铺设作业。</w:t>
            </w:r>
          </w:p>
          <w:p>
            <w:pPr>
              <w:pStyle w:val="null3"/>
              <w:ind w:firstLine="640"/>
              <w:jc w:val="both"/>
            </w:pPr>
            <w:r>
              <w:rPr>
                <w:rFonts w:ascii="仿宋_GB2312" w:hAnsi="仿宋_GB2312" w:cs="仿宋_GB2312" w:eastAsia="仿宋_GB2312"/>
                <w:sz w:val="33"/>
              </w:rPr>
              <w:t>三、需执行的国家相关标准、行业标准、地方标准或者其他标准、规范标准</w:t>
            </w:r>
          </w:p>
          <w:p>
            <w:pPr>
              <w:pStyle w:val="null3"/>
              <w:ind w:firstLine="640"/>
              <w:jc w:val="both"/>
            </w:pPr>
            <w:r>
              <w:rPr>
                <w:rFonts w:ascii="仿宋_GB2312" w:hAnsi="仿宋_GB2312" w:cs="仿宋_GB2312" w:eastAsia="仿宋_GB2312"/>
                <w:sz w:val="33"/>
                <w:color w:val="000000"/>
                <w:shd w:fill="FFFFFF" w:val="clear"/>
              </w:rPr>
              <w:t>GB 36246-2018</w:t>
            </w:r>
            <w:r>
              <w:rPr>
                <w:rFonts w:ascii="仿宋_GB2312" w:hAnsi="仿宋_GB2312" w:cs="仿宋_GB2312" w:eastAsia="仿宋_GB2312"/>
                <w:sz w:val="33"/>
                <w:color w:val="000000"/>
                <w:shd w:fill="FFFFFF" w:val="clear"/>
              </w:rPr>
              <w:t>《中小学合成材料面层运动场地》（强制性国标）</w:t>
            </w:r>
          </w:p>
          <w:p>
            <w:pPr>
              <w:pStyle w:val="null3"/>
              <w:ind w:firstLine="640"/>
              <w:jc w:val="both"/>
            </w:pPr>
            <w:r>
              <w:rPr>
                <w:rFonts w:ascii="仿宋_GB2312" w:hAnsi="仿宋_GB2312" w:cs="仿宋_GB2312" w:eastAsia="仿宋_GB2312"/>
                <w:sz w:val="33"/>
                <w:color w:val="000000"/>
                <w:shd w:fill="FFFFFF" w:val="clear"/>
              </w:rPr>
              <w:t>JGJ147-2016《建筑拆除工程安全技术规范》</w:t>
            </w:r>
          </w:p>
          <w:p>
            <w:pPr>
              <w:pStyle w:val="null3"/>
              <w:spacing w:after="120"/>
              <w:ind w:firstLine="640"/>
              <w:jc w:val="both"/>
            </w:pPr>
            <w:r>
              <w:rPr>
                <w:rFonts w:ascii="仿宋_GB2312" w:hAnsi="仿宋_GB2312" w:cs="仿宋_GB2312" w:eastAsia="仿宋_GB2312"/>
                <w:sz w:val="33"/>
                <w:color w:val="000000"/>
                <w:shd w:fill="FFFFFF" w:val="clear"/>
              </w:rPr>
              <w:t>T/SSCI 002-2021《学校室外运动场地合成材料面层铺装技术规程》</w:t>
            </w:r>
          </w:p>
          <w:p>
            <w:pPr>
              <w:pStyle w:val="null3"/>
              <w:ind w:firstLine="640"/>
              <w:jc w:val="both"/>
            </w:pPr>
            <w:r>
              <w:rPr>
                <w:rFonts w:ascii="仿宋_GB2312" w:hAnsi="仿宋_GB2312" w:cs="仿宋_GB2312" w:eastAsia="仿宋_GB2312"/>
                <w:sz w:val="33"/>
                <w:color w:val="000000"/>
                <w:shd w:fill="FFFFFF" w:val="clear"/>
              </w:rPr>
              <w:t>CJJ1《城镇道路工程施工与质量验收规范》</w:t>
            </w:r>
          </w:p>
          <w:p>
            <w:pPr>
              <w:pStyle w:val="null3"/>
              <w:ind w:firstLine="640"/>
              <w:jc w:val="both"/>
            </w:pPr>
            <w:r>
              <w:rPr>
                <w:rFonts w:ascii="仿宋_GB2312" w:hAnsi="仿宋_GB2312" w:cs="仿宋_GB2312" w:eastAsia="仿宋_GB2312"/>
                <w:sz w:val="33"/>
              </w:rPr>
              <w:t>四、付款方式</w:t>
            </w:r>
          </w:p>
          <w:p>
            <w:pPr>
              <w:pStyle w:val="null3"/>
            </w:pPr>
            <w:r>
              <w:rPr>
                <w:rFonts w:ascii="仿宋_GB2312" w:hAnsi="仿宋_GB2312" w:cs="仿宋_GB2312" w:eastAsia="仿宋_GB2312"/>
                <w:sz w:val="33"/>
              </w:rPr>
              <w:t xml:space="preserve">    预付款，合同签订后，达到付款条件起10个工作日内，支付合同总金额的40.0%</w:t>
            </w:r>
          </w:p>
          <w:p>
            <w:pPr>
              <w:pStyle w:val="null3"/>
            </w:pPr>
            <w:r>
              <w:rPr>
                <w:rFonts w:ascii="仿宋_GB2312" w:hAnsi="仿宋_GB2312" w:cs="仿宋_GB2312" w:eastAsia="仿宋_GB2312"/>
                <w:sz w:val="33"/>
              </w:rPr>
              <w:t xml:space="preserve">    进度款，施工过程中根据施工进度，达到付款条件起10个工作日内，支付合同总金额的55.0%</w:t>
            </w:r>
          </w:p>
          <w:p>
            <w:pPr>
              <w:pStyle w:val="null3"/>
            </w:pPr>
            <w:r>
              <w:rPr>
                <w:rFonts w:ascii="仿宋_GB2312" w:hAnsi="仿宋_GB2312" w:cs="仿宋_GB2312" w:eastAsia="仿宋_GB2312"/>
                <w:sz w:val="33"/>
              </w:rPr>
              <w:t xml:space="preserve">    进度款，工程竣工验收合格并办理竣工结算评审后，达到付款条件起10个工作日内，支付合同总金额的5.0%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具备履行合同所必需的设备和专业技术能力的承诺函.docx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供应商应具备建设行政主管部门颁发合法有效的建筑工程施工总承包三级及以上资质；具有有效的安全生产许可证；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拟派项目经理资质和专业</w:t>
            </w:r>
          </w:p>
        </w:tc>
        <w:tc>
          <w:tcPr>
            <w:tcW w:type="dxa" w:w="3322"/>
          </w:tcPr>
          <w:p>
            <w:pPr>
              <w:pStyle w:val="null3"/>
            </w:pPr>
            <w:r>
              <w:rPr>
                <w:rFonts w:ascii="仿宋_GB2312" w:hAnsi="仿宋_GB2312" w:cs="仿宋_GB2312" w:eastAsia="仿宋_GB2312"/>
              </w:rPr>
              <w:t>拟派项目经理须具有建筑工程专业二级及以上注册建造师证书和有效的安全生产考核合格证书，且未担任其他在建工程的项目经理；</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法定代表人身份证明及法定代表人授权委托书.docx 已标价工程量清单 具备履行合同所必需的设备和专业技术能力的承诺函.docx 中小企业声明函 技术服务合同条款及其他商务要求应答表 供应商应提交的相关资格证明材料 强制优先采购产品承诺函 响应文件封面 项目管理机构组成表 无重大违法记录书面声明.docx 详细评审.docx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磋商报价符合唯一性要求： 开标一览表填写符合要求； 计量单位、报价货币均符合磋商文件要求； 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应文件内容完整无缺漏。实质性条款全部响应。无采购人不能接受的附加条件。</w:t>
            </w:r>
          </w:p>
        </w:tc>
        <w:tc>
          <w:tcPr>
            <w:tcW w:type="dxa" w:w="1661"/>
          </w:tcPr>
          <w:p>
            <w:pPr>
              <w:pStyle w:val="null3"/>
            </w:pPr>
            <w:r>
              <w:rPr>
                <w:rFonts w:ascii="仿宋_GB2312" w:hAnsi="仿宋_GB2312" w:cs="仿宋_GB2312" w:eastAsia="仿宋_GB2312"/>
              </w:rPr>
              <w:t>法定代表人身份证明及法定代表人授权委托书.docx 已标价工程量清单 具备履行合同所必需的设备和专业技术能力的承诺函.docx 中小企业声明函 技术服务合同条款及其他商务要求应答表 供应商应提交的相关资格证明材料 强制优先采购产品承诺函 响应文件封面 项目管理机构组成表 无重大违法记录书面声明.docx 详细评审.docx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法定代表人身份证明及法定代表人授权委托书.docx 已标价工程量清单 具备履行合同所必需的设备和专业技术能力的承诺函.docx 中小企业声明函 技术服务合同条款及其他商务要求应答表 供应商应提交的相关资格证明材料 强制优先采购产品承诺函 响应文件封面 项目管理机构组成表 无重大违法记录书面声明.docx 详细评审.docx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内容包含：①施工目标: 成本目标、工期目标、质量目标②施工准备：技术准备、材料准备、 机械准备、机具准备③施工平面布置与安排：现场围挡及出入口管理、交通组织安排、消防及道路安排。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 内容科学合理。 上述3项评审内容全部满足评审标准得9分，每有一个评审内容缺项扣3分，每有一项评审内容存在缺陷，扣0.5-1分，扣完为止。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 内容科学合理。上述3项评审内容全部满足评审标准得9分，每有一个评审内容缺项扣3分，每有一项评审内容存在缺陷，扣0.5-1分，扣完为止。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3、针对性：方案能够紧扣项目实际情况，内容科学合理。上述3项评审内容全部满足评审标准得9分，每有一个评审内容缺项扣3分，每有一项评审内容存在缺陷，扣0.5-1分，扣完为止。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 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3、针对性：方案能够紧扣项目实际情况，内容科学合理。上述2项评审内容全部满足评审标准得3分，每有一个评审内容缺项扣1.5分，每有一项评审内容存在缺陷，扣0.5-1分，扣完为止。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3、针对性：方案能够紧扣项目实际情况，内容科学合理。 上述2项评审内容全部满足评审标准得6分，每有一个评审内容缺项扣3分，每有一项评审内容存在缺陷，扣0.5-1分，扣完为止。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新材料、新技术新工艺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3、针对性：方案能够紧扣项目实际情况，内容科学合理。上述2项评审内容全部满足评审标准得3分，每有一个评审内容缺项扣1.5分，每有一项评审内容存在缺陷，扣0.5-1分，扣完为止。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供应商提供所用材料属于环境标志产品政府采购清单中的产品（包括但不限于水、暖、电、水泥等施工所需的所有基础材料），每提供 1 种环保产品的环境标志产品认证证书得1分，满分2分。 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一、评审内容结合本项目的实际，供应商应依据国家相关规定提出工程验收维护方案，内容包含：①验收方案②维修措施 二、评审标准 1、完整性：内容必须全面，对评审内容中的各项要求有详细描述； 2、落实性：切合项目具体情况，提出责任明确、要求具体的方案； 3、针对性：内容能够紧扣项目实际情况，内容科学合理。上述2项评审内容全部满足评审标准得3分，每有一个评审内容缺项扣1.5分，每有一项评审内容存在缺陷，扣0.5-1分，扣完为止。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提供2024年1月1日起至今同类项目业绩（附合同复印件或中标通知书，时间以合同签订时间或中标通 知书时间为准），每提供一个计1分，总分3分，不提供不得分。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价格得分采用低价优先法计算，即满足磋商文件要求且最终报价最低的供应商的价格为磋商基准价，其价格得分为满分。其他供应商的价格得分统一按照下列公式计算：磋商报价得分=（磋商基准价/最终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详见附件：具备履行合同所必需的设备和专业技术能力的承诺函.docx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详见附件：详细评审.docx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详见附件：工程合同样本（三方）.docx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